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A7320" w14:textId="1779A4BB" w:rsidR="00954F0C" w:rsidRPr="00F53AD9" w:rsidRDefault="00954F0C" w:rsidP="00F53AD9">
      <w:pPr>
        <w:pStyle w:val="Title"/>
      </w:pPr>
      <w:r w:rsidRPr="00F53AD9">
        <w:t>Finanšu pārskata pielikums</w:t>
      </w:r>
    </w:p>
    <w:p w14:paraId="2E55EC01" w14:textId="0BD4C068" w:rsidR="00954F0C" w:rsidRPr="007C4541" w:rsidRDefault="00954F0C" w:rsidP="007C4541">
      <w:pPr>
        <w:pStyle w:val="Pamatteksts1"/>
      </w:pPr>
      <w:r w:rsidRPr="007C4541">
        <w:t>20</w:t>
      </w:r>
      <w:r w:rsidR="00640280" w:rsidRPr="007C4541">
        <w:t>2</w:t>
      </w:r>
      <w:r w:rsidR="002F29E0" w:rsidRPr="007C4541">
        <w:t>4</w:t>
      </w:r>
      <w:r w:rsidR="00640280" w:rsidRPr="007C4541">
        <w:t>. gada</w:t>
      </w:r>
      <w:r w:rsidRPr="007C4541">
        <w:t xml:space="preserve"> finanšu pārskats sagatavots atbilstoši likumam “Par grāmatvedību”, Likumam par budžetu un finanšu vadību, likumam “</w:t>
      </w:r>
      <w:r w:rsidR="00DD645D" w:rsidRPr="007C4541">
        <w:t>Par valsts budžetu 2024. gadam un budžeta ietvaru 2024., 2025. un 2026. gadam</w:t>
      </w:r>
      <w:r w:rsidRPr="007C4541">
        <w:t>”, likumam “Par pašvaldību budžetiem” un citiem normatīviem aktiem, kas nosaka budžeta iestāžu grāmatvedības uzskaiti un pārskatu sagatavošanu.</w:t>
      </w:r>
    </w:p>
    <w:p w14:paraId="314BA833" w14:textId="2E5CAA86" w:rsidR="00954F0C" w:rsidRPr="007C4541" w:rsidRDefault="00954F0C" w:rsidP="007C4541">
      <w:pPr>
        <w:pStyle w:val="Pamatteksts1"/>
      </w:pPr>
      <w:r w:rsidRPr="007C4541">
        <w:t>Finanšu pārskats sagatavots</w:t>
      </w:r>
      <w:r w:rsidR="00B7141A" w:rsidRPr="007C4541">
        <w:t>,</w:t>
      </w:r>
      <w:r w:rsidRPr="007C4541">
        <w:t xml:space="preserve"> ievērojot uzkrāšanas, naudas plūsmas</w:t>
      </w:r>
      <w:r w:rsidR="00E6638C" w:rsidRPr="007C4541">
        <w:t xml:space="preserve"> (piemēram, attiecībā uz naudas plūsmas pārskatu)</w:t>
      </w:r>
      <w:r w:rsidRPr="007C4541">
        <w:t xml:space="preserve">, piesardzības un darbības turpināšanas principus. Finanšu un </w:t>
      </w:r>
      <w:proofErr w:type="spellStart"/>
      <w:r w:rsidRPr="007C4541">
        <w:t>nefinanšu</w:t>
      </w:r>
      <w:proofErr w:type="spellEnd"/>
      <w:r w:rsidRPr="007C4541">
        <w:t xml:space="preserve"> informācija sagatavota atbilstoši vispārpieņemtām pārskatu kvalitātes prasībām – patiesums, nozīmīgums, saprotamība, savlaicīgums, salīdzināmība un pārbaudāmība.</w:t>
      </w:r>
    </w:p>
    <w:p w14:paraId="3E806B18" w14:textId="3DF8C12D" w:rsidR="00954F0C" w:rsidRPr="007C4541" w:rsidRDefault="00954F0C" w:rsidP="007C4541">
      <w:pPr>
        <w:pStyle w:val="Pamatteksts1"/>
      </w:pPr>
      <w:r w:rsidRPr="007C4541">
        <w:t xml:space="preserve">Finanšu pārskatā konsolidēti ministriju, centrālo valsts iestāžu un pašvaldību (turpmāk – budžeta iestādes) </w:t>
      </w:r>
      <w:r w:rsidR="002F29E0" w:rsidRPr="007C4541">
        <w:t xml:space="preserve">gada pārskati un </w:t>
      </w:r>
      <w:r w:rsidRPr="007C4541">
        <w:t>konsolidētie gada pārskati</w:t>
      </w:r>
      <w:r w:rsidR="003F6C71" w:rsidRPr="007C4541">
        <w:t xml:space="preserve">, ikgadējais pārskats par Valsts ieņēmumu dienesta </w:t>
      </w:r>
      <w:r w:rsidR="00141376" w:rsidRPr="007C4541">
        <w:t xml:space="preserve">(turpmāk – VID) </w:t>
      </w:r>
      <w:r w:rsidR="003F6C71" w:rsidRPr="007C4541">
        <w:t>administrētajiem nodokļiem, nodevām un citiem tā administrētajiem uz valsts budžetu attiecināmiem maksājumiem</w:t>
      </w:r>
      <w:r w:rsidRPr="007C4541">
        <w:t xml:space="preserve"> </w:t>
      </w:r>
      <w:r w:rsidR="00F30120" w:rsidRPr="007C4541">
        <w:t xml:space="preserve">(turpmāk – </w:t>
      </w:r>
      <w:r w:rsidR="00CB3465" w:rsidRPr="007C4541">
        <w:t xml:space="preserve">VID </w:t>
      </w:r>
      <w:r w:rsidR="00F30120" w:rsidRPr="007C4541">
        <w:t xml:space="preserve">administrēto valsts budžeta ieņēmumu uzskaite) </w:t>
      </w:r>
      <w:r w:rsidRPr="007C4541">
        <w:t>un</w:t>
      </w:r>
      <w:r w:rsidR="003F6C71" w:rsidRPr="007C4541">
        <w:t xml:space="preserve"> ikgadējais pārskats</w:t>
      </w:r>
      <w:r w:rsidRPr="007C4541">
        <w:t xml:space="preserve"> </w:t>
      </w:r>
      <w:r w:rsidR="003F6C71" w:rsidRPr="007C4541">
        <w:t>par</w:t>
      </w:r>
      <w:r w:rsidRPr="007C4541">
        <w:t xml:space="preserve"> valsts budžeta finanšu uzskait</w:t>
      </w:r>
      <w:r w:rsidR="003F6C71" w:rsidRPr="007C4541">
        <w:t>i</w:t>
      </w:r>
      <w:r w:rsidR="00F30120" w:rsidRPr="007C4541">
        <w:t xml:space="preserve"> (turpmāk – valsts budžeta finanšu uzskaite)</w:t>
      </w:r>
      <w:r w:rsidRPr="007C4541">
        <w:t>.</w:t>
      </w:r>
    </w:p>
    <w:p w14:paraId="5F9944E5" w14:textId="4CCD60BF" w:rsidR="00954F0C" w:rsidRPr="007C4541" w:rsidRDefault="00954F0C" w:rsidP="007C4541">
      <w:pPr>
        <w:pStyle w:val="Pamatteksts1"/>
      </w:pPr>
      <w:r w:rsidRPr="007C4541">
        <w:t>Ministriju un centrālo valsts iestāžu konsolidētajos gada pārskatos ir iekļauti valsts budžeta iestāžu, no valsts budžeta daļēji finansētu atvasinātu publisku personu un budžeta nefinansētu iestāžu</w:t>
      </w:r>
      <w:r w:rsidR="000A74E9" w:rsidRPr="007C4541">
        <w:t xml:space="preserve"> (turpmāk – valsts budžeta iestādes)</w:t>
      </w:r>
      <w:r w:rsidRPr="007C4541">
        <w:t xml:space="preserve"> gada pārskati.</w:t>
      </w:r>
    </w:p>
    <w:p w14:paraId="15F4E27B" w14:textId="47DAD604" w:rsidR="00954F0C" w:rsidRPr="007C4541" w:rsidRDefault="00954F0C" w:rsidP="007C4541">
      <w:pPr>
        <w:pStyle w:val="Pamatteksts1"/>
      </w:pPr>
      <w:r w:rsidRPr="007C4541">
        <w:t>Pašvaldību konsolidētajos gada pārskatos ir iekļauti pašvaldību budžeta iestāžu un kopīgo iestāžu</w:t>
      </w:r>
      <w:r w:rsidR="000A74E9" w:rsidRPr="007C4541">
        <w:t xml:space="preserve"> (turpmāk – pašvaldību budžeta iestāžu)</w:t>
      </w:r>
      <w:r w:rsidRPr="007C4541">
        <w:t xml:space="preserve"> gada pārskati. </w:t>
      </w:r>
    </w:p>
    <w:p w14:paraId="6EA141A0" w14:textId="035BB33C" w:rsidR="00954F0C" w:rsidRPr="007C4541" w:rsidRDefault="00954F0C" w:rsidP="007C4541">
      <w:pPr>
        <w:pStyle w:val="Pamatteksts1"/>
      </w:pPr>
      <w:r w:rsidRPr="007C4541">
        <w:t>20</w:t>
      </w:r>
      <w:r w:rsidR="00640280" w:rsidRPr="007C4541">
        <w:t>2</w:t>
      </w:r>
      <w:r w:rsidR="002F29E0" w:rsidRPr="007C4541">
        <w:t>4</w:t>
      </w:r>
      <w:r w:rsidRPr="007C4541">
        <w:t>. gadā budžeta iestādes grāmatvedības uzskaiti kārtoja un gada pārskatus sagatavoja atbilstoši 2018.</w:t>
      </w:r>
      <w:r w:rsidR="003021FC" w:rsidRPr="007C4541">
        <w:t> </w:t>
      </w:r>
      <w:r w:rsidRPr="007C4541">
        <w:t>gada 13.</w:t>
      </w:r>
      <w:r w:rsidR="003021FC" w:rsidRPr="007C4541">
        <w:t> </w:t>
      </w:r>
      <w:r w:rsidRPr="007C4541">
        <w:t>februāra noteikumiem Nr.</w:t>
      </w:r>
      <w:r w:rsidR="003021FC" w:rsidRPr="007C4541">
        <w:t> </w:t>
      </w:r>
      <w:r w:rsidRPr="007C4541">
        <w:t>87 “Grāmatvedības uzskaites kārtība budžeta iestādēs” (turpmāk – MK noteikumi Nr. 87) un Ministru kabineta 20</w:t>
      </w:r>
      <w:r w:rsidR="00045EA9" w:rsidRPr="007C4541">
        <w:t>21</w:t>
      </w:r>
      <w:r w:rsidRPr="007C4541">
        <w:t>. gada </w:t>
      </w:r>
      <w:r w:rsidR="00045EA9" w:rsidRPr="007C4541">
        <w:t>28</w:t>
      </w:r>
      <w:r w:rsidRPr="007C4541">
        <w:t>. </w:t>
      </w:r>
      <w:r w:rsidR="00045EA9" w:rsidRPr="007C4541">
        <w:t>septembra</w:t>
      </w:r>
      <w:r w:rsidRPr="007C4541">
        <w:t xml:space="preserve"> noteikumiem Nr. </w:t>
      </w:r>
      <w:r w:rsidR="000465A1" w:rsidRPr="007C4541">
        <w:t>652</w:t>
      </w:r>
      <w:r w:rsidRPr="007C4541">
        <w:t xml:space="preserve"> “Gada pārskata sagatavošanas kārtība” (turpmāk – MK noteikumi Nr. </w:t>
      </w:r>
      <w:r w:rsidR="000465A1" w:rsidRPr="007C4541">
        <w:t>652</w:t>
      </w:r>
      <w:r w:rsidRPr="007C4541">
        <w:t xml:space="preserve">). </w:t>
      </w:r>
    </w:p>
    <w:p w14:paraId="342A2804" w14:textId="0EB3F0F6" w:rsidR="007C6DFF" w:rsidRPr="007C4541" w:rsidRDefault="008B6424" w:rsidP="007C4541">
      <w:pPr>
        <w:pStyle w:val="Pamatteksts1"/>
      </w:pPr>
      <w:r w:rsidRPr="007C4541">
        <w:t xml:space="preserve">Normatīvie akti valsts un pašvaldību budžeta iestāžu grāmatvedības uzskaites un pārskatu sagatavošanas jomā izstrādāti, piemērojot Starptautisko publiskā sektora grāmatvedības standartu (turpmāk – SPSGS) prasības atbilstoši Latvijas situācijai un prasību atbilstība konkrētām SGSPS 2015. gada redakcijām apkopota tabulā. Atbilstoši </w:t>
      </w:r>
      <w:r w:rsidR="00D86F1E" w:rsidRPr="007C4541">
        <w:t>EUROSTAT 2020.gad</w:t>
      </w:r>
      <w:r w:rsidR="00D86F1E">
        <w:t>a novērtējumam</w:t>
      </w:r>
      <w:r w:rsidRPr="007C4541">
        <w:t xml:space="preserve"> Latvijas normatīvo aktu atbilstīb</w:t>
      </w:r>
      <w:r w:rsidR="00D86F1E">
        <w:t>a</w:t>
      </w:r>
      <w:r w:rsidRPr="007C4541">
        <w:t xml:space="preserve"> SPSGS sasniedza 93 %.</w:t>
      </w:r>
    </w:p>
    <w:tbl>
      <w:tblPr>
        <w:tblW w:w="9356" w:type="dxa"/>
        <w:tblBorders>
          <w:insideH w:val="single" w:sz="4" w:space="0" w:color="17365D"/>
        </w:tblBorders>
        <w:tblLook w:val="04A0" w:firstRow="1" w:lastRow="0" w:firstColumn="1" w:lastColumn="0" w:noHBand="0" w:noVBand="1"/>
      </w:tblPr>
      <w:tblGrid>
        <w:gridCol w:w="6379"/>
        <w:gridCol w:w="2977"/>
      </w:tblGrid>
      <w:tr w:rsidR="008C0961" w:rsidRPr="00A27896" w14:paraId="45AB9649" w14:textId="77777777" w:rsidTr="003C09DC">
        <w:trPr>
          <w:trHeight w:val="344"/>
          <w:tblHeader/>
        </w:trPr>
        <w:tc>
          <w:tcPr>
            <w:tcW w:w="6379" w:type="dxa"/>
            <w:tcBorders>
              <w:bottom w:val="single" w:sz="4" w:space="0" w:color="17365D"/>
            </w:tcBorders>
            <w:shd w:val="clear" w:color="000000" w:fill="B9CDE5"/>
            <w:vAlign w:val="center"/>
            <w:hideMark/>
          </w:tcPr>
          <w:p w14:paraId="0979D7FC" w14:textId="07E975E7" w:rsidR="008C0961" w:rsidRPr="000D101F" w:rsidRDefault="003E0991" w:rsidP="008C0961">
            <w:pPr>
              <w:spacing w:after="0" w:line="240" w:lineRule="auto"/>
              <w:jc w:val="center"/>
              <w:rPr>
                <w:rFonts w:eastAsia="Times New Roman" w:cs="Times New Roman"/>
                <w:b/>
                <w:bCs/>
                <w:color w:val="17365D"/>
                <w:sz w:val="22"/>
                <w:lang w:eastAsia="lv-LV"/>
              </w:rPr>
            </w:pPr>
            <w:r w:rsidRPr="000D101F">
              <w:rPr>
                <w:rFonts w:eastAsia="Times New Roman" w:cs="Times New Roman"/>
                <w:b/>
                <w:bCs/>
                <w:color w:val="17365D"/>
                <w:sz w:val="22"/>
                <w:lang w:eastAsia="lv-LV"/>
              </w:rPr>
              <w:t>SPSGS nosaukums</w:t>
            </w:r>
          </w:p>
        </w:tc>
        <w:tc>
          <w:tcPr>
            <w:tcW w:w="2977" w:type="dxa"/>
            <w:tcBorders>
              <w:bottom w:val="single" w:sz="4" w:space="0" w:color="17365D"/>
            </w:tcBorders>
            <w:shd w:val="clear" w:color="000000" w:fill="B9CDE5"/>
            <w:vAlign w:val="center"/>
            <w:hideMark/>
          </w:tcPr>
          <w:p w14:paraId="225F8630" w14:textId="4E745563" w:rsidR="008C0961" w:rsidRPr="000D101F" w:rsidRDefault="00BC78B5" w:rsidP="00BC78B5">
            <w:pPr>
              <w:spacing w:after="0" w:line="240" w:lineRule="auto"/>
              <w:jc w:val="center"/>
              <w:rPr>
                <w:rFonts w:eastAsia="Times New Roman" w:cs="Times New Roman"/>
                <w:b/>
                <w:bCs/>
                <w:color w:val="17365D"/>
                <w:sz w:val="22"/>
                <w:lang w:eastAsia="lv-LV"/>
              </w:rPr>
            </w:pPr>
            <w:r w:rsidRPr="000D101F">
              <w:rPr>
                <w:rFonts w:eastAsia="Times New Roman" w:cs="Times New Roman"/>
                <w:b/>
                <w:bCs/>
                <w:color w:val="17365D"/>
                <w:sz w:val="22"/>
                <w:lang w:eastAsia="lv-LV"/>
              </w:rPr>
              <w:t>Normatīvo aktu</w:t>
            </w:r>
            <w:r w:rsidR="00281879" w:rsidRPr="000D101F">
              <w:rPr>
                <w:rFonts w:eastAsia="Times New Roman" w:cs="Times New Roman"/>
                <w:b/>
                <w:bCs/>
                <w:color w:val="17365D"/>
                <w:sz w:val="22"/>
                <w:lang w:eastAsia="lv-LV"/>
              </w:rPr>
              <w:t xml:space="preserve"> </w:t>
            </w:r>
            <w:r w:rsidR="003E0991" w:rsidRPr="000D101F">
              <w:rPr>
                <w:rFonts w:eastAsia="Times New Roman" w:cs="Times New Roman"/>
                <w:b/>
                <w:bCs/>
                <w:color w:val="17365D"/>
                <w:sz w:val="22"/>
                <w:lang w:eastAsia="lv-LV"/>
              </w:rPr>
              <w:t>atbilstība SPSGS 2015.gada redakcijai</w:t>
            </w:r>
          </w:p>
        </w:tc>
      </w:tr>
      <w:tr w:rsidR="003C248A" w:rsidRPr="003C248A" w14:paraId="4F2A481F" w14:textId="77777777" w:rsidTr="00E70560">
        <w:trPr>
          <w:trHeight w:val="397"/>
        </w:trPr>
        <w:tc>
          <w:tcPr>
            <w:tcW w:w="6379" w:type="dxa"/>
            <w:tcBorders>
              <w:top w:val="single" w:sz="4" w:space="0" w:color="17365D"/>
              <w:bottom w:val="single" w:sz="4" w:space="0" w:color="17365D"/>
            </w:tcBorders>
            <w:shd w:val="clear" w:color="auto" w:fill="auto"/>
            <w:vAlign w:val="center"/>
          </w:tcPr>
          <w:p w14:paraId="76094157" w14:textId="4ED1E281" w:rsidR="003C248A" w:rsidRPr="00045EA9" w:rsidRDefault="003C248A" w:rsidP="00E70560">
            <w:pPr>
              <w:pStyle w:val="Pamatteksts1"/>
              <w:spacing w:after="0"/>
            </w:pPr>
            <w:r w:rsidRPr="00045EA9">
              <w:t>“Publiskā sektora vienību vispārīgo finanšu ziņojumu sniegšanas konceptuālās pamatnostādnes”</w:t>
            </w:r>
          </w:p>
        </w:tc>
        <w:tc>
          <w:tcPr>
            <w:tcW w:w="2977" w:type="dxa"/>
            <w:tcBorders>
              <w:top w:val="single" w:sz="4" w:space="0" w:color="17365D"/>
              <w:bottom w:val="single" w:sz="4" w:space="0" w:color="17365D"/>
            </w:tcBorders>
            <w:shd w:val="clear" w:color="auto" w:fill="auto"/>
            <w:noWrap/>
            <w:vAlign w:val="center"/>
          </w:tcPr>
          <w:p w14:paraId="5C1C926D" w14:textId="306594BC" w:rsidR="003C248A" w:rsidRPr="00045EA9" w:rsidRDefault="003C248A" w:rsidP="00E70560">
            <w:pPr>
              <w:pStyle w:val="Pamatteksts1"/>
              <w:spacing w:after="0"/>
            </w:pPr>
            <w:r w:rsidRPr="00045EA9">
              <w:t>Atbilst</w:t>
            </w:r>
          </w:p>
        </w:tc>
      </w:tr>
      <w:tr w:rsidR="003C248A" w:rsidRPr="003C248A" w14:paraId="1B8ACFE2" w14:textId="77777777" w:rsidTr="00E70560">
        <w:trPr>
          <w:trHeight w:val="397"/>
        </w:trPr>
        <w:tc>
          <w:tcPr>
            <w:tcW w:w="6379" w:type="dxa"/>
            <w:tcBorders>
              <w:top w:val="single" w:sz="4" w:space="0" w:color="17365D"/>
              <w:bottom w:val="single" w:sz="4" w:space="0" w:color="17365D"/>
            </w:tcBorders>
            <w:shd w:val="clear" w:color="auto" w:fill="auto"/>
            <w:vAlign w:val="center"/>
          </w:tcPr>
          <w:p w14:paraId="1E9F61BB" w14:textId="4407AD97" w:rsidR="003C248A" w:rsidRPr="00045EA9" w:rsidRDefault="003C248A" w:rsidP="00E70560">
            <w:pPr>
              <w:pStyle w:val="Pamatteksts1"/>
              <w:spacing w:after="0"/>
            </w:pPr>
            <w:r w:rsidRPr="00045EA9">
              <w:t>SPSGS 1 “Finanšu pārskatu sniegšana”</w:t>
            </w:r>
          </w:p>
        </w:tc>
        <w:tc>
          <w:tcPr>
            <w:tcW w:w="2977" w:type="dxa"/>
            <w:tcBorders>
              <w:top w:val="single" w:sz="4" w:space="0" w:color="17365D"/>
              <w:bottom w:val="single" w:sz="4" w:space="0" w:color="17365D"/>
            </w:tcBorders>
            <w:shd w:val="clear" w:color="auto" w:fill="auto"/>
            <w:noWrap/>
            <w:vAlign w:val="center"/>
          </w:tcPr>
          <w:p w14:paraId="63750698" w14:textId="759B43A8" w:rsidR="003C248A" w:rsidRPr="00045EA9" w:rsidRDefault="003C248A" w:rsidP="00E70560">
            <w:pPr>
              <w:pStyle w:val="Pamatteksts1"/>
              <w:spacing w:after="0"/>
            </w:pPr>
            <w:r w:rsidRPr="00045EA9">
              <w:t>Atbilst</w:t>
            </w:r>
          </w:p>
        </w:tc>
      </w:tr>
      <w:tr w:rsidR="003C248A" w:rsidRPr="003C248A" w14:paraId="534B711F" w14:textId="77777777" w:rsidTr="00E70560">
        <w:trPr>
          <w:trHeight w:val="397"/>
        </w:trPr>
        <w:tc>
          <w:tcPr>
            <w:tcW w:w="6379" w:type="dxa"/>
            <w:tcBorders>
              <w:top w:val="single" w:sz="4" w:space="0" w:color="17365D"/>
              <w:bottom w:val="single" w:sz="4" w:space="0" w:color="17365D"/>
            </w:tcBorders>
            <w:shd w:val="clear" w:color="auto" w:fill="auto"/>
            <w:vAlign w:val="center"/>
          </w:tcPr>
          <w:p w14:paraId="3755E2B3" w14:textId="607F8103" w:rsidR="003C248A" w:rsidRPr="00045EA9" w:rsidRDefault="003C248A" w:rsidP="00E70560">
            <w:pPr>
              <w:pStyle w:val="Pamatteksts1"/>
              <w:spacing w:after="0"/>
            </w:pPr>
            <w:r w:rsidRPr="00045EA9">
              <w:t>SPSGS 2 “Naudas plūsmas pārskats”</w:t>
            </w:r>
          </w:p>
        </w:tc>
        <w:tc>
          <w:tcPr>
            <w:tcW w:w="2977" w:type="dxa"/>
            <w:tcBorders>
              <w:top w:val="single" w:sz="4" w:space="0" w:color="17365D"/>
              <w:bottom w:val="single" w:sz="4" w:space="0" w:color="17365D"/>
            </w:tcBorders>
            <w:shd w:val="clear" w:color="auto" w:fill="auto"/>
            <w:noWrap/>
            <w:vAlign w:val="center"/>
          </w:tcPr>
          <w:p w14:paraId="74E6BF72" w14:textId="16852908" w:rsidR="003C248A" w:rsidRPr="00045EA9" w:rsidRDefault="003C248A" w:rsidP="00E70560">
            <w:pPr>
              <w:pStyle w:val="Pamatteksts1"/>
              <w:spacing w:after="0"/>
            </w:pPr>
            <w:r w:rsidRPr="00045EA9">
              <w:t>Atbilst</w:t>
            </w:r>
          </w:p>
        </w:tc>
      </w:tr>
      <w:tr w:rsidR="003C248A" w:rsidRPr="003C248A" w14:paraId="63931C4C" w14:textId="77777777" w:rsidTr="00E70560">
        <w:trPr>
          <w:trHeight w:val="397"/>
        </w:trPr>
        <w:tc>
          <w:tcPr>
            <w:tcW w:w="6379" w:type="dxa"/>
            <w:tcBorders>
              <w:top w:val="single" w:sz="4" w:space="0" w:color="17365D"/>
              <w:bottom w:val="single" w:sz="4" w:space="0" w:color="17365D"/>
            </w:tcBorders>
            <w:shd w:val="clear" w:color="auto" w:fill="auto"/>
            <w:vAlign w:val="center"/>
          </w:tcPr>
          <w:p w14:paraId="103FA415" w14:textId="0D83E2B0" w:rsidR="003C248A" w:rsidRPr="00045EA9" w:rsidRDefault="003C248A" w:rsidP="00E70560">
            <w:pPr>
              <w:pStyle w:val="Pamatteksts1"/>
              <w:spacing w:after="0"/>
              <w:jc w:val="left"/>
            </w:pPr>
            <w:r w:rsidRPr="00045EA9">
              <w:t>SPSGS 3 “Grāmatvedības politika, izmaiņas grāmatvedības aplēsēs un kļūdas”</w:t>
            </w:r>
          </w:p>
        </w:tc>
        <w:tc>
          <w:tcPr>
            <w:tcW w:w="2977" w:type="dxa"/>
            <w:tcBorders>
              <w:top w:val="single" w:sz="4" w:space="0" w:color="17365D"/>
              <w:bottom w:val="single" w:sz="4" w:space="0" w:color="17365D"/>
            </w:tcBorders>
            <w:shd w:val="clear" w:color="auto" w:fill="auto"/>
            <w:noWrap/>
            <w:vAlign w:val="center"/>
          </w:tcPr>
          <w:p w14:paraId="748669BB" w14:textId="179C380E" w:rsidR="003C248A" w:rsidRPr="00045EA9" w:rsidRDefault="003C248A" w:rsidP="00E70560">
            <w:pPr>
              <w:pStyle w:val="Pamatteksts1"/>
              <w:spacing w:after="0"/>
            </w:pPr>
            <w:r w:rsidRPr="00045EA9">
              <w:t>Atbilst</w:t>
            </w:r>
          </w:p>
        </w:tc>
      </w:tr>
      <w:tr w:rsidR="003C248A" w:rsidRPr="003C248A" w14:paraId="54D9CD07" w14:textId="77777777" w:rsidTr="00E70560">
        <w:trPr>
          <w:trHeight w:val="397"/>
        </w:trPr>
        <w:tc>
          <w:tcPr>
            <w:tcW w:w="6379" w:type="dxa"/>
            <w:tcBorders>
              <w:top w:val="single" w:sz="4" w:space="0" w:color="17365D"/>
              <w:bottom w:val="single" w:sz="4" w:space="0" w:color="17365D"/>
            </w:tcBorders>
            <w:shd w:val="clear" w:color="auto" w:fill="auto"/>
            <w:vAlign w:val="center"/>
          </w:tcPr>
          <w:p w14:paraId="1DB18912" w14:textId="5F1F3AD0" w:rsidR="003C248A" w:rsidRPr="00045EA9" w:rsidRDefault="003C248A" w:rsidP="00E70560">
            <w:pPr>
              <w:pStyle w:val="Pamatteksts1"/>
              <w:spacing w:after="0"/>
            </w:pPr>
            <w:r w:rsidRPr="00045EA9">
              <w:t>SPSGS 4 “Ārvalstu valūtas kursu izmaiņu ietekme”</w:t>
            </w:r>
          </w:p>
        </w:tc>
        <w:tc>
          <w:tcPr>
            <w:tcW w:w="2977" w:type="dxa"/>
            <w:tcBorders>
              <w:top w:val="single" w:sz="4" w:space="0" w:color="17365D"/>
              <w:bottom w:val="single" w:sz="4" w:space="0" w:color="17365D"/>
            </w:tcBorders>
            <w:shd w:val="clear" w:color="auto" w:fill="auto"/>
            <w:noWrap/>
            <w:vAlign w:val="center"/>
          </w:tcPr>
          <w:p w14:paraId="3EE43BE0" w14:textId="4C203393" w:rsidR="003C248A" w:rsidRPr="00045EA9" w:rsidRDefault="003C248A" w:rsidP="00E70560">
            <w:pPr>
              <w:pStyle w:val="Pamatteksts1"/>
              <w:spacing w:after="0"/>
            </w:pPr>
            <w:r w:rsidRPr="00045EA9">
              <w:t>Atbilst</w:t>
            </w:r>
          </w:p>
        </w:tc>
      </w:tr>
      <w:tr w:rsidR="003C248A" w:rsidRPr="003C248A" w14:paraId="5BC752FC" w14:textId="77777777" w:rsidTr="00E70560">
        <w:trPr>
          <w:trHeight w:val="397"/>
        </w:trPr>
        <w:tc>
          <w:tcPr>
            <w:tcW w:w="6379" w:type="dxa"/>
            <w:tcBorders>
              <w:top w:val="single" w:sz="4" w:space="0" w:color="17365D"/>
              <w:bottom w:val="single" w:sz="4" w:space="0" w:color="17365D"/>
            </w:tcBorders>
            <w:shd w:val="clear" w:color="auto" w:fill="auto"/>
            <w:vAlign w:val="center"/>
          </w:tcPr>
          <w:p w14:paraId="429B586A" w14:textId="0A676B78" w:rsidR="003C248A" w:rsidRPr="00045EA9" w:rsidRDefault="003C248A" w:rsidP="00E70560">
            <w:pPr>
              <w:pStyle w:val="Pamatteksts1"/>
              <w:spacing w:after="0"/>
            </w:pPr>
            <w:r w:rsidRPr="00045EA9">
              <w:t>SPSGS 5 “Aizņēmumu izmaksas”</w:t>
            </w:r>
          </w:p>
        </w:tc>
        <w:tc>
          <w:tcPr>
            <w:tcW w:w="2977" w:type="dxa"/>
            <w:tcBorders>
              <w:top w:val="single" w:sz="4" w:space="0" w:color="17365D"/>
              <w:bottom w:val="single" w:sz="4" w:space="0" w:color="17365D"/>
            </w:tcBorders>
            <w:shd w:val="clear" w:color="auto" w:fill="auto"/>
            <w:noWrap/>
            <w:vAlign w:val="center"/>
          </w:tcPr>
          <w:p w14:paraId="5C9BB04D" w14:textId="3C927EA3" w:rsidR="003C248A" w:rsidRPr="00045EA9" w:rsidRDefault="003C248A" w:rsidP="00E70560">
            <w:pPr>
              <w:pStyle w:val="Pamatteksts1"/>
              <w:spacing w:after="0"/>
            </w:pPr>
            <w:r w:rsidRPr="00045EA9">
              <w:t>Atbilst</w:t>
            </w:r>
          </w:p>
        </w:tc>
      </w:tr>
      <w:tr w:rsidR="003C248A" w:rsidRPr="003C248A" w14:paraId="0AB4EC70" w14:textId="77777777" w:rsidTr="00E70560">
        <w:trPr>
          <w:trHeight w:val="397"/>
        </w:trPr>
        <w:tc>
          <w:tcPr>
            <w:tcW w:w="6379" w:type="dxa"/>
            <w:tcBorders>
              <w:top w:val="single" w:sz="4" w:space="0" w:color="17365D"/>
              <w:bottom w:val="single" w:sz="4" w:space="0" w:color="17365D"/>
            </w:tcBorders>
            <w:shd w:val="clear" w:color="auto" w:fill="auto"/>
            <w:vAlign w:val="center"/>
          </w:tcPr>
          <w:p w14:paraId="08C785A9" w14:textId="5B10F4DA" w:rsidR="003C248A" w:rsidRPr="00045EA9" w:rsidRDefault="003C248A" w:rsidP="00E70560">
            <w:pPr>
              <w:pStyle w:val="Pamatteksts1"/>
              <w:spacing w:after="0"/>
            </w:pPr>
            <w:r w:rsidRPr="00045EA9">
              <w:t>SPSGS 6 “Konsolidētie un atsevišķie finanšu pārskati”</w:t>
            </w:r>
          </w:p>
        </w:tc>
        <w:tc>
          <w:tcPr>
            <w:tcW w:w="2977" w:type="dxa"/>
            <w:tcBorders>
              <w:top w:val="single" w:sz="4" w:space="0" w:color="17365D"/>
              <w:bottom w:val="single" w:sz="4" w:space="0" w:color="17365D"/>
            </w:tcBorders>
            <w:shd w:val="clear" w:color="auto" w:fill="auto"/>
            <w:noWrap/>
            <w:vAlign w:val="center"/>
          </w:tcPr>
          <w:p w14:paraId="695F5E63" w14:textId="348E2D88" w:rsidR="003C248A" w:rsidRPr="00045EA9" w:rsidRDefault="003C248A" w:rsidP="00E70560">
            <w:pPr>
              <w:pStyle w:val="Pamatteksts1"/>
              <w:spacing w:after="0"/>
            </w:pPr>
            <w:r w:rsidRPr="00045EA9">
              <w:t>Daļēji atbilst</w:t>
            </w:r>
          </w:p>
        </w:tc>
      </w:tr>
      <w:tr w:rsidR="003C248A" w:rsidRPr="003C248A" w14:paraId="178EF5DD" w14:textId="77777777" w:rsidTr="00E70560">
        <w:trPr>
          <w:trHeight w:val="397"/>
        </w:trPr>
        <w:tc>
          <w:tcPr>
            <w:tcW w:w="6379" w:type="dxa"/>
            <w:tcBorders>
              <w:top w:val="single" w:sz="4" w:space="0" w:color="17365D"/>
              <w:bottom w:val="single" w:sz="4" w:space="0" w:color="17365D"/>
            </w:tcBorders>
            <w:shd w:val="clear" w:color="auto" w:fill="auto"/>
            <w:vAlign w:val="center"/>
          </w:tcPr>
          <w:p w14:paraId="59DF2A73" w14:textId="4D75882E" w:rsidR="003C248A" w:rsidRPr="00045EA9" w:rsidRDefault="003C248A" w:rsidP="00E70560">
            <w:pPr>
              <w:pStyle w:val="Pamatteksts1"/>
              <w:spacing w:after="0"/>
            </w:pPr>
            <w:r w:rsidRPr="00045EA9">
              <w:t>SPSGS 7 “Ieguldījumi asociētajās kapitālsabiedrībās”</w:t>
            </w:r>
          </w:p>
        </w:tc>
        <w:tc>
          <w:tcPr>
            <w:tcW w:w="2977" w:type="dxa"/>
            <w:tcBorders>
              <w:top w:val="single" w:sz="4" w:space="0" w:color="17365D"/>
              <w:bottom w:val="single" w:sz="4" w:space="0" w:color="17365D"/>
            </w:tcBorders>
            <w:shd w:val="clear" w:color="auto" w:fill="auto"/>
            <w:noWrap/>
            <w:vAlign w:val="center"/>
          </w:tcPr>
          <w:p w14:paraId="616C6C98" w14:textId="30F63B62" w:rsidR="003C248A" w:rsidRPr="00045EA9" w:rsidRDefault="003C248A" w:rsidP="00E70560">
            <w:pPr>
              <w:pStyle w:val="Pamatteksts1"/>
              <w:spacing w:after="0"/>
            </w:pPr>
            <w:r w:rsidRPr="00045EA9">
              <w:t>Atbilst</w:t>
            </w:r>
          </w:p>
        </w:tc>
      </w:tr>
      <w:tr w:rsidR="003C248A" w:rsidRPr="003C248A" w14:paraId="13B3F803" w14:textId="77777777" w:rsidTr="00E70560">
        <w:trPr>
          <w:trHeight w:val="397"/>
        </w:trPr>
        <w:tc>
          <w:tcPr>
            <w:tcW w:w="6379" w:type="dxa"/>
            <w:tcBorders>
              <w:top w:val="single" w:sz="4" w:space="0" w:color="17365D"/>
              <w:bottom w:val="single" w:sz="4" w:space="0" w:color="17365D"/>
            </w:tcBorders>
            <w:shd w:val="clear" w:color="auto" w:fill="auto"/>
            <w:vAlign w:val="center"/>
          </w:tcPr>
          <w:p w14:paraId="627ACF50" w14:textId="7150DCF0" w:rsidR="003C248A" w:rsidRPr="00045EA9" w:rsidRDefault="003C248A" w:rsidP="00E70560">
            <w:pPr>
              <w:pStyle w:val="Pamatteksts1"/>
              <w:spacing w:after="0"/>
            </w:pPr>
            <w:r w:rsidRPr="00045EA9">
              <w:t>SPSGS 8 “Ieguldījumi kopīgi kontrolētajos pasākumos”</w:t>
            </w:r>
          </w:p>
        </w:tc>
        <w:tc>
          <w:tcPr>
            <w:tcW w:w="2977" w:type="dxa"/>
            <w:tcBorders>
              <w:top w:val="single" w:sz="4" w:space="0" w:color="17365D"/>
              <w:bottom w:val="single" w:sz="4" w:space="0" w:color="17365D"/>
            </w:tcBorders>
            <w:shd w:val="clear" w:color="auto" w:fill="auto"/>
            <w:noWrap/>
            <w:vAlign w:val="center"/>
          </w:tcPr>
          <w:p w14:paraId="1C701A77" w14:textId="4638E82F" w:rsidR="003C248A" w:rsidRPr="00045EA9" w:rsidRDefault="003C248A" w:rsidP="00E70560">
            <w:pPr>
              <w:pStyle w:val="Pamatteksts1"/>
              <w:spacing w:after="0"/>
            </w:pPr>
            <w:r w:rsidRPr="00045EA9">
              <w:t>Nav attiecināms</w:t>
            </w:r>
          </w:p>
        </w:tc>
      </w:tr>
      <w:tr w:rsidR="003C248A" w:rsidRPr="003C248A" w14:paraId="7D0241E8" w14:textId="77777777" w:rsidTr="00E70560">
        <w:trPr>
          <w:trHeight w:val="397"/>
        </w:trPr>
        <w:tc>
          <w:tcPr>
            <w:tcW w:w="6379" w:type="dxa"/>
            <w:tcBorders>
              <w:top w:val="single" w:sz="4" w:space="0" w:color="17365D"/>
              <w:bottom w:val="single" w:sz="4" w:space="0" w:color="17365D"/>
            </w:tcBorders>
            <w:shd w:val="clear" w:color="auto" w:fill="auto"/>
            <w:vAlign w:val="center"/>
          </w:tcPr>
          <w:p w14:paraId="7A3E4814" w14:textId="10303CCD" w:rsidR="003C248A" w:rsidRPr="00045EA9" w:rsidRDefault="003C248A" w:rsidP="00E70560">
            <w:pPr>
              <w:pStyle w:val="Pamatteksts1"/>
              <w:spacing w:after="0"/>
            </w:pPr>
            <w:r w:rsidRPr="00045EA9">
              <w:t>SPSGS 9 “Ieņēmumi no apmaiņas darījumiem”</w:t>
            </w:r>
          </w:p>
        </w:tc>
        <w:tc>
          <w:tcPr>
            <w:tcW w:w="2977" w:type="dxa"/>
            <w:tcBorders>
              <w:top w:val="single" w:sz="4" w:space="0" w:color="17365D"/>
              <w:bottom w:val="single" w:sz="4" w:space="0" w:color="17365D"/>
            </w:tcBorders>
            <w:shd w:val="clear" w:color="auto" w:fill="auto"/>
            <w:noWrap/>
            <w:vAlign w:val="center"/>
          </w:tcPr>
          <w:p w14:paraId="426021EC" w14:textId="25994344" w:rsidR="003C248A" w:rsidRPr="00045EA9" w:rsidRDefault="003C248A" w:rsidP="00E70560">
            <w:pPr>
              <w:pStyle w:val="Pamatteksts1"/>
              <w:spacing w:after="0"/>
            </w:pPr>
            <w:r w:rsidRPr="00045EA9">
              <w:t>Atbilst</w:t>
            </w:r>
          </w:p>
        </w:tc>
      </w:tr>
      <w:tr w:rsidR="003C248A" w:rsidRPr="003C248A" w14:paraId="7C9D4287" w14:textId="77777777" w:rsidTr="00E70560">
        <w:trPr>
          <w:trHeight w:val="397"/>
        </w:trPr>
        <w:tc>
          <w:tcPr>
            <w:tcW w:w="6379" w:type="dxa"/>
            <w:tcBorders>
              <w:top w:val="single" w:sz="4" w:space="0" w:color="17365D"/>
              <w:bottom w:val="single" w:sz="4" w:space="0" w:color="17365D"/>
            </w:tcBorders>
            <w:shd w:val="clear" w:color="auto" w:fill="auto"/>
            <w:vAlign w:val="center"/>
          </w:tcPr>
          <w:p w14:paraId="241DB603" w14:textId="64EB3C6A" w:rsidR="003C248A" w:rsidRPr="00045EA9" w:rsidRDefault="003C248A" w:rsidP="00E70560">
            <w:pPr>
              <w:pStyle w:val="Pamatteksts1"/>
              <w:spacing w:after="0"/>
            </w:pPr>
            <w:r w:rsidRPr="00045EA9">
              <w:t>SPSGS 11 “</w:t>
            </w:r>
            <w:proofErr w:type="spellStart"/>
            <w:r w:rsidRPr="00045EA9">
              <w:t>Būvlīgumi</w:t>
            </w:r>
            <w:proofErr w:type="spellEnd"/>
            <w:r w:rsidRPr="00045EA9">
              <w:t>”</w:t>
            </w:r>
          </w:p>
        </w:tc>
        <w:tc>
          <w:tcPr>
            <w:tcW w:w="2977" w:type="dxa"/>
            <w:tcBorders>
              <w:top w:val="single" w:sz="4" w:space="0" w:color="17365D"/>
              <w:bottom w:val="single" w:sz="4" w:space="0" w:color="17365D"/>
            </w:tcBorders>
            <w:shd w:val="clear" w:color="auto" w:fill="auto"/>
            <w:noWrap/>
            <w:vAlign w:val="center"/>
          </w:tcPr>
          <w:p w14:paraId="22DC6862" w14:textId="02455729" w:rsidR="003C248A" w:rsidRPr="00045EA9" w:rsidRDefault="003C248A" w:rsidP="00E70560">
            <w:pPr>
              <w:pStyle w:val="Pamatteksts1"/>
              <w:spacing w:after="0"/>
            </w:pPr>
            <w:r w:rsidRPr="00045EA9">
              <w:t>Nav attiecināms</w:t>
            </w:r>
          </w:p>
        </w:tc>
      </w:tr>
      <w:tr w:rsidR="003C248A" w:rsidRPr="003C248A" w14:paraId="08B3A255" w14:textId="77777777" w:rsidTr="00E70560">
        <w:trPr>
          <w:trHeight w:val="397"/>
        </w:trPr>
        <w:tc>
          <w:tcPr>
            <w:tcW w:w="6379" w:type="dxa"/>
            <w:tcBorders>
              <w:top w:val="single" w:sz="4" w:space="0" w:color="17365D"/>
              <w:bottom w:val="single" w:sz="4" w:space="0" w:color="17365D"/>
            </w:tcBorders>
            <w:shd w:val="clear" w:color="auto" w:fill="auto"/>
            <w:vAlign w:val="center"/>
          </w:tcPr>
          <w:p w14:paraId="380E2776" w14:textId="2F798846" w:rsidR="003C248A" w:rsidRPr="00045EA9" w:rsidRDefault="003C248A" w:rsidP="00E70560">
            <w:pPr>
              <w:pStyle w:val="Pamatteksts1"/>
              <w:spacing w:after="0"/>
            </w:pPr>
            <w:r w:rsidRPr="00045EA9">
              <w:lastRenderedPageBreak/>
              <w:t>SPSGS 12 “Krājumi”</w:t>
            </w:r>
          </w:p>
        </w:tc>
        <w:tc>
          <w:tcPr>
            <w:tcW w:w="2977" w:type="dxa"/>
            <w:tcBorders>
              <w:top w:val="single" w:sz="4" w:space="0" w:color="17365D"/>
              <w:bottom w:val="single" w:sz="4" w:space="0" w:color="17365D"/>
            </w:tcBorders>
            <w:shd w:val="clear" w:color="auto" w:fill="auto"/>
            <w:noWrap/>
            <w:vAlign w:val="center"/>
          </w:tcPr>
          <w:p w14:paraId="120C9B6F" w14:textId="20ACC9CF" w:rsidR="003C248A" w:rsidRPr="00045EA9" w:rsidRDefault="003C248A" w:rsidP="00E70560">
            <w:pPr>
              <w:pStyle w:val="Pamatteksts1"/>
              <w:spacing w:after="0"/>
            </w:pPr>
            <w:r w:rsidRPr="00045EA9">
              <w:t>Atbilst</w:t>
            </w:r>
          </w:p>
        </w:tc>
      </w:tr>
      <w:tr w:rsidR="003C248A" w:rsidRPr="003C248A" w14:paraId="2A6AA7AC" w14:textId="77777777" w:rsidTr="00E70560">
        <w:trPr>
          <w:trHeight w:val="397"/>
        </w:trPr>
        <w:tc>
          <w:tcPr>
            <w:tcW w:w="6379" w:type="dxa"/>
            <w:tcBorders>
              <w:top w:val="single" w:sz="4" w:space="0" w:color="17365D"/>
              <w:bottom w:val="single" w:sz="4" w:space="0" w:color="17365D"/>
            </w:tcBorders>
            <w:shd w:val="clear" w:color="auto" w:fill="auto"/>
            <w:vAlign w:val="center"/>
          </w:tcPr>
          <w:p w14:paraId="7CFCB1B5" w14:textId="1FC6C2D9" w:rsidR="003C248A" w:rsidRPr="00045EA9" w:rsidRDefault="003C248A" w:rsidP="00E70560">
            <w:pPr>
              <w:pStyle w:val="Pamatteksts1"/>
              <w:spacing w:after="0"/>
            </w:pPr>
            <w:r w:rsidRPr="00045EA9">
              <w:t>SPSGS 13 “Noma”</w:t>
            </w:r>
          </w:p>
        </w:tc>
        <w:tc>
          <w:tcPr>
            <w:tcW w:w="2977" w:type="dxa"/>
            <w:tcBorders>
              <w:top w:val="single" w:sz="4" w:space="0" w:color="17365D"/>
              <w:bottom w:val="single" w:sz="4" w:space="0" w:color="17365D"/>
            </w:tcBorders>
            <w:shd w:val="clear" w:color="auto" w:fill="auto"/>
            <w:noWrap/>
            <w:vAlign w:val="center"/>
          </w:tcPr>
          <w:p w14:paraId="053A58BB" w14:textId="272DBE99" w:rsidR="003C248A" w:rsidRPr="00045EA9" w:rsidRDefault="003C248A" w:rsidP="00E70560">
            <w:pPr>
              <w:pStyle w:val="Pamatteksts1"/>
              <w:spacing w:after="0"/>
            </w:pPr>
            <w:r w:rsidRPr="00045EA9">
              <w:t>Atbilst</w:t>
            </w:r>
          </w:p>
        </w:tc>
      </w:tr>
      <w:tr w:rsidR="003C248A" w:rsidRPr="00A27896" w14:paraId="7DA7004A" w14:textId="77777777" w:rsidTr="00E70560">
        <w:trPr>
          <w:trHeight w:val="397"/>
        </w:trPr>
        <w:tc>
          <w:tcPr>
            <w:tcW w:w="6379" w:type="dxa"/>
            <w:tcBorders>
              <w:top w:val="single" w:sz="4" w:space="0" w:color="17365D"/>
              <w:bottom w:val="single" w:sz="4" w:space="0" w:color="17365D"/>
            </w:tcBorders>
            <w:shd w:val="clear" w:color="auto" w:fill="auto"/>
            <w:vAlign w:val="center"/>
          </w:tcPr>
          <w:p w14:paraId="58AF2BA1" w14:textId="20F5BD2A" w:rsidR="003C248A" w:rsidRPr="00045EA9" w:rsidRDefault="003C248A" w:rsidP="00E70560">
            <w:pPr>
              <w:pStyle w:val="Pamatteksts1"/>
              <w:spacing w:after="0"/>
            </w:pPr>
            <w:r w:rsidRPr="00045EA9">
              <w:t>SPSGS 14 “Notikumi pēc bilances datuma”</w:t>
            </w:r>
          </w:p>
        </w:tc>
        <w:tc>
          <w:tcPr>
            <w:tcW w:w="2977" w:type="dxa"/>
            <w:tcBorders>
              <w:top w:val="single" w:sz="4" w:space="0" w:color="17365D"/>
              <w:bottom w:val="single" w:sz="4" w:space="0" w:color="17365D"/>
            </w:tcBorders>
            <w:shd w:val="clear" w:color="auto" w:fill="auto"/>
            <w:noWrap/>
            <w:vAlign w:val="center"/>
          </w:tcPr>
          <w:p w14:paraId="53299787" w14:textId="0E66B5F9" w:rsidR="003C248A" w:rsidRPr="00045EA9" w:rsidRDefault="003C248A" w:rsidP="00E70560">
            <w:pPr>
              <w:pStyle w:val="Pamatteksts1"/>
              <w:spacing w:after="0"/>
            </w:pPr>
            <w:r w:rsidRPr="00045EA9">
              <w:t>Atbilst</w:t>
            </w:r>
          </w:p>
        </w:tc>
      </w:tr>
      <w:tr w:rsidR="00045EA9" w:rsidRPr="00A27896" w14:paraId="3F87EC38" w14:textId="77777777" w:rsidTr="00E70560">
        <w:trPr>
          <w:trHeight w:val="397"/>
        </w:trPr>
        <w:tc>
          <w:tcPr>
            <w:tcW w:w="6379" w:type="dxa"/>
            <w:tcBorders>
              <w:top w:val="single" w:sz="4" w:space="0" w:color="17365D"/>
              <w:bottom w:val="single" w:sz="4" w:space="0" w:color="17365D"/>
            </w:tcBorders>
            <w:vAlign w:val="center"/>
          </w:tcPr>
          <w:p w14:paraId="6B495C69" w14:textId="062A1F14" w:rsidR="00045EA9" w:rsidRPr="00045EA9" w:rsidRDefault="00045EA9" w:rsidP="00E70560">
            <w:pPr>
              <w:pStyle w:val="Pamatteksts1"/>
              <w:spacing w:after="0"/>
            </w:pPr>
            <w:r w:rsidRPr="00045EA9">
              <w:t>SPSGS 16 “Ieguldījuma īpašumi”</w:t>
            </w:r>
          </w:p>
        </w:tc>
        <w:tc>
          <w:tcPr>
            <w:tcW w:w="2977" w:type="dxa"/>
            <w:tcBorders>
              <w:top w:val="single" w:sz="4" w:space="0" w:color="17365D"/>
              <w:bottom w:val="single" w:sz="4" w:space="0" w:color="17365D"/>
            </w:tcBorders>
            <w:noWrap/>
            <w:vAlign w:val="center"/>
          </w:tcPr>
          <w:p w14:paraId="786B1816" w14:textId="18F6F9DD" w:rsidR="00045EA9" w:rsidRPr="00045EA9" w:rsidRDefault="00045EA9" w:rsidP="00E70560">
            <w:pPr>
              <w:pStyle w:val="Pamatteksts1"/>
              <w:spacing w:after="0"/>
            </w:pPr>
            <w:r w:rsidRPr="00045EA9">
              <w:t>Atbilst</w:t>
            </w:r>
          </w:p>
        </w:tc>
      </w:tr>
      <w:tr w:rsidR="00045EA9" w:rsidRPr="00A27896" w14:paraId="3266E31B" w14:textId="77777777" w:rsidTr="003C09DC">
        <w:trPr>
          <w:trHeight w:val="397"/>
        </w:trPr>
        <w:tc>
          <w:tcPr>
            <w:tcW w:w="6379" w:type="dxa"/>
            <w:tcBorders>
              <w:top w:val="single" w:sz="4" w:space="0" w:color="17365D"/>
              <w:bottom w:val="single" w:sz="4" w:space="0" w:color="17365D"/>
            </w:tcBorders>
            <w:vAlign w:val="center"/>
          </w:tcPr>
          <w:p w14:paraId="27B5EB72" w14:textId="55DC6495" w:rsidR="00045EA9" w:rsidRPr="00045EA9" w:rsidRDefault="00045EA9" w:rsidP="00E70560">
            <w:pPr>
              <w:pStyle w:val="Pamatteksts1"/>
              <w:spacing w:after="0"/>
            </w:pPr>
            <w:r w:rsidRPr="00045EA9">
              <w:t>SPSGS 17 “Pamatlīdzekļi”</w:t>
            </w:r>
          </w:p>
        </w:tc>
        <w:tc>
          <w:tcPr>
            <w:tcW w:w="2977" w:type="dxa"/>
            <w:tcBorders>
              <w:top w:val="single" w:sz="4" w:space="0" w:color="17365D"/>
              <w:bottom w:val="single" w:sz="4" w:space="0" w:color="17365D"/>
            </w:tcBorders>
            <w:noWrap/>
            <w:vAlign w:val="center"/>
          </w:tcPr>
          <w:p w14:paraId="09162A71" w14:textId="030B850B" w:rsidR="00045EA9" w:rsidRPr="00045EA9" w:rsidRDefault="00045EA9" w:rsidP="00E70560">
            <w:pPr>
              <w:pStyle w:val="Pamatteksts1"/>
              <w:spacing w:after="0"/>
            </w:pPr>
            <w:r w:rsidRPr="00045EA9">
              <w:t>Atbilst</w:t>
            </w:r>
          </w:p>
        </w:tc>
      </w:tr>
      <w:tr w:rsidR="00045EA9" w:rsidRPr="00A27896" w14:paraId="43B9941A" w14:textId="77777777" w:rsidTr="003C09DC">
        <w:trPr>
          <w:trHeight w:val="397"/>
        </w:trPr>
        <w:tc>
          <w:tcPr>
            <w:tcW w:w="6379" w:type="dxa"/>
            <w:tcBorders>
              <w:top w:val="single" w:sz="4" w:space="0" w:color="17365D"/>
              <w:bottom w:val="single" w:sz="4" w:space="0" w:color="17365D"/>
            </w:tcBorders>
            <w:vAlign w:val="center"/>
          </w:tcPr>
          <w:p w14:paraId="0A7883F6" w14:textId="6BFBB376" w:rsidR="00045EA9" w:rsidRPr="00045EA9" w:rsidRDefault="00045EA9" w:rsidP="00E70560">
            <w:pPr>
              <w:pStyle w:val="Pamatteksts1"/>
              <w:spacing w:after="0"/>
            </w:pPr>
            <w:r w:rsidRPr="00045EA9">
              <w:t>SPSGS 18 “Informācijas sniegšana pa segmentiem”</w:t>
            </w:r>
          </w:p>
        </w:tc>
        <w:tc>
          <w:tcPr>
            <w:tcW w:w="2977" w:type="dxa"/>
            <w:tcBorders>
              <w:top w:val="single" w:sz="4" w:space="0" w:color="17365D"/>
              <w:bottom w:val="single" w:sz="4" w:space="0" w:color="17365D"/>
            </w:tcBorders>
            <w:noWrap/>
            <w:vAlign w:val="center"/>
          </w:tcPr>
          <w:p w14:paraId="4C6B1962" w14:textId="3220A61D" w:rsidR="00045EA9" w:rsidRPr="00045EA9" w:rsidRDefault="00045EA9" w:rsidP="00E70560">
            <w:pPr>
              <w:pStyle w:val="Pamatteksts1"/>
              <w:spacing w:after="0"/>
            </w:pPr>
            <w:r w:rsidRPr="00045EA9">
              <w:t>Nav plānots ieviest</w:t>
            </w:r>
          </w:p>
        </w:tc>
      </w:tr>
      <w:tr w:rsidR="00045EA9" w:rsidRPr="00A27896" w14:paraId="48955FD3" w14:textId="77777777" w:rsidTr="003C09DC">
        <w:trPr>
          <w:trHeight w:val="397"/>
        </w:trPr>
        <w:tc>
          <w:tcPr>
            <w:tcW w:w="6379" w:type="dxa"/>
            <w:tcBorders>
              <w:top w:val="single" w:sz="4" w:space="0" w:color="17365D"/>
              <w:bottom w:val="single" w:sz="4" w:space="0" w:color="17365D"/>
            </w:tcBorders>
            <w:vAlign w:val="center"/>
          </w:tcPr>
          <w:p w14:paraId="41737892" w14:textId="299174D6" w:rsidR="00045EA9" w:rsidRPr="00045EA9" w:rsidRDefault="00045EA9" w:rsidP="00E70560">
            <w:pPr>
              <w:pStyle w:val="Pamatteksts1"/>
              <w:spacing w:after="0"/>
              <w:jc w:val="left"/>
            </w:pPr>
            <w:r w:rsidRPr="00045EA9">
              <w:t>SPSGS 19 “Uzkrājumi, iespējamās saistības un iespējamie aktīvi”</w:t>
            </w:r>
          </w:p>
        </w:tc>
        <w:tc>
          <w:tcPr>
            <w:tcW w:w="2977" w:type="dxa"/>
            <w:tcBorders>
              <w:top w:val="single" w:sz="4" w:space="0" w:color="17365D"/>
              <w:bottom w:val="single" w:sz="4" w:space="0" w:color="17365D"/>
            </w:tcBorders>
            <w:noWrap/>
            <w:vAlign w:val="center"/>
          </w:tcPr>
          <w:p w14:paraId="05E54BB0" w14:textId="4C3C0876" w:rsidR="00045EA9" w:rsidRPr="00045EA9" w:rsidRDefault="00045EA9" w:rsidP="00E70560">
            <w:pPr>
              <w:pStyle w:val="Pamatteksts1"/>
              <w:spacing w:after="0"/>
            </w:pPr>
            <w:r w:rsidRPr="00045EA9">
              <w:t>Atbilst</w:t>
            </w:r>
          </w:p>
        </w:tc>
      </w:tr>
      <w:tr w:rsidR="00045EA9" w:rsidRPr="00A27896" w14:paraId="1D34BBF8" w14:textId="77777777" w:rsidTr="003C09DC">
        <w:trPr>
          <w:trHeight w:val="397"/>
        </w:trPr>
        <w:tc>
          <w:tcPr>
            <w:tcW w:w="6379" w:type="dxa"/>
            <w:tcBorders>
              <w:top w:val="single" w:sz="4" w:space="0" w:color="17365D"/>
              <w:bottom w:val="single" w:sz="4" w:space="0" w:color="17365D"/>
            </w:tcBorders>
            <w:vAlign w:val="center"/>
          </w:tcPr>
          <w:p w14:paraId="258A0708" w14:textId="361D8516" w:rsidR="00045EA9" w:rsidRPr="00045EA9" w:rsidRDefault="00045EA9" w:rsidP="00E70560">
            <w:pPr>
              <w:pStyle w:val="Pamatteksts1"/>
              <w:spacing w:after="0"/>
              <w:jc w:val="left"/>
            </w:pPr>
            <w:r w:rsidRPr="00045EA9">
              <w:t>SPSGS 20 “Informācijas uzrādīšana par saistītajām pusēm”</w:t>
            </w:r>
          </w:p>
        </w:tc>
        <w:tc>
          <w:tcPr>
            <w:tcW w:w="2977" w:type="dxa"/>
            <w:tcBorders>
              <w:top w:val="single" w:sz="4" w:space="0" w:color="17365D"/>
              <w:bottom w:val="single" w:sz="4" w:space="0" w:color="17365D"/>
            </w:tcBorders>
            <w:noWrap/>
            <w:vAlign w:val="center"/>
          </w:tcPr>
          <w:p w14:paraId="3B3C8E88" w14:textId="25877E40" w:rsidR="00045EA9" w:rsidRPr="00045EA9" w:rsidRDefault="00045EA9" w:rsidP="00E70560">
            <w:pPr>
              <w:pStyle w:val="Pamatteksts1"/>
              <w:spacing w:after="0"/>
            </w:pPr>
            <w:r w:rsidRPr="00045EA9">
              <w:t>Nav plānots ieviest</w:t>
            </w:r>
          </w:p>
        </w:tc>
      </w:tr>
      <w:tr w:rsidR="00045EA9" w:rsidRPr="00A27896" w14:paraId="6DF2903E" w14:textId="77777777" w:rsidTr="003C09DC">
        <w:trPr>
          <w:trHeight w:val="397"/>
        </w:trPr>
        <w:tc>
          <w:tcPr>
            <w:tcW w:w="6379" w:type="dxa"/>
            <w:tcBorders>
              <w:top w:val="single" w:sz="4" w:space="0" w:color="17365D"/>
              <w:bottom w:val="single" w:sz="4" w:space="0" w:color="17365D"/>
            </w:tcBorders>
            <w:vAlign w:val="center"/>
          </w:tcPr>
          <w:p w14:paraId="0B1BD44A" w14:textId="5A032E3F" w:rsidR="00045EA9" w:rsidRPr="00045EA9" w:rsidRDefault="00045EA9" w:rsidP="00E70560">
            <w:pPr>
              <w:pStyle w:val="Pamatteksts1"/>
              <w:spacing w:after="0"/>
              <w:jc w:val="left"/>
            </w:pPr>
            <w:r w:rsidRPr="00045EA9">
              <w:t>SPSGS 21 “Naudas līdzekļus neienesošu aktīvu vērtības samazināšanās”</w:t>
            </w:r>
          </w:p>
        </w:tc>
        <w:tc>
          <w:tcPr>
            <w:tcW w:w="2977" w:type="dxa"/>
            <w:tcBorders>
              <w:top w:val="single" w:sz="4" w:space="0" w:color="17365D"/>
              <w:bottom w:val="single" w:sz="4" w:space="0" w:color="17365D"/>
            </w:tcBorders>
            <w:noWrap/>
            <w:vAlign w:val="center"/>
          </w:tcPr>
          <w:p w14:paraId="45ABE164" w14:textId="47120E4A" w:rsidR="00045EA9" w:rsidRPr="00045EA9" w:rsidRDefault="00045EA9" w:rsidP="00E70560">
            <w:pPr>
              <w:pStyle w:val="Pamatteksts1"/>
              <w:spacing w:after="0"/>
            </w:pPr>
            <w:r w:rsidRPr="00045EA9">
              <w:t>Atbilst</w:t>
            </w:r>
          </w:p>
        </w:tc>
      </w:tr>
      <w:tr w:rsidR="00045EA9" w:rsidRPr="00A27896" w14:paraId="4EB75B67" w14:textId="77777777" w:rsidTr="003C09DC">
        <w:trPr>
          <w:trHeight w:val="397"/>
        </w:trPr>
        <w:tc>
          <w:tcPr>
            <w:tcW w:w="6379" w:type="dxa"/>
            <w:tcBorders>
              <w:top w:val="single" w:sz="4" w:space="0" w:color="17365D"/>
              <w:bottom w:val="single" w:sz="4" w:space="0" w:color="17365D"/>
            </w:tcBorders>
            <w:vAlign w:val="center"/>
          </w:tcPr>
          <w:p w14:paraId="0D948F57" w14:textId="1ABAF9D6" w:rsidR="00045EA9" w:rsidRPr="00045EA9" w:rsidRDefault="00045EA9" w:rsidP="00E70560">
            <w:pPr>
              <w:pStyle w:val="Pamatteksts1"/>
              <w:spacing w:after="0"/>
              <w:jc w:val="left"/>
            </w:pPr>
            <w:r w:rsidRPr="00045EA9">
              <w:t>SPSGS 22 “Finanšu informācijas uzrādīšana par vispārējās valdības sektoru”</w:t>
            </w:r>
          </w:p>
        </w:tc>
        <w:tc>
          <w:tcPr>
            <w:tcW w:w="2977" w:type="dxa"/>
            <w:tcBorders>
              <w:top w:val="single" w:sz="4" w:space="0" w:color="17365D"/>
              <w:bottom w:val="single" w:sz="4" w:space="0" w:color="17365D"/>
            </w:tcBorders>
            <w:noWrap/>
            <w:vAlign w:val="center"/>
          </w:tcPr>
          <w:p w14:paraId="174BB6FA" w14:textId="120F4F20" w:rsidR="00045EA9" w:rsidRPr="00045EA9" w:rsidRDefault="00045EA9" w:rsidP="00E70560">
            <w:pPr>
              <w:pStyle w:val="Pamatteksts1"/>
              <w:spacing w:after="0"/>
            </w:pPr>
            <w:r w:rsidRPr="00045EA9">
              <w:t>Nav plānots ieviest</w:t>
            </w:r>
          </w:p>
        </w:tc>
      </w:tr>
      <w:tr w:rsidR="00045EA9" w:rsidRPr="00A27896" w14:paraId="7FE4E8C9" w14:textId="77777777" w:rsidTr="003C09DC">
        <w:trPr>
          <w:trHeight w:val="397"/>
        </w:trPr>
        <w:tc>
          <w:tcPr>
            <w:tcW w:w="6379" w:type="dxa"/>
            <w:tcBorders>
              <w:top w:val="single" w:sz="4" w:space="0" w:color="17365D"/>
              <w:bottom w:val="single" w:sz="4" w:space="0" w:color="17365D"/>
            </w:tcBorders>
            <w:vAlign w:val="center"/>
          </w:tcPr>
          <w:p w14:paraId="6B3A5C4D" w14:textId="705B43EE" w:rsidR="00045EA9" w:rsidRPr="00045EA9" w:rsidRDefault="00045EA9" w:rsidP="00E70560">
            <w:pPr>
              <w:pStyle w:val="Pamatteksts1"/>
              <w:spacing w:after="0"/>
              <w:jc w:val="left"/>
            </w:pPr>
            <w:r w:rsidRPr="00045EA9">
              <w:t>SPSGS 23 “Ieņēmumi no darījumiem bez apmaiņas (nodokļi un pārvedumi)”</w:t>
            </w:r>
          </w:p>
        </w:tc>
        <w:tc>
          <w:tcPr>
            <w:tcW w:w="2977" w:type="dxa"/>
            <w:tcBorders>
              <w:top w:val="single" w:sz="4" w:space="0" w:color="17365D"/>
              <w:bottom w:val="single" w:sz="4" w:space="0" w:color="17365D"/>
            </w:tcBorders>
            <w:noWrap/>
            <w:vAlign w:val="center"/>
          </w:tcPr>
          <w:p w14:paraId="38F3E6AA" w14:textId="784A0256" w:rsidR="00045EA9" w:rsidRPr="00045EA9" w:rsidRDefault="00045EA9" w:rsidP="00E70560">
            <w:pPr>
              <w:pStyle w:val="Pamatteksts1"/>
              <w:spacing w:after="0"/>
            </w:pPr>
            <w:r w:rsidRPr="00045EA9">
              <w:t>Atbilst</w:t>
            </w:r>
          </w:p>
        </w:tc>
      </w:tr>
      <w:tr w:rsidR="00045EA9" w:rsidRPr="00A27896" w14:paraId="7FA3FECB" w14:textId="77777777" w:rsidTr="003C09DC">
        <w:trPr>
          <w:trHeight w:val="397"/>
        </w:trPr>
        <w:tc>
          <w:tcPr>
            <w:tcW w:w="6379" w:type="dxa"/>
            <w:tcBorders>
              <w:top w:val="single" w:sz="4" w:space="0" w:color="17365D"/>
              <w:bottom w:val="single" w:sz="4" w:space="0" w:color="17365D"/>
            </w:tcBorders>
            <w:vAlign w:val="center"/>
          </w:tcPr>
          <w:p w14:paraId="0BC36FD8" w14:textId="4A488744" w:rsidR="00045EA9" w:rsidRPr="00045EA9" w:rsidRDefault="00045EA9" w:rsidP="00E70560">
            <w:pPr>
              <w:pStyle w:val="Pamatteksts1"/>
              <w:spacing w:after="0"/>
              <w:jc w:val="left"/>
            </w:pPr>
            <w:r w:rsidRPr="00045EA9">
              <w:t>SPSGS 24 “Budžeta informācijas sniegšana finanšu pārskatos”</w:t>
            </w:r>
          </w:p>
        </w:tc>
        <w:tc>
          <w:tcPr>
            <w:tcW w:w="2977" w:type="dxa"/>
            <w:tcBorders>
              <w:top w:val="single" w:sz="4" w:space="0" w:color="17365D"/>
              <w:bottom w:val="single" w:sz="4" w:space="0" w:color="17365D"/>
            </w:tcBorders>
            <w:noWrap/>
            <w:vAlign w:val="center"/>
          </w:tcPr>
          <w:p w14:paraId="63A658A8" w14:textId="5B7A1671" w:rsidR="00045EA9" w:rsidRPr="00045EA9" w:rsidRDefault="00045EA9" w:rsidP="00E70560">
            <w:pPr>
              <w:pStyle w:val="Pamatteksts1"/>
              <w:spacing w:after="0"/>
            </w:pPr>
            <w:r w:rsidRPr="00045EA9">
              <w:t>Atbilst</w:t>
            </w:r>
          </w:p>
        </w:tc>
      </w:tr>
      <w:tr w:rsidR="00045EA9" w:rsidRPr="00A27896" w14:paraId="7602FD9F" w14:textId="77777777" w:rsidTr="003C09DC">
        <w:trPr>
          <w:trHeight w:val="397"/>
        </w:trPr>
        <w:tc>
          <w:tcPr>
            <w:tcW w:w="6379" w:type="dxa"/>
            <w:tcBorders>
              <w:top w:val="single" w:sz="4" w:space="0" w:color="17365D"/>
              <w:bottom w:val="single" w:sz="4" w:space="0" w:color="17365D"/>
            </w:tcBorders>
            <w:vAlign w:val="center"/>
          </w:tcPr>
          <w:p w14:paraId="5172A2D0" w14:textId="75BBC59D" w:rsidR="00045EA9" w:rsidRPr="00045EA9" w:rsidRDefault="00045EA9" w:rsidP="00E70560">
            <w:pPr>
              <w:pStyle w:val="Pamatteksts1"/>
              <w:spacing w:after="0"/>
              <w:jc w:val="left"/>
            </w:pPr>
            <w:r w:rsidRPr="00045EA9">
              <w:t>SPSGS 25 “Darbinieku labumi”</w:t>
            </w:r>
          </w:p>
        </w:tc>
        <w:tc>
          <w:tcPr>
            <w:tcW w:w="2977" w:type="dxa"/>
            <w:tcBorders>
              <w:top w:val="single" w:sz="4" w:space="0" w:color="17365D"/>
              <w:bottom w:val="single" w:sz="4" w:space="0" w:color="17365D"/>
            </w:tcBorders>
            <w:noWrap/>
            <w:vAlign w:val="center"/>
          </w:tcPr>
          <w:p w14:paraId="35DCE326" w14:textId="3F990CB3" w:rsidR="00045EA9" w:rsidRPr="00045EA9" w:rsidRDefault="00045EA9" w:rsidP="00E70560">
            <w:pPr>
              <w:pStyle w:val="Pamatteksts1"/>
              <w:spacing w:after="0"/>
            </w:pPr>
            <w:r w:rsidRPr="00045EA9">
              <w:t>Atbilst</w:t>
            </w:r>
          </w:p>
        </w:tc>
      </w:tr>
      <w:tr w:rsidR="00045EA9" w:rsidRPr="00A27896" w14:paraId="0B561330" w14:textId="77777777" w:rsidTr="003C09DC">
        <w:trPr>
          <w:trHeight w:val="397"/>
        </w:trPr>
        <w:tc>
          <w:tcPr>
            <w:tcW w:w="6379" w:type="dxa"/>
            <w:tcBorders>
              <w:top w:val="single" w:sz="4" w:space="0" w:color="17365D"/>
              <w:bottom w:val="single" w:sz="4" w:space="0" w:color="17365D"/>
            </w:tcBorders>
            <w:vAlign w:val="center"/>
          </w:tcPr>
          <w:p w14:paraId="6BC8AE47" w14:textId="6D8901D2" w:rsidR="00045EA9" w:rsidRPr="00045EA9" w:rsidRDefault="00045EA9" w:rsidP="00E70560">
            <w:pPr>
              <w:pStyle w:val="Pamatteksts1"/>
              <w:spacing w:after="0"/>
              <w:jc w:val="left"/>
            </w:pPr>
            <w:r w:rsidRPr="00045EA9">
              <w:t>SPSGS 26 “Naudas līdzekļus ienesošu aktīvu vērtības samazināšanās”</w:t>
            </w:r>
          </w:p>
        </w:tc>
        <w:tc>
          <w:tcPr>
            <w:tcW w:w="2977" w:type="dxa"/>
            <w:tcBorders>
              <w:top w:val="single" w:sz="4" w:space="0" w:color="17365D"/>
              <w:bottom w:val="single" w:sz="4" w:space="0" w:color="17365D"/>
            </w:tcBorders>
            <w:noWrap/>
            <w:vAlign w:val="center"/>
          </w:tcPr>
          <w:p w14:paraId="0CD2BAD4" w14:textId="3C17CA7A" w:rsidR="00045EA9" w:rsidRPr="00045EA9" w:rsidRDefault="00045EA9" w:rsidP="00E70560">
            <w:pPr>
              <w:pStyle w:val="Pamatteksts1"/>
              <w:spacing w:after="0"/>
            </w:pPr>
            <w:r w:rsidRPr="00045EA9">
              <w:t>Atbilst</w:t>
            </w:r>
          </w:p>
        </w:tc>
      </w:tr>
      <w:tr w:rsidR="00045EA9" w:rsidRPr="00A27896" w14:paraId="537C3795" w14:textId="77777777" w:rsidTr="003C09DC">
        <w:trPr>
          <w:trHeight w:val="397"/>
        </w:trPr>
        <w:tc>
          <w:tcPr>
            <w:tcW w:w="6379" w:type="dxa"/>
            <w:tcBorders>
              <w:top w:val="single" w:sz="4" w:space="0" w:color="17365D"/>
              <w:bottom w:val="single" w:sz="4" w:space="0" w:color="17365D"/>
            </w:tcBorders>
            <w:vAlign w:val="center"/>
          </w:tcPr>
          <w:p w14:paraId="002AC673" w14:textId="77BF8774" w:rsidR="00045EA9" w:rsidRPr="00045EA9" w:rsidRDefault="00045EA9" w:rsidP="00E70560">
            <w:pPr>
              <w:pStyle w:val="Pamatteksts1"/>
              <w:spacing w:after="0"/>
            </w:pPr>
            <w:r w:rsidRPr="00045EA9">
              <w:t>SPSGS 27 “Lauksaimniecība”</w:t>
            </w:r>
          </w:p>
        </w:tc>
        <w:tc>
          <w:tcPr>
            <w:tcW w:w="2977" w:type="dxa"/>
            <w:tcBorders>
              <w:top w:val="single" w:sz="4" w:space="0" w:color="17365D"/>
              <w:bottom w:val="single" w:sz="4" w:space="0" w:color="17365D"/>
            </w:tcBorders>
            <w:noWrap/>
            <w:vAlign w:val="center"/>
          </w:tcPr>
          <w:p w14:paraId="040BCB20" w14:textId="09BC64E1" w:rsidR="00045EA9" w:rsidRPr="00045EA9" w:rsidRDefault="00045EA9" w:rsidP="00E70560">
            <w:pPr>
              <w:pStyle w:val="Pamatteksts1"/>
              <w:spacing w:after="0"/>
            </w:pPr>
            <w:r w:rsidRPr="00045EA9">
              <w:t>Atbilst</w:t>
            </w:r>
          </w:p>
        </w:tc>
      </w:tr>
      <w:tr w:rsidR="00045EA9" w:rsidRPr="00A27896" w14:paraId="70C0F990" w14:textId="77777777" w:rsidTr="003C09DC">
        <w:trPr>
          <w:trHeight w:val="397"/>
        </w:trPr>
        <w:tc>
          <w:tcPr>
            <w:tcW w:w="6379" w:type="dxa"/>
            <w:tcBorders>
              <w:top w:val="single" w:sz="4" w:space="0" w:color="17365D"/>
              <w:bottom w:val="single" w:sz="4" w:space="0" w:color="17365D"/>
            </w:tcBorders>
            <w:vAlign w:val="center"/>
          </w:tcPr>
          <w:p w14:paraId="5F6D36BD" w14:textId="1B76C968" w:rsidR="00045EA9" w:rsidRPr="00045EA9" w:rsidRDefault="00045EA9" w:rsidP="00E70560">
            <w:pPr>
              <w:pStyle w:val="Pamatteksts1"/>
              <w:spacing w:after="0"/>
            </w:pPr>
            <w:r w:rsidRPr="00045EA9">
              <w:t>SPSGS 28 “Finanšu instrumenti: informācijas sniegšana”</w:t>
            </w:r>
          </w:p>
        </w:tc>
        <w:tc>
          <w:tcPr>
            <w:tcW w:w="2977" w:type="dxa"/>
            <w:tcBorders>
              <w:top w:val="single" w:sz="4" w:space="0" w:color="17365D"/>
              <w:bottom w:val="single" w:sz="4" w:space="0" w:color="17365D"/>
            </w:tcBorders>
            <w:noWrap/>
            <w:vAlign w:val="center"/>
          </w:tcPr>
          <w:p w14:paraId="7BD9E206" w14:textId="37196111" w:rsidR="00045EA9" w:rsidRPr="00045EA9" w:rsidRDefault="00045EA9" w:rsidP="00E70560">
            <w:pPr>
              <w:pStyle w:val="Pamatteksts1"/>
              <w:spacing w:after="0"/>
            </w:pPr>
            <w:r w:rsidRPr="00045EA9">
              <w:t>Atbilst</w:t>
            </w:r>
          </w:p>
        </w:tc>
      </w:tr>
      <w:tr w:rsidR="00045EA9" w:rsidRPr="00A27896" w14:paraId="25543663" w14:textId="77777777" w:rsidTr="003C09DC">
        <w:trPr>
          <w:trHeight w:val="397"/>
        </w:trPr>
        <w:tc>
          <w:tcPr>
            <w:tcW w:w="6379" w:type="dxa"/>
            <w:tcBorders>
              <w:top w:val="single" w:sz="4" w:space="0" w:color="17365D"/>
              <w:bottom w:val="single" w:sz="4" w:space="0" w:color="17365D"/>
            </w:tcBorders>
            <w:vAlign w:val="center"/>
          </w:tcPr>
          <w:p w14:paraId="3023432C" w14:textId="63AD8B30" w:rsidR="00045EA9" w:rsidRPr="00045EA9" w:rsidRDefault="00045EA9" w:rsidP="00E70560">
            <w:pPr>
              <w:pStyle w:val="Pamatteksts1"/>
              <w:spacing w:after="0"/>
            </w:pPr>
            <w:r w:rsidRPr="00045EA9">
              <w:t>SPSGS 29 “Finanšu instrumenti: atzīšana un novērtēšana”</w:t>
            </w:r>
          </w:p>
        </w:tc>
        <w:tc>
          <w:tcPr>
            <w:tcW w:w="2977" w:type="dxa"/>
            <w:tcBorders>
              <w:top w:val="single" w:sz="4" w:space="0" w:color="17365D"/>
              <w:bottom w:val="single" w:sz="4" w:space="0" w:color="17365D"/>
            </w:tcBorders>
            <w:noWrap/>
            <w:vAlign w:val="center"/>
          </w:tcPr>
          <w:p w14:paraId="53D4C9F2" w14:textId="13C18B41" w:rsidR="00045EA9" w:rsidRPr="00045EA9" w:rsidRDefault="00045EA9" w:rsidP="00E70560">
            <w:pPr>
              <w:pStyle w:val="Pamatteksts1"/>
              <w:spacing w:after="0"/>
            </w:pPr>
            <w:r w:rsidRPr="00045EA9">
              <w:t>Atbilst</w:t>
            </w:r>
          </w:p>
        </w:tc>
      </w:tr>
      <w:tr w:rsidR="00045EA9" w:rsidRPr="00A27896" w14:paraId="5D25C67E" w14:textId="77777777" w:rsidTr="003C09DC">
        <w:trPr>
          <w:trHeight w:val="397"/>
        </w:trPr>
        <w:tc>
          <w:tcPr>
            <w:tcW w:w="6379" w:type="dxa"/>
            <w:tcBorders>
              <w:top w:val="single" w:sz="4" w:space="0" w:color="17365D"/>
              <w:bottom w:val="single" w:sz="4" w:space="0" w:color="17365D"/>
            </w:tcBorders>
            <w:vAlign w:val="center"/>
          </w:tcPr>
          <w:p w14:paraId="2AB735E7" w14:textId="0307F5CA" w:rsidR="00045EA9" w:rsidRPr="00045EA9" w:rsidRDefault="00045EA9" w:rsidP="00E70560">
            <w:pPr>
              <w:pStyle w:val="Pamatteksts1"/>
              <w:spacing w:after="0"/>
            </w:pPr>
            <w:r w:rsidRPr="00045EA9">
              <w:t>SPSGS 30 “Finanšu instrumenti: informācijas uzrādīšana”</w:t>
            </w:r>
          </w:p>
        </w:tc>
        <w:tc>
          <w:tcPr>
            <w:tcW w:w="2977" w:type="dxa"/>
            <w:tcBorders>
              <w:top w:val="single" w:sz="4" w:space="0" w:color="17365D"/>
              <w:bottom w:val="single" w:sz="4" w:space="0" w:color="17365D"/>
            </w:tcBorders>
            <w:noWrap/>
            <w:vAlign w:val="center"/>
          </w:tcPr>
          <w:p w14:paraId="519BB2C3" w14:textId="636CEA32" w:rsidR="00045EA9" w:rsidRPr="00045EA9" w:rsidRDefault="00045EA9" w:rsidP="00E70560">
            <w:pPr>
              <w:pStyle w:val="Pamatteksts1"/>
              <w:spacing w:after="0"/>
            </w:pPr>
            <w:r w:rsidRPr="00045EA9">
              <w:t>Atbilst</w:t>
            </w:r>
          </w:p>
        </w:tc>
      </w:tr>
      <w:tr w:rsidR="00045EA9" w:rsidRPr="00A27896" w14:paraId="7EC8E58F" w14:textId="77777777" w:rsidTr="003C09DC">
        <w:trPr>
          <w:trHeight w:val="397"/>
        </w:trPr>
        <w:tc>
          <w:tcPr>
            <w:tcW w:w="6379" w:type="dxa"/>
            <w:tcBorders>
              <w:top w:val="single" w:sz="4" w:space="0" w:color="17365D"/>
              <w:bottom w:val="single" w:sz="4" w:space="0" w:color="17365D"/>
            </w:tcBorders>
            <w:vAlign w:val="center"/>
          </w:tcPr>
          <w:p w14:paraId="0D3CBFF2" w14:textId="646179A0" w:rsidR="00045EA9" w:rsidRPr="00045EA9" w:rsidRDefault="00045EA9" w:rsidP="00E70560">
            <w:pPr>
              <w:pStyle w:val="Pamatteksts1"/>
              <w:spacing w:after="0"/>
            </w:pPr>
            <w:r w:rsidRPr="00045EA9">
              <w:t>SPSGS 31 “Nemateriālie aktīvi”</w:t>
            </w:r>
          </w:p>
        </w:tc>
        <w:tc>
          <w:tcPr>
            <w:tcW w:w="2977" w:type="dxa"/>
            <w:tcBorders>
              <w:top w:val="single" w:sz="4" w:space="0" w:color="17365D"/>
              <w:bottom w:val="single" w:sz="4" w:space="0" w:color="17365D"/>
            </w:tcBorders>
            <w:noWrap/>
            <w:vAlign w:val="center"/>
          </w:tcPr>
          <w:p w14:paraId="6E9C572A" w14:textId="0A83CA77" w:rsidR="00045EA9" w:rsidRPr="00045EA9" w:rsidRDefault="00045EA9" w:rsidP="00E70560">
            <w:pPr>
              <w:pStyle w:val="Pamatteksts1"/>
              <w:spacing w:after="0"/>
            </w:pPr>
            <w:r w:rsidRPr="00045EA9">
              <w:t>Atbilst</w:t>
            </w:r>
          </w:p>
        </w:tc>
      </w:tr>
      <w:tr w:rsidR="00045EA9" w:rsidRPr="00A27896" w14:paraId="061D7350" w14:textId="77777777" w:rsidTr="003C09DC">
        <w:trPr>
          <w:trHeight w:val="397"/>
        </w:trPr>
        <w:tc>
          <w:tcPr>
            <w:tcW w:w="6379" w:type="dxa"/>
            <w:tcBorders>
              <w:top w:val="single" w:sz="4" w:space="0" w:color="17365D"/>
              <w:bottom w:val="single" w:sz="4" w:space="0" w:color="17365D"/>
            </w:tcBorders>
            <w:vAlign w:val="center"/>
          </w:tcPr>
          <w:p w14:paraId="7C1B902A" w14:textId="7CFAFAD0" w:rsidR="00045EA9" w:rsidRPr="00045EA9" w:rsidRDefault="00045EA9" w:rsidP="00E70560">
            <w:pPr>
              <w:pStyle w:val="Pamatteksts1"/>
              <w:spacing w:after="0"/>
              <w:jc w:val="left"/>
            </w:pPr>
            <w:r w:rsidRPr="00045EA9">
              <w:t>SPSGS 32 “Vienošanās par pakalpojumu koncesiju: Koncesijas devējs”</w:t>
            </w:r>
          </w:p>
        </w:tc>
        <w:tc>
          <w:tcPr>
            <w:tcW w:w="2977" w:type="dxa"/>
            <w:tcBorders>
              <w:top w:val="single" w:sz="4" w:space="0" w:color="17365D"/>
              <w:bottom w:val="single" w:sz="4" w:space="0" w:color="17365D"/>
            </w:tcBorders>
            <w:noWrap/>
            <w:vAlign w:val="center"/>
          </w:tcPr>
          <w:p w14:paraId="487686C8" w14:textId="4374F79F" w:rsidR="00045EA9" w:rsidRPr="00045EA9" w:rsidRDefault="00045EA9" w:rsidP="00E70560">
            <w:pPr>
              <w:pStyle w:val="Pamatteksts1"/>
              <w:spacing w:after="0"/>
            </w:pPr>
            <w:r w:rsidRPr="00045EA9">
              <w:t>Atbilst</w:t>
            </w:r>
          </w:p>
        </w:tc>
      </w:tr>
      <w:tr w:rsidR="00045EA9" w:rsidRPr="00A27896" w14:paraId="1A15E1C4" w14:textId="77777777" w:rsidTr="003C09DC">
        <w:trPr>
          <w:trHeight w:val="50"/>
        </w:trPr>
        <w:tc>
          <w:tcPr>
            <w:tcW w:w="6379" w:type="dxa"/>
            <w:tcBorders>
              <w:top w:val="single" w:sz="4" w:space="0" w:color="17365D"/>
            </w:tcBorders>
            <w:shd w:val="clear" w:color="000000" w:fill="B9CDE5"/>
            <w:noWrap/>
            <w:vAlign w:val="center"/>
            <w:hideMark/>
          </w:tcPr>
          <w:p w14:paraId="4ADA00CA" w14:textId="77777777" w:rsidR="00045EA9" w:rsidRPr="00A27896" w:rsidRDefault="00045EA9" w:rsidP="00045EA9">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977" w:type="dxa"/>
            <w:tcBorders>
              <w:top w:val="single" w:sz="4" w:space="0" w:color="17365D"/>
            </w:tcBorders>
            <w:shd w:val="clear" w:color="000000" w:fill="B9CDE5"/>
            <w:noWrap/>
            <w:vAlign w:val="center"/>
            <w:hideMark/>
          </w:tcPr>
          <w:p w14:paraId="285D3062" w14:textId="77777777" w:rsidR="00045EA9" w:rsidRPr="00A27896" w:rsidRDefault="00045EA9" w:rsidP="00045EA9">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664A5A7A" w14:textId="77777777" w:rsidR="008C0961" w:rsidRPr="00A27896" w:rsidRDefault="008C0961" w:rsidP="00F53AD9">
      <w:pPr>
        <w:pStyle w:val="Pamatteksts1"/>
      </w:pPr>
    </w:p>
    <w:p w14:paraId="5D824028" w14:textId="0DB839C7" w:rsidR="00954F0C" w:rsidRDefault="00954F0C" w:rsidP="00F53AD9">
      <w:pPr>
        <w:pStyle w:val="Pamatteksts1"/>
      </w:pPr>
      <w:r w:rsidRPr="00A27896">
        <w:t>Atbilstoši Likumam par budžetu un finanšu vadību 20</w:t>
      </w:r>
      <w:r w:rsidR="00640280" w:rsidRPr="00A27896">
        <w:t>2</w:t>
      </w:r>
      <w:r w:rsidR="002F29E0">
        <w:t>4</w:t>
      </w:r>
      <w:r w:rsidRPr="00A27896">
        <w:t xml:space="preserve">. gada finanšu pārskatā ir apkopoti </w:t>
      </w:r>
      <w:r w:rsidR="0044706E" w:rsidRPr="00A60A0E">
        <w:t>14 </w:t>
      </w:r>
      <w:r w:rsidRPr="00A60A0E">
        <w:t xml:space="preserve">ministriju, </w:t>
      </w:r>
      <w:r w:rsidR="00683457" w:rsidRPr="00A60A0E">
        <w:t>1</w:t>
      </w:r>
      <w:r w:rsidR="00366AB5" w:rsidRPr="00A60A0E">
        <w:t>4</w:t>
      </w:r>
      <w:r w:rsidR="00683457" w:rsidRPr="00A60A0E">
        <w:t xml:space="preserve"> </w:t>
      </w:r>
      <w:r w:rsidRPr="00A60A0E">
        <w:t xml:space="preserve">centrālo valsts iestāžu un </w:t>
      </w:r>
      <w:r w:rsidR="00DE0029" w:rsidRPr="00A60A0E">
        <w:t>4</w:t>
      </w:r>
      <w:r w:rsidR="001F12AE" w:rsidRPr="00A60A0E">
        <w:t>3</w:t>
      </w:r>
      <w:r w:rsidR="00DE0029" w:rsidRPr="00A60A0E">
        <w:t xml:space="preserve"> </w:t>
      </w:r>
      <w:r w:rsidRPr="00A60A0E">
        <w:t>pašvaldību</w:t>
      </w:r>
      <w:r w:rsidRPr="00A27896">
        <w:t xml:space="preserve"> 20</w:t>
      </w:r>
      <w:r w:rsidR="00640280" w:rsidRPr="00A27896">
        <w:t>2</w:t>
      </w:r>
      <w:r w:rsidR="002F29E0">
        <w:t>4</w:t>
      </w:r>
      <w:r w:rsidRPr="00A27896">
        <w:t xml:space="preserve">. gada </w:t>
      </w:r>
      <w:r w:rsidR="002F29E0">
        <w:t xml:space="preserve">pārskati un </w:t>
      </w:r>
      <w:r w:rsidRPr="00A27896">
        <w:t>konsolidētie gada pārskati</w:t>
      </w:r>
      <w:r w:rsidR="005A1903" w:rsidRPr="00A27896">
        <w:t xml:space="preserve"> un divi ikgadējie pārskati</w:t>
      </w:r>
      <w:r w:rsidRPr="00A27896">
        <w:t>.</w:t>
      </w:r>
    </w:p>
    <w:p w14:paraId="4076A8E0" w14:textId="77777777" w:rsidR="00CA3875" w:rsidRPr="00A27896" w:rsidRDefault="00CA3875" w:rsidP="00CA3875">
      <w:pPr>
        <w:pStyle w:val="Bullets"/>
        <w:numPr>
          <w:ilvl w:val="0"/>
          <w:numId w:val="0"/>
        </w:numPr>
        <w:ind w:left="493"/>
      </w:pPr>
      <w:r w:rsidRPr="00A27896">
        <w:t xml:space="preserve">Finanšu pārskatā iekļauta šāda finanšu informācija: </w:t>
      </w:r>
    </w:p>
    <w:p w14:paraId="2339638E" w14:textId="77777777" w:rsidR="00CA3875" w:rsidRPr="00A27896" w:rsidRDefault="00CA3875" w:rsidP="00CA3875">
      <w:pPr>
        <w:pStyle w:val="Bullets"/>
      </w:pPr>
      <w:r w:rsidRPr="00A27896">
        <w:t>konsolidētā grāmatvedības bilance;</w:t>
      </w:r>
    </w:p>
    <w:p w14:paraId="6BAD11AE" w14:textId="77777777" w:rsidR="00CA3875" w:rsidRPr="00A27896" w:rsidRDefault="00CA3875" w:rsidP="00CA3875">
      <w:pPr>
        <w:pStyle w:val="Bullets"/>
      </w:pPr>
      <w:r w:rsidRPr="00A27896">
        <w:t>konsolidētais pārskats par darbības finansiālajiem rezultātiem;</w:t>
      </w:r>
    </w:p>
    <w:p w14:paraId="698C2AE8" w14:textId="77777777" w:rsidR="00CA3875" w:rsidRPr="00A27896" w:rsidRDefault="00CA3875" w:rsidP="00CA3875">
      <w:pPr>
        <w:pStyle w:val="Bullets"/>
      </w:pPr>
      <w:r w:rsidRPr="00A27896">
        <w:t>konsolidētais pašu kapitāla izmaiņu pārskats;</w:t>
      </w:r>
    </w:p>
    <w:p w14:paraId="4156F94C" w14:textId="77777777" w:rsidR="00CA3875" w:rsidRPr="00A27896" w:rsidRDefault="00CA3875" w:rsidP="00CA3875">
      <w:pPr>
        <w:pStyle w:val="Bullets"/>
      </w:pPr>
      <w:r w:rsidRPr="00A27896">
        <w:t>konsolidētais naudas plūsmas pārskats;</w:t>
      </w:r>
    </w:p>
    <w:p w14:paraId="40A6AB7B" w14:textId="77777777" w:rsidR="00CA3875" w:rsidRPr="00A27896" w:rsidRDefault="00CA3875" w:rsidP="00CA3875">
      <w:pPr>
        <w:pStyle w:val="Bullets"/>
      </w:pPr>
      <w:r w:rsidRPr="00A27896">
        <w:t>finanšu pārskata pielikums, kurā sniegti skaidrojumi par:</w:t>
      </w:r>
    </w:p>
    <w:p w14:paraId="550D637A" w14:textId="77777777" w:rsidR="00CA3875" w:rsidRPr="00A27896" w:rsidRDefault="00CA3875" w:rsidP="00CA3875">
      <w:pPr>
        <w:pStyle w:val="Bullets2"/>
      </w:pPr>
      <w:r w:rsidRPr="00A27896">
        <w:t>grāmatvedības uzskaites principiem;</w:t>
      </w:r>
    </w:p>
    <w:p w14:paraId="7DAE1855" w14:textId="77777777" w:rsidR="00CA3875" w:rsidRPr="00A27896" w:rsidRDefault="00CA3875" w:rsidP="00CA3875">
      <w:pPr>
        <w:pStyle w:val="Bullets2"/>
      </w:pPr>
      <w:r w:rsidRPr="00A27896">
        <w:lastRenderedPageBreak/>
        <w:t>pārskata sagatavošanas principiem;</w:t>
      </w:r>
    </w:p>
    <w:p w14:paraId="1AE86CFE" w14:textId="77777777" w:rsidR="00CA3875" w:rsidRPr="00A27896" w:rsidRDefault="00CA3875" w:rsidP="00CA3875">
      <w:pPr>
        <w:pStyle w:val="Bullets2"/>
      </w:pPr>
      <w:r w:rsidRPr="00A27896">
        <w:t>finanšu instrumentu risku pārvaldīšanu;</w:t>
      </w:r>
    </w:p>
    <w:p w14:paraId="61AA0657" w14:textId="77777777" w:rsidR="00CA3875" w:rsidRPr="00A27896" w:rsidRDefault="00CA3875" w:rsidP="00CA3875">
      <w:pPr>
        <w:pStyle w:val="Bullets2"/>
      </w:pPr>
      <w:r w:rsidRPr="00A27896">
        <w:t>finanšu pārskata posteņiem.</w:t>
      </w:r>
    </w:p>
    <w:p w14:paraId="68E42F12" w14:textId="2E784348" w:rsidR="00954F0C" w:rsidRPr="00A27896" w:rsidRDefault="00954F0C" w:rsidP="00CA3875">
      <w:pPr>
        <w:pStyle w:val="Pamatteksts1"/>
        <w:ind w:firstLine="426"/>
      </w:pPr>
      <w:r w:rsidRPr="00A27896">
        <w:t>Finanšu pārskata sagatavošanā izmantoti šādi konsolidācijas veidi:</w:t>
      </w:r>
    </w:p>
    <w:p w14:paraId="14EEBF00" w14:textId="77777777" w:rsidR="00954F0C" w:rsidRPr="00A27896" w:rsidRDefault="00954F0C" w:rsidP="000D2C39">
      <w:pPr>
        <w:pStyle w:val="Bullets"/>
      </w:pPr>
      <w:r w:rsidRPr="00A27896">
        <w:t>pārskatu apvienošana, summējot visus pārskatos minētos rādītājus un veidojot pārskatu kopsavilkumus;</w:t>
      </w:r>
    </w:p>
    <w:p w14:paraId="57B79769" w14:textId="01139A9D" w:rsidR="0089409E" w:rsidRDefault="0089409E" w:rsidP="000D2C39">
      <w:pPr>
        <w:pStyle w:val="Bullets"/>
      </w:pPr>
      <w:r w:rsidRPr="0089409E">
        <w:t>finanšu pārskatu datus koriģē</w:t>
      </w:r>
      <w:r>
        <w:t>šana</w:t>
      </w:r>
      <w:r w:rsidRPr="0089409E">
        <w:t xml:space="preserve">, piemērojot </w:t>
      </w:r>
      <w:r>
        <w:t>vienādas</w:t>
      </w:r>
      <w:r w:rsidRPr="0089409E">
        <w:t xml:space="preserve"> grāmatvedības uzskaites metodes un novērtēšanas principus</w:t>
      </w:r>
      <w:r>
        <w:t>;</w:t>
      </w:r>
    </w:p>
    <w:p w14:paraId="26222756" w14:textId="0C328F57" w:rsidR="00954F0C" w:rsidRPr="00A27896" w:rsidRDefault="00954F0C" w:rsidP="000D2C39">
      <w:pPr>
        <w:pStyle w:val="Bullets"/>
      </w:pPr>
      <w:r w:rsidRPr="00A27896">
        <w:t>savstarpējo darījumu rezultāta vai atlikumu (pēc uzkrāšanas principa) izslēgšana, kas veikta s</w:t>
      </w:r>
      <w:r w:rsidR="005B508B" w:rsidRPr="00A27896">
        <w:t>tarp konsolidācijā iesaistītaj</w:t>
      </w:r>
      <w:r w:rsidRPr="00A27896">
        <w:t>ām institucionālo sektoru struktūrām</w:t>
      </w:r>
      <w:r w:rsidR="0089409E">
        <w:t>.</w:t>
      </w:r>
    </w:p>
    <w:p w14:paraId="63DE6EE3" w14:textId="45898F41" w:rsidR="00683457" w:rsidRPr="00DC41A7" w:rsidRDefault="00683457" w:rsidP="008515BB">
      <w:pPr>
        <w:pStyle w:val="Heading3"/>
      </w:pPr>
      <w:r w:rsidRPr="00DC41A7">
        <w:t>Str</w:t>
      </w:r>
      <w:r w:rsidR="00B30E2D" w:rsidRPr="00DC41A7">
        <w:t>u</w:t>
      </w:r>
      <w:r w:rsidRPr="00DC41A7">
        <w:t>kturālās izmaiņas</w:t>
      </w:r>
    </w:p>
    <w:p w14:paraId="2E18144D" w14:textId="6EE842EE" w:rsidR="00ED437E" w:rsidRPr="00DC41A7" w:rsidRDefault="00D24A69" w:rsidP="00F53AD9">
      <w:pPr>
        <w:pStyle w:val="Pamatteksts1"/>
      </w:pPr>
      <w:r w:rsidRPr="00DC41A7">
        <w:t>202</w:t>
      </w:r>
      <w:r w:rsidR="00DC41A7" w:rsidRPr="00DC41A7">
        <w:t>4</w:t>
      </w:r>
      <w:r w:rsidRPr="00DC41A7">
        <w:t>.</w:t>
      </w:r>
      <w:r w:rsidR="0057470D" w:rsidRPr="00DC41A7">
        <w:t xml:space="preserve"> </w:t>
      </w:r>
      <w:r w:rsidRPr="00DC41A7">
        <w:t>gadā turpinājās pašvaldību reorganizācija Administratīvi teritoriālās reformas ietvaros. Pašvaldības samazināja budžeta iestāžu skaitu, apvienojo</w:t>
      </w:r>
      <w:r w:rsidR="00C64FB7" w:rsidRPr="00DC41A7">
        <w:t>t</w:t>
      </w:r>
      <w:r w:rsidRPr="00DC41A7">
        <w:t xml:space="preserve"> iestādes kā vienu nodokļu maksātāju</w:t>
      </w:r>
      <w:r w:rsidR="00360EBA" w:rsidRPr="00DC41A7">
        <w:t>, piemēram</w:t>
      </w:r>
      <w:r w:rsidR="004925EC" w:rsidRPr="00DC41A7">
        <w:t>,</w:t>
      </w:r>
      <w:r w:rsidR="00360EBA" w:rsidRPr="00DC41A7">
        <w:t xml:space="preserve"> reorganizētas izglītības iestādes un paga</w:t>
      </w:r>
      <w:r w:rsidR="00542F01" w:rsidRPr="00DC41A7">
        <w:t>stu</w:t>
      </w:r>
      <w:r w:rsidR="00360EBA" w:rsidRPr="00DC41A7">
        <w:t xml:space="preserve"> pārvaldes</w:t>
      </w:r>
      <w:r w:rsidRPr="00DC41A7">
        <w:t>.</w:t>
      </w:r>
      <w:r w:rsidR="00542F01" w:rsidRPr="00DC41A7">
        <w:t xml:space="preserve"> Pārskata gadā turpinājās arī pašvaldību administratīvo funkciju centralizācija.</w:t>
      </w:r>
    </w:p>
    <w:p w14:paraId="52274C79" w14:textId="0647F240" w:rsidR="00AE04B1" w:rsidRPr="00AE04B1" w:rsidRDefault="00AE04B1" w:rsidP="00AE04B1">
      <w:pPr>
        <w:pStyle w:val="Pamatteksts1"/>
      </w:pPr>
      <w:r w:rsidRPr="00AE04B1">
        <w:t>2024.gada 1.jūlijā stājoties spēkā grozījumiem Ministru kabineta iekārtas likumā Vides aizsardzības un reģionālās attīstības ministrija pārdēvēta par Viedās administrācijas un reģionālās attīstības ministriju.</w:t>
      </w:r>
    </w:p>
    <w:p w14:paraId="3540E2E5" w14:textId="7B429E12" w:rsidR="00D1213C" w:rsidRPr="00AE04B1" w:rsidRDefault="00AE04B1" w:rsidP="00AE04B1">
      <w:pPr>
        <w:pStyle w:val="Pamatteksts1"/>
      </w:pPr>
      <w:r w:rsidRPr="00AE04B1">
        <w:t xml:space="preserve"> </w:t>
      </w:r>
      <w:r w:rsidR="00D1213C" w:rsidRPr="00AE04B1">
        <w:t xml:space="preserve">Atbilstoši Ministru kabineta 2024. gada 7. jūnija rīkojumam Nr. 446 "Par Vides aizsardzības un reģionālās attīstības ministrijas un Klimata un enerģētikas ministrijas reorganizāciju" ar 2024. gada 1. jūliju Klimata un enerģētikas ministrijas padotībā tika nodots Valsts vides dienests un Vides pārraudzības valsts birojs, kā arī tika noteikts, ka tā ir valsts sabiedrības ar ierobežotu atbildību </w:t>
      </w:r>
      <w:r w:rsidR="000327C4">
        <w:t>“</w:t>
      </w:r>
      <w:r w:rsidR="00D1213C" w:rsidRPr="00AE04B1">
        <w:t>Latvijas Vides, ģeoloģijas un meteoroloģijas centrs</w:t>
      </w:r>
      <w:r w:rsidR="000327C4">
        <w:t>”</w:t>
      </w:r>
      <w:r w:rsidR="00D1213C" w:rsidRPr="00AE04B1">
        <w:t xml:space="preserve"> valstij piederošo kapitāla daļu turētāja.</w:t>
      </w:r>
    </w:p>
    <w:p w14:paraId="4A5DFC71" w14:textId="68C79FB1" w:rsidR="00CB2415" w:rsidRPr="00AE04B1" w:rsidRDefault="00D1213C" w:rsidP="00AE04B1">
      <w:pPr>
        <w:pStyle w:val="Pamatteksts1"/>
      </w:pPr>
      <w:r w:rsidRPr="00AE04B1">
        <w:t xml:space="preserve">Ar </w:t>
      </w:r>
      <w:r w:rsidR="00CB2415" w:rsidRPr="00AE04B1">
        <w:t>2024.</w:t>
      </w:r>
      <w:r w:rsidR="00674E8D">
        <w:t> </w:t>
      </w:r>
      <w:r w:rsidR="00CB2415" w:rsidRPr="00AE04B1">
        <w:t>gada 1.</w:t>
      </w:r>
      <w:r w:rsidR="00674E8D">
        <w:t> </w:t>
      </w:r>
      <w:r w:rsidR="00CB2415" w:rsidRPr="00AE04B1">
        <w:t>septembri mainīts Valsts reģionālās attīstības aģentūras nosaukums, to pārdēvējot par Valsts digitālās attīstības aģentūru.</w:t>
      </w:r>
    </w:p>
    <w:p w14:paraId="669B56DC" w14:textId="26CADF30" w:rsidR="00CB2415" w:rsidRPr="00AE04B1" w:rsidRDefault="00CB2415" w:rsidP="00AE04B1">
      <w:pPr>
        <w:pStyle w:val="Pamatteksts1"/>
      </w:pPr>
      <w:r w:rsidRPr="00AE04B1">
        <w:t xml:space="preserve">Pamatojoties uz Ministru kabineta 2024. gada 22. oktobra </w:t>
      </w:r>
      <w:proofErr w:type="spellStart"/>
      <w:r w:rsidRPr="00AE04B1">
        <w:t>protokollēmuma</w:t>
      </w:r>
      <w:proofErr w:type="spellEnd"/>
      <w:r w:rsidRPr="00AE04B1">
        <w:t xml:space="preserve"> (protokols Nr.45 29. §)  1.punktu un 2024. gada 24. oktobra Ministru kabineta rīkojumu Nr.863 “Par valsts zinātniskā institūta – atvasināt</w:t>
      </w:r>
      <w:r w:rsidR="00D1213C" w:rsidRPr="00AE04B1">
        <w:t>a</w:t>
      </w:r>
      <w:r w:rsidRPr="00AE04B1">
        <w:t>s publiskās personas “Nacionālais botāniskais dārzs” – likvidāciju un Latvijas Nacionālā botāniskā dārza izveidošanu” ar 202</w:t>
      </w:r>
      <w:r w:rsidR="00D1213C" w:rsidRPr="00AE04B1">
        <w:t>4</w:t>
      </w:r>
      <w:r w:rsidRPr="00AE04B1">
        <w:t xml:space="preserve">. gada </w:t>
      </w:r>
      <w:r w:rsidR="00D1213C" w:rsidRPr="00AE04B1">
        <w:t>31.decembri</w:t>
      </w:r>
      <w:r w:rsidRPr="00AE04B1">
        <w:t xml:space="preserve"> ir likvidēts Viedās administrācijas un reģionālās attīstības ministrijas padotībā esošais valsts zinātniskais institūts – atvasinātā publiskā persona “Nacionālais botāniskais dārzs” un </w:t>
      </w:r>
      <w:r w:rsidR="00D1213C" w:rsidRPr="00AE04B1">
        <w:t xml:space="preserve">2025. gada 1. janvārī </w:t>
      </w:r>
      <w:r w:rsidRPr="00AE04B1">
        <w:t xml:space="preserve">izveidota Viedās administrācijas un reģionālās attīstības ministrijas pakļautībā esoša tiešās pārvaldes iestāde “Latvijas Nacionālais botāniskais dārzs”. Tiešās pārvaldes iestāde “Latvijas Nacionālais botāniskais dārzs” ir </w:t>
      </w:r>
      <w:r w:rsidR="00D1213C" w:rsidRPr="00AE04B1">
        <w:t>atvasinātas publiskās personas “Nacionālais botāniskais dārzs”</w:t>
      </w:r>
      <w:r w:rsidR="00AE04B1" w:rsidRPr="00AE04B1">
        <w:t xml:space="preserve"> </w:t>
      </w:r>
      <w:r w:rsidRPr="00AE04B1">
        <w:t xml:space="preserve">funkciju, tiesību, saistību, prasību, bilancē esošās mantas, finanšu līdzekļu, lietvedības un arhīva pārņēmēja. </w:t>
      </w:r>
    </w:p>
    <w:p w14:paraId="064E9301" w14:textId="77777777" w:rsidR="00954F0C" w:rsidRPr="00A27896" w:rsidRDefault="00954F0C" w:rsidP="008515BB">
      <w:pPr>
        <w:pStyle w:val="Heading3"/>
      </w:pPr>
      <w:bookmarkStart w:id="0" w:name="_Toc42846488"/>
      <w:r w:rsidRPr="00A27896">
        <w:t>Naudas vienība</w:t>
      </w:r>
      <w:bookmarkEnd w:id="0"/>
    </w:p>
    <w:p w14:paraId="0F6A4A5C" w14:textId="0ADC83BC" w:rsidR="00954F0C" w:rsidRPr="00A27896" w:rsidRDefault="00954F0C" w:rsidP="00F53AD9">
      <w:pPr>
        <w:pStyle w:val="Pamatteksts1"/>
      </w:pPr>
      <w:r w:rsidRPr="00A27896">
        <w:t xml:space="preserve">Grāmatvedības uzskaitē par vērtības mēru lietota naudas vienība </w:t>
      </w:r>
      <w:r w:rsidRPr="00A27896">
        <w:rPr>
          <w:i/>
        </w:rPr>
        <w:t>euro</w:t>
      </w:r>
      <w:r w:rsidRPr="00A27896">
        <w:t>.</w:t>
      </w:r>
    </w:p>
    <w:p w14:paraId="7BB35959" w14:textId="77777777" w:rsidR="00954F0C" w:rsidRPr="00A27896" w:rsidRDefault="00954F0C" w:rsidP="008515BB">
      <w:pPr>
        <w:pStyle w:val="Heading3"/>
      </w:pPr>
      <w:bookmarkStart w:id="1" w:name="_Toc42846489"/>
      <w:r w:rsidRPr="00A27896">
        <w:t>Ārvalstu valūtu pārvērtēšana</w:t>
      </w:r>
      <w:bookmarkEnd w:id="1"/>
    </w:p>
    <w:p w14:paraId="2A77B8CC" w14:textId="77777777" w:rsidR="00954F0C" w:rsidRPr="00A27896" w:rsidRDefault="00954F0C" w:rsidP="00F53AD9">
      <w:pPr>
        <w:pStyle w:val="Pamatteksts1"/>
      </w:pPr>
      <w:r w:rsidRPr="00A27896">
        <w:t xml:space="preserve">Budžeta iestādēs visi darījumi ārvalstu valūtās pārvērtēti </w:t>
      </w:r>
      <w:r w:rsidRPr="00A27896">
        <w:rPr>
          <w:i/>
        </w:rPr>
        <w:t>euro</w:t>
      </w:r>
      <w:r w:rsidRPr="00A27896">
        <w:t xml:space="preserve">, izmantojot Eiropas Centrālās bankas publicēto </w:t>
      </w:r>
      <w:r w:rsidRPr="00A27896">
        <w:rPr>
          <w:i/>
        </w:rPr>
        <w:t>euro</w:t>
      </w:r>
      <w:r w:rsidRPr="00A27896">
        <w:t xml:space="preserve"> atsauces kursus, bet, ja konkrētai ārvalstu valūtai nav Eiropas Centrālās bankas publicētā </w:t>
      </w:r>
      <w:r w:rsidRPr="00A27896">
        <w:rPr>
          <w:i/>
        </w:rPr>
        <w:t>euro</w:t>
      </w:r>
      <w:r w:rsidRPr="00A27896">
        <w:t xml:space="preserve"> atsauces kursa, tad izmantota pasaules finanšu tirgus atzīta finanšu informācijas sniedzēja periodiskajā izdevumā vai tā tīmekļa vietnē publicēto valūtas tirgus kursu </w:t>
      </w:r>
      <w:r w:rsidRPr="00A27896">
        <w:lastRenderedPageBreak/>
        <w:t xml:space="preserve">attiecība pret </w:t>
      </w:r>
      <w:proofErr w:type="spellStart"/>
      <w:r w:rsidRPr="00A27896">
        <w:rPr>
          <w:i/>
        </w:rPr>
        <w:t>euro</w:t>
      </w:r>
      <w:proofErr w:type="spellEnd"/>
      <w:r w:rsidRPr="00A27896">
        <w:t>, piemēram “</w:t>
      </w:r>
      <w:proofErr w:type="spellStart"/>
      <w:r w:rsidRPr="00A27896">
        <w:t>The</w:t>
      </w:r>
      <w:proofErr w:type="spellEnd"/>
      <w:r w:rsidRPr="00A27896">
        <w:t xml:space="preserve"> </w:t>
      </w:r>
      <w:proofErr w:type="spellStart"/>
      <w:r w:rsidRPr="00A27896">
        <w:t>Financial</w:t>
      </w:r>
      <w:proofErr w:type="spellEnd"/>
      <w:r w:rsidRPr="00A27896">
        <w:t xml:space="preserve"> </w:t>
      </w:r>
      <w:proofErr w:type="spellStart"/>
      <w:r w:rsidRPr="00A27896">
        <w:t>Times</w:t>
      </w:r>
      <w:proofErr w:type="spellEnd"/>
      <w:r w:rsidRPr="00A27896">
        <w:t xml:space="preserve">” publicētie ārvalstu valūtu kursi, (turpmāk – grāmatvedībā izmantotais ārvalstu valūtas kurss), kas ir spēkā darījuma dienas sākumā. </w:t>
      </w:r>
    </w:p>
    <w:p w14:paraId="4DF9418D" w14:textId="77777777" w:rsidR="00954F0C" w:rsidRPr="00A27896" w:rsidRDefault="00954F0C" w:rsidP="00F53AD9">
      <w:pPr>
        <w:pStyle w:val="Pamatteksts1"/>
      </w:pPr>
      <w:r w:rsidRPr="00A27896">
        <w:t xml:space="preserve">Ieņēmumus vai izdevumus, kas rodas no valūtas kursa svārstībām starp ieņēmumu vai izdevumu atzīšanas dienu un naudas saņemšanas vai samaksāšanas dienu, atzīst attiecīgā pārskata perioda finanšu ieņēmumos vai izdevumos. </w:t>
      </w:r>
    </w:p>
    <w:p w14:paraId="6E549716" w14:textId="77777777" w:rsidR="00954F0C" w:rsidRPr="00A27896" w:rsidRDefault="00954F0C" w:rsidP="00F53AD9">
      <w:pPr>
        <w:pStyle w:val="Pamatteksts1"/>
      </w:pPr>
      <w:r w:rsidRPr="00A27896">
        <w:t xml:space="preserve">Monetāro posteņu – naudas līdzekļu ārvalstu valūtā, prasību un saistību, kas saņemamas vai maksājamas ārvalstu valūtā, atlikumi pārrēķināti </w:t>
      </w:r>
      <w:r w:rsidRPr="00A27896">
        <w:rPr>
          <w:i/>
        </w:rPr>
        <w:t>euro</w:t>
      </w:r>
      <w:r w:rsidRPr="00A27896">
        <w:t xml:space="preserve"> atbilstoši grāmatvedībā izmantotajam ārvalstu valūtas kursam, kas ir spēkā pārskata gada pēdējās darba dienas beigās. Atlikumu izmaiņas no valūtas kursa svārstībām atzītas pārskata perioda finanšu ieņēmumos vai izdevumos.</w:t>
      </w:r>
    </w:p>
    <w:p w14:paraId="3E35112B" w14:textId="18E59A34" w:rsidR="00954F0C" w:rsidRPr="00A27896" w:rsidRDefault="00CA5D9A" w:rsidP="00815152">
      <w:pPr>
        <w:pStyle w:val="Tabulasnosaukums1"/>
        <w:rPr>
          <w:rFonts w:cs="Times New Roman"/>
          <w:i/>
          <w:color w:val="17365D"/>
          <w:szCs w:val="22"/>
        </w:rPr>
      </w:pPr>
      <w:r>
        <w:rPr>
          <w:rFonts w:cs="Times New Roman"/>
          <w:i/>
          <w:color w:val="17365D"/>
          <w:szCs w:val="22"/>
        </w:rPr>
        <w:t>1.</w:t>
      </w:r>
      <w:r w:rsidR="00954F0C" w:rsidRPr="00A27896">
        <w:rPr>
          <w:rFonts w:cs="Times New Roman"/>
          <w:i/>
          <w:color w:val="17365D"/>
          <w:szCs w:val="22"/>
        </w:rPr>
        <w:t>1. tabula. Grāmatvedībā izmantotie ārvalstu valūtas kursi (euro)</w:t>
      </w:r>
    </w:p>
    <w:tbl>
      <w:tblPr>
        <w:tblW w:w="4999" w:type="pct"/>
        <w:jc w:val="center"/>
        <w:tblLook w:val="01E0" w:firstRow="1" w:lastRow="1" w:firstColumn="1" w:lastColumn="1" w:noHBand="0" w:noVBand="0"/>
      </w:tblPr>
      <w:tblGrid>
        <w:gridCol w:w="3366"/>
        <w:gridCol w:w="3367"/>
        <w:gridCol w:w="2619"/>
      </w:tblGrid>
      <w:tr w:rsidR="001B5EC2" w:rsidRPr="00A27896" w14:paraId="6253664F" w14:textId="77777777" w:rsidTr="00905AEC">
        <w:trPr>
          <w:jc w:val="center"/>
        </w:trPr>
        <w:tc>
          <w:tcPr>
            <w:tcW w:w="1667" w:type="pct"/>
            <w:tcBorders>
              <w:bottom w:val="single" w:sz="4" w:space="0" w:color="17365D"/>
            </w:tcBorders>
            <w:shd w:val="clear" w:color="auto" w:fill="B9CDE5"/>
            <w:vAlign w:val="center"/>
          </w:tcPr>
          <w:p w14:paraId="14E060F0" w14:textId="77777777" w:rsidR="001B5EC2" w:rsidRPr="00A27896" w:rsidRDefault="001B5EC2" w:rsidP="00A927FF">
            <w:pPr>
              <w:pStyle w:val="Pamatteksts1"/>
              <w:spacing w:after="0"/>
            </w:pPr>
            <w:r w:rsidRPr="00A27896">
              <w:t>Valūta</w:t>
            </w:r>
          </w:p>
        </w:tc>
        <w:tc>
          <w:tcPr>
            <w:tcW w:w="1667" w:type="pct"/>
            <w:tcBorders>
              <w:bottom w:val="single" w:sz="4" w:space="0" w:color="17365D"/>
            </w:tcBorders>
            <w:shd w:val="clear" w:color="auto" w:fill="B9CDE5"/>
            <w:vAlign w:val="center"/>
          </w:tcPr>
          <w:p w14:paraId="7EF38125" w14:textId="0024B3D6" w:rsidR="001B5EC2" w:rsidRPr="00261123" w:rsidRDefault="001B5EC2" w:rsidP="00A927FF">
            <w:pPr>
              <w:pStyle w:val="Pamatteksts1"/>
              <w:spacing w:after="0"/>
            </w:pPr>
            <w:r w:rsidRPr="00261123">
              <w:t>31.12.202</w:t>
            </w:r>
            <w:r w:rsidRPr="001B5EC2">
              <w:t>4</w:t>
            </w:r>
            <w:r w:rsidRPr="00261123">
              <w:t>.</w:t>
            </w:r>
          </w:p>
        </w:tc>
        <w:tc>
          <w:tcPr>
            <w:tcW w:w="1666" w:type="pct"/>
            <w:tcBorders>
              <w:bottom w:val="single" w:sz="4" w:space="0" w:color="17365D"/>
            </w:tcBorders>
            <w:shd w:val="clear" w:color="auto" w:fill="B9CDE5"/>
            <w:vAlign w:val="center"/>
          </w:tcPr>
          <w:p w14:paraId="5EAE5DDA" w14:textId="3AFEB878" w:rsidR="001B5EC2" w:rsidRPr="00261123" w:rsidRDefault="001B5EC2" w:rsidP="00A927FF">
            <w:pPr>
              <w:pStyle w:val="Pamatteksts1"/>
              <w:spacing w:after="0"/>
            </w:pPr>
            <w:r w:rsidRPr="001B5EC2">
              <w:t>31.12.2023.</w:t>
            </w:r>
          </w:p>
        </w:tc>
      </w:tr>
      <w:tr w:rsidR="001B5EC2" w:rsidRPr="00A27896" w14:paraId="6BED3699" w14:textId="77777777" w:rsidTr="00A927FF">
        <w:trPr>
          <w:trHeight w:val="340"/>
          <w:jc w:val="center"/>
        </w:trPr>
        <w:tc>
          <w:tcPr>
            <w:tcW w:w="1800" w:type="pct"/>
            <w:tcBorders>
              <w:top w:val="single" w:sz="4" w:space="0" w:color="17365D"/>
              <w:bottom w:val="single" w:sz="4" w:space="0" w:color="17365D"/>
            </w:tcBorders>
            <w:vAlign w:val="center"/>
          </w:tcPr>
          <w:p w14:paraId="3488D70A" w14:textId="77777777" w:rsidR="001B5EC2" w:rsidRPr="00A27896" w:rsidRDefault="001B5EC2" w:rsidP="00A927FF">
            <w:pPr>
              <w:pStyle w:val="Pamatteksts1"/>
              <w:spacing w:after="0"/>
            </w:pPr>
            <w:r w:rsidRPr="00A27896">
              <w:t>USD</w:t>
            </w:r>
          </w:p>
        </w:tc>
        <w:tc>
          <w:tcPr>
            <w:tcW w:w="1800" w:type="pct"/>
            <w:tcBorders>
              <w:top w:val="single" w:sz="4" w:space="0" w:color="17365D"/>
              <w:bottom w:val="single" w:sz="4" w:space="0" w:color="17365D"/>
            </w:tcBorders>
            <w:vAlign w:val="center"/>
          </w:tcPr>
          <w:p w14:paraId="00AE7B85" w14:textId="2798B698" w:rsidR="001B5EC2" w:rsidRPr="00261123" w:rsidRDefault="001B5EC2" w:rsidP="00A927FF">
            <w:pPr>
              <w:pStyle w:val="Pamatteksts1"/>
              <w:spacing w:after="0"/>
            </w:pPr>
            <w:r w:rsidRPr="00261123">
              <w:t>1.03890</w:t>
            </w:r>
          </w:p>
        </w:tc>
        <w:tc>
          <w:tcPr>
            <w:tcW w:w="1800" w:type="pct"/>
            <w:tcBorders>
              <w:top w:val="single" w:sz="4" w:space="0" w:color="17365D"/>
              <w:bottom w:val="single" w:sz="4" w:space="0" w:color="17365D"/>
            </w:tcBorders>
            <w:vAlign w:val="center"/>
          </w:tcPr>
          <w:p w14:paraId="40C54B79" w14:textId="320CFE41" w:rsidR="001B5EC2" w:rsidRPr="00261123" w:rsidRDefault="001B5EC2" w:rsidP="00A927FF">
            <w:pPr>
              <w:pStyle w:val="Pamatteksts1"/>
              <w:spacing w:after="0"/>
            </w:pPr>
            <w:r w:rsidRPr="000B0261">
              <w:t>1.10500</w:t>
            </w:r>
          </w:p>
        </w:tc>
      </w:tr>
      <w:tr w:rsidR="001B5EC2" w:rsidRPr="00A27896" w14:paraId="02DC9FA6" w14:textId="77777777" w:rsidTr="00A927FF">
        <w:trPr>
          <w:trHeight w:val="340"/>
          <w:jc w:val="center"/>
        </w:trPr>
        <w:tc>
          <w:tcPr>
            <w:tcW w:w="1800" w:type="pct"/>
            <w:tcBorders>
              <w:top w:val="single" w:sz="4" w:space="0" w:color="17365D"/>
              <w:bottom w:val="single" w:sz="4" w:space="0" w:color="17365D"/>
            </w:tcBorders>
            <w:vAlign w:val="center"/>
          </w:tcPr>
          <w:p w14:paraId="0654887E" w14:textId="77777777" w:rsidR="001B5EC2" w:rsidRPr="00A27896" w:rsidRDefault="001B5EC2" w:rsidP="00A927FF">
            <w:pPr>
              <w:pStyle w:val="Pamatteksts1"/>
              <w:spacing w:after="0"/>
            </w:pPr>
            <w:r w:rsidRPr="00A27896">
              <w:t>CHF</w:t>
            </w:r>
          </w:p>
        </w:tc>
        <w:tc>
          <w:tcPr>
            <w:tcW w:w="1800" w:type="pct"/>
            <w:tcBorders>
              <w:top w:val="single" w:sz="4" w:space="0" w:color="17365D"/>
              <w:bottom w:val="single" w:sz="4" w:space="0" w:color="17365D"/>
            </w:tcBorders>
            <w:vAlign w:val="center"/>
          </w:tcPr>
          <w:p w14:paraId="7404F574" w14:textId="624E8381" w:rsidR="001B5EC2" w:rsidRPr="00261123" w:rsidRDefault="001B5EC2" w:rsidP="00A927FF">
            <w:pPr>
              <w:pStyle w:val="Pamatteksts1"/>
              <w:spacing w:after="0"/>
            </w:pPr>
            <w:r w:rsidRPr="00261123">
              <w:t>0.94120</w:t>
            </w:r>
          </w:p>
        </w:tc>
        <w:tc>
          <w:tcPr>
            <w:tcW w:w="1800" w:type="pct"/>
            <w:tcBorders>
              <w:top w:val="single" w:sz="4" w:space="0" w:color="17365D"/>
              <w:bottom w:val="single" w:sz="4" w:space="0" w:color="17365D"/>
            </w:tcBorders>
            <w:vAlign w:val="center"/>
          </w:tcPr>
          <w:p w14:paraId="7D495F5E" w14:textId="30FB0DE2" w:rsidR="001B5EC2" w:rsidRPr="00261123" w:rsidRDefault="001B5EC2" w:rsidP="00A927FF">
            <w:pPr>
              <w:pStyle w:val="Pamatteksts1"/>
              <w:spacing w:after="0"/>
            </w:pPr>
            <w:r w:rsidRPr="000B0261">
              <w:t>0.926</w:t>
            </w:r>
          </w:p>
        </w:tc>
      </w:tr>
      <w:tr w:rsidR="001B5EC2" w:rsidRPr="00A27896" w14:paraId="33E62AAC" w14:textId="77777777" w:rsidTr="00A927FF">
        <w:trPr>
          <w:trHeight w:val="340"/>
          <w:jc w:val="center"/>
        </w:trPr>
        <w:tc>
          <w:tcPr>
            <w:tcW w:w="1800" w:type="pct"/>
            <w:tcBorders>
              <w:top w:val="single" w:sz="4" w:space="0" w:color="17365D"/>
              <w:bottom w:val="single" w:sz="4" w:space="0" w:color="17365D"/>
            </w:tcBorders>
            <w:vAlign w:val="center"/>
          </w:tcPr>
          <w:p w14:paraId="64E55894" w14:textId="77777777" w:rsidR="001B5EC2" w:rsidRPr="00A27896" w:rsidRDefault="001B5EC2" w:rsidP="00A927FF">
            <w:pPr>
              <w:pStyle w:val="Pamatteksts1"/>
              <w:spacing w:after="0"/>
            </w:pPr>
            <w:r w:rsidRPr="00A27896">
              <w:t>GBP</w:t>
            </w:r>
          </w:p>
        </w:tc>
        <w:tc>
          <w:tcPr>
            <w:tcW w:w="1800" w:type="pct"/>
            <w:tcBorders>
              <w:top w:val="single" w:sz="4" w:space="0" w:color="17365D"/>
              <w:bottom w:val="single" w:sz="4" w:space="0" w:color="17365D"/>
            </w:tcBorders>
            <w:vAlign w:val="center"/>
          </w:tcPr>
          <w:p w14:paraId="4D84053A" w14:textId="20150700" w:rsidR="001B5EC2" w:rsidRPr="00261123" w:rsidRDefault="001B5EC2" w:rsidP="00A927FF">
            <w:pPr>
              <w:pStyle w:val="Pamatteksts1"/>
              <w:spacing w:after="0"/>
            </w:pPr>
            <w:r w:rsidRPr="00261123">
              <w:t>0.82918</w:t>
            </w:r>
          </w:p>
        </w:tc>
        <w:tc>
          <w:tcPr>
            <w:tcW w:w="1800" w:type="pct"/>
            <w:tcBorders>
              <w:top w:val="single" w:sz="4" w:space="0" w:color="17365D"/>
              <w:bottom w:val="single" w:sz="4" w:space="0" w:color="17365D"/>
            </w:tcBorders>
            <w:vAlign w:val="center"/>
          </w:tcPr>
          <w:p w14:paraId="5CC95C48" w14:textId="6C00D419" w:rsidR="001B5EC2" w:rsidRPr="00261123" w:rsidRDefault="001B5EC2" w:rsidP="00A927FF">
            <w:pPr>
              <w:pStyle w:val="Pamatteksts1"/>
              <w:spacing w:after="0"/>
            </w:pPr>
            <w:r w:rsidRPr="000B0261">
              <w:t>0.86905</w:t>
            </w:r>
          </w:p>
        </w:tc>
      </w:tr>
      <w:tr w:rsidR="001B5EC2" w:rsidRPr="00A27896" w14:paraId="2EA2763F" w14:textId="77777777" w:rsidTr="00A927FF">
        <w:trPr>
          <w:trHeight w:val="340"/>
          <w:jc w:val="center"/>
        </w:trPr>
        <w:tc>
          <w:tcPr>
            <w:tcW w:w="1800" w:type="pct"/>
            <w:tcBorders>
              <w:top w:val="single" w:sz="4" w:space="0" w:color="17365D"/>
              <w:bottom w:val="single" w:sz="4" w:space="0" w:color="17365D"/>
            </w:tcBorders>
            <w:vAlign w:val="center"/>
          </w:tcPr>
          <w:p w14:paraId="1FFFCD45" w14:textId="77777777" w:rsidR="001B5EC2" w:rsidRPr="00A27896" w:rsidRDefault="001B5EC2" w:rsidP="00A927FF">
            <w:pPr>
              <w:pStyle w:val="Pamatteksts1"/>
              <w:spacing w:after="0"/>
            </w:pPr>
            <w:r w:rsidRPr="00A27896">
              <w:t>DKK</w:t>
            </w:r>
          </w:p>
        </w:tc>
        <w:tc>
          <w:tcPr>
            <w:tcW w:w="1800" w:type="pct"/>
            <w:tcBorders>
              <w:top w:val="single" w:sz="4" w:space="0" w:color="17365D"/>
              <w:bottom w:val="single" w:sz="4" w:space="0" w:color="17365D"/>
            </w:tcBorders>
            <w:vAlign w:val="center"/>
          </w:tcPr>
          <w:p w14:paraId="3372A02A" w14:textId="5AE9F7E3" w:rsidR="001B5EC2" w:rsidRPr="00261123" w:rsidRDefault="001B5EC2" w:rsidP="00A927FF">
            <w:pPr>
              <w:pStyle w:val="Pamatteksts1"/>
              <w:spacing w:after="0"/>
            </w:pPr>
            <w:r w:rsidRPr="00261123">
              <w:t>7.45780</w:t>
            </w:r>
          </w:p>
        </w:tc>
        <w:tc>
          <w:tcPr>
            <w:tcW w:w="1800" w:type="pct"/>
            <w:tcBorders>
              <w:top w:val="single" w:sz="4" w:space="0" w:color="17365D"/>
              <w:bottom w:val="single" w:sz="4" w:space="0" w:color="17365D"/>
            </w:tcBorders>
            <w:vAlign w:val="center"/>
          </w:tcPr>
          <w:p w14:paraId="4F774BC4" w14:textId="0041A9D3" w:rsidR="001B5EC2" w:rsidRPr="00261123" w:rsidRDefault="001B5EC2" w:rsidP="00A927FF">
            <w:pPr>
              <w:pStyle w:val="Pamatteksts1"/>
              <w:spacing w:after="0"/>
            </w:pPr>
            <w:r w:rsidRPr="000B0261">
              <w:t>7.4529</w:t>
            </w:r>
          </w:p>
        </w:tc>
      </w:tr>
      <w:tr w:rsidR="001B5EC2" w:rsidRPr="00A27896" w14:paraId="01108BD4" w14:textId="77777777" w:rsidTr="00A927FF">
        <w:trPr>
          <w:trHeight w:val="340"/>
          <w:jc w:val="center"/>
        </w:trPr>
        <w:tc>
          <w:tcPr>
            <w:tcW w:w="1800" w:type="pct"/>
            <w:tcBorders>
              <w:top w:val="single" w:sz="4" w:space="0" w:color="17365D"/>
              <w:bottom w:val="single" w:sz="4" w:space="0" w:color="17365D"/>
            </w:tcBorders>
            <w:vAlign w:val="center"/>
          </w:tcPr>
          <w:p w14:paraId="299F12C6" w14:textId="77777777" w:rsidR="001B5EC2" w:rsidRPr="00A27896" w:rsidRDefault="001B5EC2" w:rsidP="00A927FF">
            <w:pPr>
              <w:pStyle w:val="Pamatteksts1"/>
              <w:spacing w:after="0"/>
            </w:pPr>
            <w:r w:rsidRPr="00A27896">
              <w:t>SEK</w:t>
            </w:r>
          </w:p>
        </w:tc>
        <w:tc>
          <w:tcPr>
            <w:tcW w:w="1800" w:type="pct"/>
            <w:tcBorders>
              <w:top w:val="single" w:sz="4" w:space="0" w:color="17365D"/>
              <w:bottom w:val="single" w:sz="4" w:space="0" w:color="17365D"/>
            </w:tcBorders>
            <w:vAlign w:val="center"/>
          </w:tcPr>
          <w:p w14:paraId="569FFF22" w14:textId="089B35C3" w:rsidR="001B5EC2" w:rsidRPr="00261123" w:rsidRDefault="001B5EC2" w:rsidP="00A927FF">
            <w:pPr>
              <w:pStyle w:val="Pamatteksts1"/>
              <w:spacing w:after="0"/>
            </w:pPr>
            <w:r w:rsidRPr="00261123">
              <w:t>11.45900</w:t>
            </w:r>
          </w:p>
        </w:tc>
        <w:tc>
          <w:tcPr>
            <w:tcW w:w="1800" w:type="pct"/>
            <w:tcBorders>
              <w:top w:val="single" w:sz="4" w:space="0" w:color="17365D"/>
              <w:bottom w:val="single" w:sz="4" w:space="0" w:color="17365D"/>
            </w:tcBorders>
            <w:vAlign w:val="center"/>
          </w:tcPr>
          <w:p w14:paraId="530BA6F3" w14:textId="523743D5" w:rsidR="001B5EC2" w:rsidRPr="00261123" w:rsidRDefault="001B5EC2" w:rsidP="00A927FF">
            <w:pPr>
              <w:pStyle w:val="Pamatteksts1"/>
              <w:spacing w:after="0"/>
            </w:pPr>
            <w:r w:rsidRPr="000B0261">
              <w:t>11.096</w:t>
            </w:r>
          </w:p>
        </w:tc>
      </w:tr>
      <w:tr w:rsidR="001B5EC2" w:rsidRPr="00A27896" w14:paraId="215C8C27" w14:textId="77777777" w:rsidTr="00A927FF">
        <w:trPr>
          <w:trHeight w:val="340"/>
          <w:jc w:val="center"/>
        </w:trPr>
        <w:tc>
          <w:tcPr>
            <w:tcW w:w="1800" w:type="pct"/>
            <w:tcBorders>
              <w:top w:val="single" w:sz="4" w:space="0" w:color="17365D"/>
              <w:bottom w:val="single" w:sz="4" w:space="0" w:color="17365D"/>
            </w:tcBorders>
            <w:vAlign w:val="center"/>
          </w:tcPr>
          <w:p w14:paraId="72D0E56E" w14:textId="77777777" w:rsidR="001B5EC2" w:rsidRPr="00A27896" w:rsidRDefault="001B5EC2" w:rsidP="00A927FF">
            <w:pPr>
              <w:pStyle w:val="Pamatteksts1"/>
              <w:spacing w:after="0"/>
            </w:pPr>
            <w:r w:rsidRPr="00A27896">
              <w:t>XDR</w:t>
            </w:r>
          </w:p>
        </w:tc>
        <w:tc>
          <w:tcPr>
            <w:tcW w:w="1800" w:type="pct"/>
            <w:tcBorders>
              <w:top w:val="single" w:sz="4" w:space="0" w:color="17365D"/>
              <w:bottom w:val="single" w:sz="4" w:space="0" w:color="17365D"/>
            </w:tcBorders>
            <w:vAlign w:val="center"/>
          </w:tcPr>
          <w:p w14:paraId="52FEAD9D" w14:textId="0FA012B5" w:rsidR="001B5EC2" w:rsidRPr="001B5EC2" w:rsidRDefault="00936670" w:rsidP="00A927FF">
            <w:pPr>
              <w:pStyle w:val="Pamatteksts1"/>
              <w:spacing w:after="0"/>
              <w:rPr>
                <w:highlight w:val="yellow"/>
              </w:rPr>
            </w:pPr>
            <w:r w:rsidRPr="00936670">
              <w:t>0.798042</w:t>
            </w:r>
          </w:p>
        </w:tc>
        <w:tc>
          <w:tcPr>
            <w:tcW w:w="1800" w:type="pct"/>
            <w:tcBorders>
              <w:top w:val="single" w:sz="4" w:space="0" w:color="17365D"/>
              <w:bottom w:val="single" w:sz="4" w:space="0" w:color="17365D"/>
            </w:tcBorders>
            <w:vAlign w:val="center"/>
          </w:tcPr>
          <w:p w14:paraId="0F5740C5" w14:textId="7A3CF64D" w:rsidR="001B5EC2" w:rsidRPr="00261123" w:rsidRDefault="001B5EC2" w:rsidP="00A927FF">
            <w:pPr>
              <w:pStyle w:val="Pamatteksts1"/>
              <w:spacing w:after="0"/>
            </w:pPr>
            <w:r w:rsidRPr="000B0261">
              <w:t>0.820766</w:t>
            </w:r>
            <w:r w:rsidRPr="000B0261" w:rsidDel="00384D96">
              <w:t xml:space="preserve"> </w:t>
            </w:r>
          </w:p>
        </w:tc>
      </w:tr>
      <w:tr w:rsidR="000C1009" w:rsidRPr="00A27896" w14:paraId="5A9D14C5" w14:textId="77777777" w:rsidTr="00A927FF">
        <w:trPr>
          <w:trHeight w:val="65"/>
          <w:jc w:val="center"/>
        </w:trPr>
        <w:tc>
          <w:tcPr>
            <w:tcW w:w="1667" w:type="pct"/>
            <w:tcBorders>
              <w:top w:val="single" w:sz="4" w:space="0" w:color="17365D"/>
            </w:tcBorders>
            <w:shd w:val="clear" w:color="auto" w:fill="B9CDE5"/>
          </w:tcPr>
          <w:p w14:paraId="76796BB0" w14:textId="77777777" w:rsidR="00954F0C" w:rsidRPr="00A927FF" w:rsidRDefault="00954F0C" w:rsidP="00A927FF">
            <w:pPr>
              <w:pStyle w:val="Pamatteksts1"/>
              <w:spacing w:after="0"/>
              <w:rPr>
                <w:sz w:val="10"/>
                <w:szCs w:val="12"/>
              </w:rPr>
            </w:pPr>
          </w:p>
        </w:tc>
        <w:tc>
          <w:tcPr>
            <w:tcW w:w="1667" w:type="pct"/>
            <w:tcBorders>
              <w:top w:val="single" w:sz="4" w:space="0" w:color="17365D"/>
            </w:tcBorders>
            <w:shd w:val="clear" w:color="auto" w:fill="B9CDE5"/>
          </w:tcPr>
          <w:p w14:paraId="2B252FA2" w14:textId="77777777" w:rsidR="00954F0C" w:rsidRPr="00A27896" w:rsidRDefault="00954F0C" w:rsidP="00A927FF">
            <w:pPr>
              <w:pStyle w:val="Pamatteksts1"/>
              <w:spacing w:after="0"/>
            </w:pPr>
          </w:p>
        </w:tc>
        <w:tc>
          <w:tcPr>
            <w:tcW w:w="1666" w:type="pct"/>
            <w:tcBorders>
              <w:top w:val="single" w:sz="4" w:space="0" w:color="17365D"/>
            </w:tcBorders>
            <w:shd w:val="clear" w:color="auto" w:fill="B9CDE5"/>
          </w:tcPr>
          <w:p w14:paraId="4CA11485" w14:textId="77777777" w:rsidR="00954F0C" w:rsidRPr="00A27896" w:rsidRDefault="00954F0C" w:rsidP="00A927FF">
            <w:pPr>
              <w:pStyle w:val="Pamatteksts1"/>
              <w:spacing w:after="0"/>
            </w:pPr>
          </w:p>
        </w:tc>
      </w:tr>
    </w:tbl>
    <w:p w14:paraId="292F7EE7" w14:textId="77777777" w:rsidR="00706C04" w:rsidRDefault="00706C04" w:rsidP="00F53AD9">
      <w:pPr>
        <w:pStyle w:val="Pamatteksts1"/>
      </w:pPr>
      <w:bookmarkStart w:id="2" w:name="_Toc42846490"/>
    </w:p>
    <w:p w14:paraId="5732BD54" w14:textId="12F9A6DF" w:rsidR="00954F0C" w:rsidRPr="00A27896" w:rsidRDefault="00954F0C" w:rsidP="008515BB">
      <w:pPr>
        <w:pStyle w:val="Heading3"/>
      </w:pPr>
      <w:r w:rsidRPr="00A27896">
        <w:t>Aplēšu izmantošana</w:t>
      </w:r>
      <w:bookmarkEnd w:id="2"/>
    </w:p>
    <w:p w14:paraId="509631B5" w14:textId="77777777" w:rsidR="00954F0C" w:rsidRPr="00A27896" w:rsidRDefault="00954F0C" w:rsidP="00F53AD9">
      <w:pPr>
        <w:pStyle w:val="Pamatteksts1"/>
      </w:pPr>
      <w:r w:rsidRPr="00A27896">
        <w:t>Sagatavojot finanšu pārskatu, ņemtas vērā aplēses un pieņēmumi, kas ietekmējuši atsevišķu posteņu atlikumus, kā arī iespējamo aktīvu un saistību novērtējumu. Iespējamie nākotnes notikumi var ietekmēt pieņēmumus, pamatojoties uz kuriem veiktas attiecīgās aplēses.</w:t>
      </w:r>
    </w:p>
    <w:p w14:paraId="2CFDBFB3" w14:textId="56F08ADA" w:rsidR="00954F0C" w:rsidRPr="00A27896" w:rsidRDefault="00954F0C" w:rsidP="00F53AD9">
      <w:pPr>
        <w:pStyle w:val="Pamatteksts1"/>
      </w:pPr>
      <w:r w:rsidRPr="00A27896">
        <w:t>Finanšu pārskata posteņu novērtēšanā izmantotās aplēses un pieņēmumi aprakstīti sadaļā “Grāmatvedības uzskaites principu apraksts” pie katra attiecīgā posteņa.</w:t>
      </w:r>
      <w:r w:rsidR="00560E2F" w:rsidRPr="00A27896">
        <w:t xml:space="preserve"> Pārskata gadā aplēšu metodes maiņa nav veikta.</w:t>
      </w:r>
    </w:p>
    <w:p w14:paraId="1DB012CA" w14:textId="2C290B83" w:rsidR="00954F0C" w:rsidRPr="00A27896" w:rsidRDefault="00954F0C" w:rsidP="008515BB">
      <w:pPr>
        <w:pStyle w:val="Heading3"/>
      </w:pPr>
      <w:bookmarkStart w:id="3" w:name="_Toc42846491"/>
      <w:r w:rsidRPr="00A27896">
        <w:t>Būtiskuma līmenis</w:t>
      </w:r>
      <w:bookmarkEnd w:id="3"/>
      <w:r w:rsidRPr="00A27896">
        <w:t xml:space="preserve"> </w:t>
      </w:r>
    </w:p>
    <w:p w14:paraId="06CDA448" w14:textId="6C580E6B" w:rsidR="00954F0C" w:rsidRPr="00A27896" w:rsidRDefault="00954F0C" w:rsidP="00F53AD9">
      <w:pPr>
        <w:pStyle w:val="Pamatteksts1"/>
      </w:pPr>
      <w:r w:rsidRPr="00A27896">
        <w:t xml:space="preserve">Finanšu pārskata pielikums sagatavots, ņemot vērā </w:t>
      </w:r>
      <w:r w:rsidR="00D057A1">
        <w:t>konsolidētajam s</w:t>
      </w:r>
      <w:r w:rsidRPr="00A27896">
        <w:t xml:space="preserve">aimnieciskā gada pārskatam noteikto būtiskuma līmeni, kā arī </w:t>
      </w:r>
      <w:bookmarkStart w:id="4" w:name="_Hlk197936705"/>
      <w:r w:rsidR="007C78F0" w:rsidRPr="00624760">
        <w:fldChar w:fldCharType="begin"/>
      </w:r>
      <w:r w:rsidR="007C78F0" w:rsidRPr="00624760">
        <w:instrText>HYPERLINK "https://www.kase.gov.lv/metodika/butiskums"</w:instrText>
      </w:r>
      <w:r w:rsidR="007C78F0" w:rsidRPr="00624760">
        <w:fldChar w:fldCharType="separate"/>
      </w:r>
      <w:r w:rsidRPr="00624760">
        <w:rPr>
          <w:rStyle w:val="Hyperlink"/>
          <w:color w:val="17365D"/>
        </w:rPr>
        <w:t xml:space="preserve">Valsts kases </w:t>
      </w:r>
      <w:r w:rsidR="007C78F0" w:rsidRPr="00624760">
        <w:rPr>
          <w:rStyle w:val="Hyperlink"/>
          <w:color w:val="17365D"/>
        </w:rPr>
        <w:t>tīmekļvietnē</w:t>
      </w:r>
      <w:r w:rsidR="007C78F0" w:rsidRPr="00624760">
        <w:fldChar w:fldCharType="end"/>
      </w:r>
      <w:r w:rsidR="007C78F0" w:rsidRPr="007C78F0">
        <w:t xml:space="preserve"> publicēto informāciju </w:t>
      </w:r>
      <w:r w:rsidR="007C78F0">
        <w:t>par</w:t>
      </w:r>
      <w:bookmarkEnd w:id="4"/>
      <w:r w:rsidRPr="00A27896">
        <w:t xml:space="preserve"> būtiskuma līmeni budžeta iestāžu 20</w:t>
      </w:r>
      <w:r w:rsidR="00640280" w:rsidRPr="00A27896">
        <w:t>2</w:t>
      </w:r>
      <w:r w:rsidR="002F29E0">
        <w:t>4</w:t>
      </w:r>
      <w:r w:rsidRPr="00A27896">
        <w:t>. gada konsolidēto gada pārskatu</w:t>
      </w:r>
      <w:r w:rsidR="00E14669">
        <w:t xml:space="preserve"> vai gada pārskatu</w:t>
      </w:r>
      <w:r w:rsidRPr="00A27896">
        <w:t xml:space="preserve"> </w:t>
      </w:r>
      <w:r w:rsidR="00202CF6" w:rsidRPr="00A27896">
        <w:t xml:space="preserve">un Valsts kases un </w:t>
      </w:r>
      <w:r w:rsidR="00141376" w:rsidRPr="00A27896">
        <w:t>VID</w:t>
      </w:r>
      <w:r w:rsidR="00202CF6" w:rsidRPr="00A27896">
        <w:t xml:space="preserve"> ikgadējo pārskatu </w:t>
      </w:r>
      <w:r w:rsidRPr="00A27896">
        <w:t xml:space="preserve">posteņu izmaiņu skaidrojumiem. </w:t>
      </w:r>
    </w:p>
    <w:p w14:paraId="1A2409EB" w14:textId="77777777" w:rsidR="00954F0C" w:rsidRPr="00A27896" w:rsidRDefault="00954F0C" w:rsidP="00F53AD9">
      <w:pPr>
        <w:pStyle w:val="Pamatteksts1"/>
      </w:pPr>
      <w:r w:rsidRPr="00A27896">
        <w:t xml:space="preserve">Budžeta iestādes grāmatvedības uzskaitē piemēro attiecīgās ministrijas, centrālās valsts iestādes un pašvaldības noteikto būtiskuma līmeni saskaņā ar tās vienoto grāmatvedības uzskaites kārtību, ko ievēro visas finanšu pārskatu konsolidācijā iesaistītās iestādes. </w:t>
      </w:r>
    </w:p>
    <w:p w14:paraId="739D32D7" w14:textId="71674A3C" w:rsidR="00954F0C" w:rsidRPr="00A27896" w:rsidRDefault="00954F0C" w:rsidP="008515BB">
      <w:pPr>
        <w:pStyle w:val="Heading3"/>
      </w:pPr>
      <w:r w:rsidRPr="00A27896">
        <w:t xml:space="preserve">Iepriekšējo periodu kļūdu labojumi </w:t>
      </w:r>
    </w:p>
    <w:p w14:paraId="70B46454" w14:textId="10A6266F" w:rsidR="00954F0C" w:rsidRPr="00A27896" w:rsidRDefault="00954F0C" w:rsidP="00F53AD9">
      <w:pPr>
        <w:pStyle w:val="Pamatteksts1"/>
      </w:pPr>
      <w:r w:rsidRPr="00A27896">
        <w:t xml:space="preserve">Būtiski iepriekšējo pārskata periodu kļūdu labojumi budžeta iestāžu grāmatvedības uzskaitē veikti, pamatojoties uz </w:t>
      </w:r>
      <w:hyperlink r:id="rId11" w:history="1">
        <w:r w:rsidR="007C78F0" w:rsidRPr="00624760">
          <w:rPr>
            <w:rStyle w:val="Hyperlink"/>
            <w:color w:val="17365D"/>
          </w:rPr>
          <w:t>Valsts kases tīmekļvietnē</w:t>
        </w:r>
      </w:hyperlink>
      <w:r w:rsidR="007C78F0" w:rsidRPr="007C78F0">
        <w:t xml:space="preserve"> publicēto informāciju par</w:t>
      </w:r>
      <w:r w:rsidR="007C78F0" w:rsidRPr="007C78F0" w:rsidDel="007C78F0">
        <w:t xml:space="preserve"> </w:t>
      </w:r>
      <w:r w:rsidRPr="00A27896">
        <w:t>būtiskuma līmeni 20</w:t>
      </w:r>
      <w:r w:rsidR="00640280" w:rsidRPr="00A27896">
        <w:t>2</w:t>
      </w:r>
      <w:r w:rsidR="002F29E0">
        <w:t>4</w:t>
      </w:r>
      <w:r w:rsidRPr="00A27896">
        <w:t>. gadam katrai budžeta iestādei,</w:t>
      </w:r>
      <w:r w:rsidR="00A319DC" w:rsidRPr="00A27896">
        <w:t xml:space="preserve"> tai skaitā Valsts kases valsts budžeta finanšu uzskaites nodrošināšanai un </w:t>
      </w:r>
      <w:r w:rsidR="0089663F" w:rsidRPr="00A27896">
        <w:t>VID</w:t>
      </w:r>
      <w:r w:rsidR="00A319DC" w:rsidRPr="00A27896">
        <w:t xml:space="preserve"> administrēto valsts budžeta ieņēmumu grāmatvedības uzskaites nodrošināšanai</w:t>
      </w:r>
      <w:r w:rsidRPr="00A27896">
        <w:t>.</w:t>
      </w:r>
    </w:p>
    <w:p w14:paraId="3AB3A9FA" w14:textId="51064917" w:rsidR="007A1E6A" w:rsidRPr="00A27896" w:rsidRDefault="007A1E6A" w:rsidP="00F53AD9">
      <w:pPr>
        <w:pStyle w:val="Pamatteksts1"/>
      </w:pPr>
      <w:r w:rsidRPr="0010386D">
        <w:t>Konsolidētajam finanšu pārskatam būtis</w:t>
      </w:r>
      <w:r w:rsidR="000C1009" w:rsidRPr="0010386D">
        <w:t>k</w:t>
      </w:r>
      <w:r w:rsidRPr="0010386D">
        <w:t xml:space="preserve">uma līmenis kļūdu labojumiem noteikts </w:t>
      </w:r>
      <w:r w:rsidR="0009550B" w:rsidRPr="0010386D">
        <w:t>8</w:t>
      </w:r>
      <w:r w:rsidR="002607BE">
        <w:t>,</w:t>
      </w:r>
      <w:r w:rsidR="0010386D" w:rsidRPr="0010386D">
        <w:t>7</w:t>
      </w:r>
      <w:r w:rsidR="002607BE">
        <w:t> milj.</w:t>
      </w:r>
      <w:r w:rsidR="00431446" w:rsidRPr="0010386D">
        <w:t> </w:t>
      </w:r>
      <w:r w:rsidRPr="0010386D">
        <w:rPr>
          <w:i/>
        </w:rPr>
        <w:t>euro</w:t>
      </w:r>
      <w:r w:rsidRPr="0010386D">
        <w:t>.</w:t>
      </w:r>
    </w:p>
    <w:p w14:paraId="5379DF07" w14:textId="4206003E" w:rsidR="00954F0C" w:rsidRPr="00A27896" w:rsidRDefault="00954F0C" w:rsidP="00F53AD9">
      <w:pPr>
        <w:pStyle w:val="Pamatteksts1"/>
      </w:pPr>
      <w:r w:rsidRPr="00A27896">
        <w:lastRenderedPageBreak/>
        <w:t xml:space="preserve">Ja ministriju, centrālo valsts iestāžu vai pašvaldību konsolidētajos gada pārskatos finanšu pārskatu posteņu atzīšanā, novērtējumā, izklāstā vai norādīšanā ir pieļautas būtiskas kļūdas, kas nav labotas auditētajos </w:t>
      </w:r>
      <w:r w:rsidR="000327C4">
        <w:t xml:space="preserve">gada pārskatos un </w:t>
      </w:r>
      <w:r w:rsidRPr="00A27896">
        <w:t>konsolidētajos gada pārskatos, tad Valsts kase koriģē finanšu pārskatu saskaņā ar Valsts kases iekšējos dokumentos noteikto būtiskuma līmeni par ministriju, centrālo valsts iestāžu un pašvaldību sniegtajiem būtiskiem koriģējošiem notikumiem pēc bilances datuma.</w:t>
      </w:r>
    </w:p>
    <w:p w14:paraId="056DFAC5" w14:textId="2297CA7F" w:rsidR="00954F0C" w:rsidRPr="00A27896" w:rsidRDefault="00954F0C" w:rsidP="00F53AD9">
      <w:pPr>
        <w:pStyle w:val="Pamatteksts1"/>
      </w:pPr>
      <w:r w:rsidRPr="00A27896">
        <w:t>Finanšu pārskatā būtisku iepriekšējo periodu kļūdu labojumi uzrādīti</w:t>
      </w:r>
      <w:r w:rsidR="00772CF8" w:rsidRPr="00A27896">
        <w:t>, koriģējot salīdzināmo informāciju</w:t>
      </w:r>
      <w:r w:rsidRPr="00A27896">
        <w:t>, korekcijas veicot:</w:t>
      </w:r>
    </w:p>
    <w:p w14:paraId="673A0845" w14:textId="77777777" w:rsidR="00954F0C" w:rsidRPr="00A27896" w:rsidRDefault="00954F0C" w:rsidP="000D2C39">
      <w:pPr>
        <w:pStyle w:val="Bullets"/>
      </w:pPr>
      <w:r w:rsidRPr="00A27896">
        <w:t>iepriekšējo gadu budžeta izpildes rezultātā;</w:t>
      </w:r>
    </w:p>
    <w:p w14:paraId="385C1B74" w14:textId="77777777" w:rsidR="00954F0C" w:rsidRPr="00A27896" w:rsidRDefault="00954F0C" w:rsidP="000D2C39">
      <w:pPr>
        <w:pStyle w:val="Bullets"/>
      </w:pPr>
      <w:r w:rsidRPr="00A27896">
        <w:t>atbilstošajā bilances aktīva vai pasīva postenī.</w:t>
      </w:r>
    </w:p>
    <w:p w14:paraId="4096098E" w14:textId="77777777" w:rsidR="00954F0C" w:rsidRPr="00A27896" w:rsidRDefault="00954F0C" w:rsidP="00F53AD9">
      <w:pPr>
        <w:pStyle w:val="Pamatteksts1"/>
      </w:pPr>
      <w:r w:rsidRPr="00A27896">
        <w:t>Pārējie iepriekšējo pārskata periodu kļūdu labojumi veikti pārskata gada ieņēmumos vai izdevumos un atbilstošajā bilances aktīva vai pasīva postenī.</w:t>
      </w:r>
    </w:p>
    <w:p w14:paraId="3AC99F07" w14:textId="565D435E" w:rsidR="00954F0C" w:rsidRPr="00A27896" w:rsidRDefault="00954F0C" w:rsidP="008515BB">
      <w:pPr>
        <w:pStyle w:val="Heading3"/>
      </w:pPr>
      <w:r w:rsidRPr="00A27896">
        <w:t xml:space="preserve">Notikumi pēc bilances datuma </w:t>
      </w:r>
    </w:p>
    <w:p w14:paraId="52EE47A9" w14:textId="1AED7B7D" w:rsidR="00F048F2" w:rsidRPr="00A27896" w:rsidRDefault="00F048F2" w:rsidP="008515BB">
      <w:pPr>
        <w:pStyle w:val="Pamatteksts1"/>
      </w:pPr>
      <w:r w:rsidRPr="00A27896">
        <w:t>Finanšu pārskatā uzrādīti tādi būtiski notikumi pēc pārskata gada beigām, kas ietekmē valsts un pašvaldību budžetu finansiālo stāvokli bilances datumā (koriģējošie notikumi).</w:t>
      </w:r>
    </w:p>
    <w:p w14:paraId="63E696A6" w14:textId="77777777" w:rsidR="00954F0C" w:rsidRPr="00A27896" w:rsidRDefault="00954F0C" w:rsidP="008515BB">
      <w:pPr>
        <w:pStyle w:val="Pamatteksts1"/>
      </w:pPr>
      <w:r w:rsidRPr="00A27896">
        <w:t>Finanšu pārskata posteņu skaidrojuma sadaļā “Notikumi pēc bilances datuma” sniegta informācija par būtiskiem nekoriģējošiem notikumiem pēc pārskata gada beigām, kas liecina par apstākļiem, kas radušies pēc bilances datuma, neattiecas uz pārskata gadu, bet nākotnē varētu būtiski ietekmēt finanšu pārskata rādītājus.</w:t>
      </w:r>
    </w:p>
    <w:p w14:paraId="202E469B" w14:textId="77777777" w:rsidR="00954F0C" w:rsidRPr="00A27896" w:rsidRDefault="00954F0C" w:rsidP="008515BB">
      <w:pPr>
        <w:pStyle w:val="Heading3"/>
      </w:pPr>
      <w:r w:rsidRPr="00A27896">
        <w:t>Valsts kontroles un zvērinātu revidentu atzinumi</w:t>
      </w:r>
    </w:p>
    <w:p w14:paraId="2A577C28" w14:textId="3255CF35" w:rsidR="00954F0C" w:rsidRPr="00A27896" w:rsidRDefault="00954F0C" w:rsidP="00F53AD9">
      <w:pPr>
        <w:pStyle w:val="Pamatteksts1"/>
      </w:pPr>
      <w:r w:rsidRPr="00A27896">
        <w:t xml:space="preserve">Valsts kontrole, veicot finanšu revīziju, sniedz atzinumu par pārskata sagatavošanas pareizību un par būtisku finanšu pārskatam pakārtotu darījumu atbilstību tiesību aktiem, plānošanas dokumentiem un valstiski (starptautiski) atzītai praksei. Atzinuma par būtisku finanšu pārskatam pakārtotu darījumu atbilstību tiesību aktiem, plānošanas dokumentiem un valstiski (starptautiski) atzītai praksei uzdevums ir sniegt </w:t>
      </w:r>
      <w:proofErr w:type="spellStart"/>
      <w:r w:rsidRPr="00A27896">
        <w:t>izvērtējumu</w:t>
      </w:r>
      <w:proofErr w:type="spellEnd"/>
      <w:r w:rsidRPr="00A27896">
        <w:t xml:space="preserve"> ministrijas vai centrālās valsts iestādes vadībai, vai revīzijas laikā ir gūta pārliecība, ka valsts pārvalde ievēro tiesību aktus un ar valsts resursiem rīkojas efektīvi.</w:t>
      </w:r>
      <w:r w:rsidR="006F12AB" w:rsidRPr="00A27896">
        <w:t xml:space="preserve"> </w:t>
      </w:r>
    </w:p>
    <w:p w14:paraId="7942C7D2" w14:textId="4F44E797" w:rsidR="00954F0C" w:rsidRDefault="00954F0C" w:rsidP="00F53AD9">
      <w:pPr>
        <w:pStyle w:val="Pamatteksts1"/>
      </w:pPr>
      <w:r w:rsidRPr="00A27896">
        <w:t>Valsts kontroles atzinumus par 20</w:t>
      </w:r>
      <w:r w:rsidR="00915646" w:rsidRPr="00A27896">
        <w:t>2</w:t>
      </w:r>
      <w:r w:rsidR="002F29E0">
        <w:t>4</w:t>
      </w:r>
      <w:r w:rsidRPr="00A27896">
        <w:t xml:space="preserve">. gada pārskata sagatavošanas pareizību </w:t>
      </w:r>
      <w:r w:rsidR="00723AEF" w:rsidRPr="00723AEF">
        <w:t xml:space="preserve">bez </w:t>
      </w:r>
      <w:proofErr w:type="spellStart"/>
      <w:r w:rsidR="00723AEF" w:rsidRPr="00723AEF">
        <w:t>iebildēm</w:t>
      </w:r>
      <w:proofErr w:type="spellEnd"/>
      <w:r w:rsidR="00723AEF" w:rsidRPr="00723AEF">
        <w:t> </w:t>
      </w:r>
      <w:r w:rsidR="00723AEF" w:rsidRPr="00A27896">
        <w:t xml:space="preserve"> </w:t>
      </w:r>
      <w:r w:rsidRPr="00A27896">
        <w:t xml:space="preserve">saņēmušas </w:t>
      </w:r>
      <w:r w:rsidRPr="00723AEF">
        <w:t>1</w:t>
      </w:r>
      <w:r w:rsidR="00595FEE" w:rsidRPr="00723AEF">
        <w:t>4</w:t>
      </w:r>
      <w:r w:rsidRPr="00723AEF">
        <w:t xml:space="preserve"> ministrijas un </w:t>
      </w:r>
      <w:r w:rsidR="00BB6E03" w:rsidRPr="00723AEF">
        <w:t>1</w:t>
      </w:r>
      <w:r w:rsidR="00595FEE" w:rsidRPr="00723AEF">
        <w:t>2</w:t>
      </w:r>
      <w:r w:rsidR="00BB6E03" w:rsidRPr="00723AEF">
        <w:t xml:space="preserve"> </w:t>
      </w:r>
      <w:r w:rsidRPr="00723AEF">
        <w:t>centrālās valsts iestādes. Atbilstoši tiesību aktos noteiktajam 2 centrālās valsts iestādes</w:t>
      </w:r>
      <w:r w:rsidRPr="00723AEF">
        <w:rPr>
          <w:vertAlign w:val="superscript"/>
        </w:rPr>
        <w:footnoteReference w:id="2"/>
      </w:r>
      <w:r w:rsidRPr="00723AEF">
        <w:t xml:space="preserve"> saņēmušas zvērinātu revidentu atzinumus</w:t>
      </w:r>
      <w:r w:rsidR="00723AEF">
        <w:t xml:space="preserve"> </w:t>
      </w:r>
      <w:r w:rsidR="00723AEF" w:rsidRPr="00723AEF">
        <w:t xml:space="preserve">bez </w:t>
      </w:r>
      <w:proofErr w:type="spellStart"/>
      <w:r w:rsidR="00723AEF" w:rsidRPr="00723AEF">
        <w:t>iebildēm</w:t>
      </w:r>
      <w:proofErr w:type="spellEnd"/>
      <w:r w:rsidRPr="00723AEF">
        <w:t xml:space="preserve">. </w:t>
      </w:r>
    </w:p>
    <w:p w14:paraId="48B79B0D" w14:textId="7EF61D88" w:rsidR="001D3DF1" w:rsidRPr="00723AEF" w:rsidRDefault="001D3DF1" w:rsidP="00F53AD9">
      <w:pPr>
        <w:pStyle w:val="Pamatteksts1"/>
      </w:pPr>
      <w:r>
        <w:t xml:space="preserve">Valsts kontrole revīzijas atzinumā par Izglītības un zinātnes ministrijas konsolidēto gada pārskatu un Tieslietu ministrijas konsolidēto gada pārskatu sniegusi informāciju par citiem būtiskiem jautājumiem atbilstoši normatīvo aktu prasībām, savukārt atzinumā par Kultūras ministrijas konsolidēto gada pārskatu </w:t>
      </w:r>
      <w:r w:rsidR="006951C7">
        <w:t xml:space="preserve">un Centrālās vēlēšanu komitejas gada pārskatu </w:t>
      </w:r>
      <w:r>
        <w:t>norādīts apstākļu akcentējums.</w:t>
      </w:r>
    </w:p>
    <w:p w14:paraId="5AABE1CD" w14:textId="3C6A1BB5" w:rsidR="00954F0C" w:rsidRPr="007C4541" w:rsidRDefault="00954F0C" w:rsidP="00F53AD9">
      <w:pPr>
        <w:pStyle w:val="Pamatteksts1"/>
      </w:pPr>
      <w:r w:rsidRPr="007C4541">
        <w:t xml:space="preserve">Atbilstoši normatīvo aktu prasībām zvērinātu revidentu atzinumus par gada pārskata sagatavošanas pareizību saņēmušas </w:t>
      </w:r>
      <w:r w:rsidR="00B14A28" w:rsidRPr="007C4541">
        <w:t>4</w:t>
      </w:r>
      <w:r w:rsidR="007C4541" w:rsidRPr="007C4541">
        <w:t>3</w:t>
      </w:r>
      <w:r w:rsidR="00B14A28" w:rsidRPr="007C4541">
        <w:t xml:space="preserve"> </w:t>
      </w:r>
      <w:r w:rsidRPr="007C4541">
        <w:t>pašvaldības, tai skaitā:</w:t>
      </w:r>
    </w:p>
    <w:p w14:paraId="0F02620C" w14:textId="0A079B15" w:rsidR="00954F0C" w:rsidRPr="007C4541" w:rsidRDefault="00954F0C" w:rsidP="000D2C39">
      <w:pPr>
        <w:pStyle w:val="Bullets"/>
      </w:pPr>
      <w:r w:rsidRPr="007C4541">
        <w:t xml:space="preserve">bez </w:t>
      </w:r>
      <w:proofErr w:type="spellStart"/>
      <w:r w:rsidRPr="007C4541">
        <w:t>iebildēm</w:t>
      </w:r>
      <w:proofErr w:type="spellEnd"/>
      <w:r w:rsidRPr="007C4541">
        <w:t> – </w:t>
      </w:r>
      <w:r w:rsidR="00B14A28" w:rsidRPr="007C4541">
        <w:t>3</w:t>
      </w:r>
      <w:r w:rsidR="00DC41A7">
        <w:t>6</w:t>
      </w:r>
      <w:r w:rsidR="00B14A28" w:rsidRPr="007C4541">
        <w:t xml:space="preserve"> </w:t>
      </w:r>
      <w:r w:rsidRPr="007C4541">
        <w:t>pašvaldība</w:t>
      </w:r>
      <w:r w:rsidR="00232772" w:rsidRPr="007C4541">
        <w:t>s</w:t>
      </w:r>
      <w:r w:rsidRPr="007C4541">
        <w:t>;</w:t>
      </w:r>
    </w:p>
    <w:p w14:paraId="46A59ADB" w14:textId="5A54897A" w:rsidR="00954F0C" w:rsidRPr="0068565A" w:rsidRDefault="00954F0C" w:rsidP="00DC41A7">
      <w:pPr>
        <w:pStyle w:val="Bullets"/>
      </w:pPr>
      <w:r w:rsidRPr="0068565A">
        <w:t xml:space="preserve">ar </w:t>
      </w:r>
      <w:proofErr w:type="spellStart"/>
      <w:r w:rsidRPr="0068565A">
        <w:t>iebildēm</w:t>
      </w:r>
      <w:proofErr w:type="spellEnd"/>
      <w:r w:rsidRPr="0068565A">
        <w:t> – </w:t>
      </w:r>
      <w:r w:rsidR="005972EC">
        <w:t>7</w:t>
      </w:r>
      <w:r w:rsidRPr="0068565A">
        <w:t xml:space="preserve"> pašvaldība</w:t>
      </w:r>
      <w:r w:rsidR="002E0893" w:rsidRPr="0068565A">
        <w:t>s</w:t>
      </w:r>
      <w:r w:rsidRPr="0068565A">
        <w:rPr>
          <w:vertAlign w:val="superscript"/>
        </w:rPr>
        <w:footnoteReference w:id="3"/>
      </w:r>
      <w:r w:rsidRPr="0068565A">
        <w:t xml:space="preserve">. </w:t>
      </w:r>
    </w:p>
    <w:p w14:paraId="6F2DE18E" w14:textId="131F18BD" w:rsidR="006951C7" w:rsidRDefault="006951C7" w:rsidP="00695490">
      <w:pPr>
        <w:pStyle w:val="Pamatteksts1"/>
        <w:ind w:firstLine="493"/>
      </w:pPr>
      <w:r>
        <w:lastRenderedPageBreak/>
        <w:t>Zvērinātu revidentu atzinumā</w:t>
      </w:r>
      <w:r w:rsidR="00695490">
        <w:t xml:space="preserve"> par 9 pašvaldību</w:t>
      </w:r>
      <w:r w:rsidR="00695490">
        <w:rPr>
          <w:rStyle w:val="FootnoteReference"/>
        </w:rPr>
        <w:footnoteReference w:id="4"/>
      </w:r>
      <w:r w:rsidR="00695490">
        <w:t xml:space="preserve"> gada pārskatiem un konsolidētajiem gada pārskatiem norādīts apstākļu akcentējums</w:t>
      </w:r>
      <w:r w:rsidR="00DC41A7">
        <w:t>.</w:t>
      </w:r>
    </w:p>
    <w:p w14:paraId="5A329142" w14:textId="4E32E624" w:rsidR="00954F0C" w:rsidRPr="00203FB3" w:rsidRDefault="00954F0C" w:rsidP="00F53AD9">
      <w:pPr>
        <w:pStyle w:val="Pamatteksts1"/>
      </w:pPr>
      <w:r w:rsidRPr="00203FB3">
        <w:t>Valsts kontroles sniegtie atzinumi par ministriju un centrālo valsts iestāžu 20</w:t>
      </w:r>
      <w:r w:rsidR="00915646" w:rsidRPr="00203FB3">
        <w:t>2</w:t>
      </w:r>
      <w:r w:rsidR="00203FB3" w:rsidRPr="00203FB3">
        <w:t>4</w:t>
      </w:r>
      <w:r w:rsidRPr="00203FB3">
        <w:t xml:space="preserve">. gada pārskatiem ir pieejami Valsts kontroles tīmekļvietnē. Valsts kases tīmekļvietnē ir pieejami ministriju, centrālo valsts iestāžu, pašvaldību, valsts budžeta iestāžu, no valsts budžeta daļēji finansētu atvasinātu publisku personu un budžeta nefinansētu iestāžu, pašvaldību budžeta iestāžu un kopīgo iestāžu gada pārskati ar pievienotiem Valsts kontroles </w:t>
      </w:r>
      <w:r w:rsidR="00537435" w:rsidRPr="00203FB3">
        <w:t>vai</w:t>
      </w:r>
      <w:r w:rsidRPr="00203FB3">
        <w:t xml:space="preserve"> zvērinātu revidentu atzinumiem.</w:t>
      </w:r>
    </w:p>
    <w:p w14:paraId="10E93DBF" w14:textId="11888604" w:rsidR="00954F0C" w:rsidRPr="00A27896" w:rsidRDefault="00954F0C" w:rsidP="00F53AD9">
      <w:pPr>
        <w:pStyle w:val="Pamatteksts1"/>
      </w:pPr>
      <w:r w:rsidRPr="00203FB3">
        <w:t>Finanšu pārskata sagatavošanas ietvaros izvērtē</w:t>
      </w:r>
      <w:r w:rsidR="007A1E6A" w:rsidRPr="00203FB3">
        <w:t>jot</w:t>
      </w:r>
      <w:r w:rsidRPr="00203FB3">
        <w:t xml:space="preserve"> Valsts kontroles un</w:t>
      </w:r>
      <w:r w:rsidR="007A1E6A" w:rsidRPr="00203FB3">
        <w:t xml:space="preserve"> zvērinātu revidentu sniegtos atzinumus</w:t>
      </w:r>
      <w:r w:rsidRPr="00203FB3">
        <w:t xml:space="preserve"> par ministriju, centrālo valsts iestāžu un pašvaldību konsolidētajiem gada pārskatiem</w:t>
      </w:r>
      <w:r w:rsidR="007A1E6A" w:rsidRPr="00203FB3">
        <w:t xml:space="preserve"> atbilstoši finanšu pārskatam noteiktajam būtiskuma līmenim kļūdu labojumiem</w:t>
      </w:r>
      <w:r w:rsidR="004C5ECB" w:rsidRPr="00203FB3">
        <w:t>, k</w:t>
      </w:r>
      <w:r w:rsidRPr="00203FB3">
        <w:t>orekcijas</w:t>
      </w:r>
      <w:r w:rsidR="004C5ECB" w:rsidRPr="00203FB3">
        <w:t xml:space="preserve"> nav veiktas.</w:t>
      </w:r>
    </w:p>
    <w:p w14:paraId="1A6C3D98" w14:textId="4C1E6604" w:rsidR="00954F0C" w:rsidRPr="00A27896" w:rsidRDefault="004C46B4" w:rsidP="008515BB">
      <w:pPr>
        <w:pStyle w:val="Heading2"/>
      </w:pPr>
      <w:r w:rsidRPr="00A27896">
        <w:br w:type="page"/>
      </w:r>
      <w:bookmarkStart w:id="5" w:name="_Toc42846492"/>
      <w:r w:rsidR="00954F0C" w:rsidRPr="008515BB">
        <w:lastRenderedPageBreak/>
        <w:t>Grāmatvedības</w:t>
      </w:r>
      <w:r w:rsidR="00954F0C" w:rsidRPr="00A27896">
        <w:t xml:space="preserve"> uzskaites principu apraksts</w:t>
      </w:r>
      <w:bookmarkEnd w:id="5"/>
    </w:p>
    <w:p w14:paraId="4583AE2F" w14:textId="77777777" w:rsidR="00954F0C" w:rsidRPr="00A27896" w:rsidRDefault="00954F0C" w:rsidP="008515BB">
      <w:pPr>
        <w:pStyle w:val="Heading3"/>
      </w:pPr>
      <w:bookmarkStart w:id="6" w:name="_Toc42846493"/>
      <w:r w:rsidRPr="008515BB">
        <w:t>Grāmatvedības</w:t>
      </w:r>
      <w:r w:rsidRPr="00A27896">
        <w:t xml:space="preserve"> uzskaites pamatprincipu maiņa</w:t>
      </w:r>
      <w:bookmarkEnd w:id="6"/>
      <w:r w:rsidRPr="00A27896">
        <w:t xml:space="preserve"> </w:t>
      </w:r>
    </w:p>
    <w:p w14:paraId="1218F2FD" w14:textId="4CC1A8E8" w:rsidR="005C38FA" w:rsidRDefault="005C38FA" w:rsidP="008515BB">
      <w:pPr>
        <w:pStyle w:val="Pamatteksts1"/>
      </w:pPr>
      <w:r w:rsidRPr="008515BB">
        <w:t>202</w:t>
      </w:r>
      <w:r w:rsidR="003C40AC">
        <w:t>4</w:t>
      </w:r>
      <w:r w:rsidRPr="008515BB">
        <w:t>. gada laikā veikta</w:t>
      </w:r>
      <w:r w:rsidR="00151F5D" w:rsidRPr="008515BB">
        <w:t xml:space="preserve"> šādu</w:t>
      </w:r>
      <w:r w:rsidRPr="008515BB">
        <w:t xml:space="preserve"> </w:t>
      </w:r>
      <w:r w:rsidR="007207C3" w:rsidRPr="008515BB">
        <w:t xml:space="preserve">grāmatvedības </w:t>
      </w:r>
      <w:r w:rsidRPr="008515BB">
        <w:t>uzskaites pamatprincipu maiņa</w:t>
      </w:r>
      <w:r w:rsidR="00151F5D" w:rsidRPr="008515BB">
        <w:t>:</w:t>
      </w:r>
      <w:r w:rsidR="008515BB">
        <w:t xml:space="preserve"> </w:t>
      </w:r>
      <w:r w:rsidR="00C6535C">
        <w:t>uzsākta</w:t>
      </w:r>
      <w:r w:rsidR="00F26DFA" w:rsidRPr="00F26DFA">
        <w:t xml:space="preserve"> </w:t>
      </w:r>
      <w:r w:rsidR="00F26DFA">
        <w:t>n</w:t>
      </w:r>
      <w:r w:rsidR="00F26DFA" w:rsidRPr="004F3A6A">
        <w:t xml:space="preserve">ekustamā īpašuma nodokļa ieņēmumu </w:t>
      </w:r>
      <w:r w:rsidR="00F26DFA">
        <w:t>uzskait</w:t>
      </w:r>
      <w:r w:rsidR="00C6535C">
        <w:t>e</w:t>
      </w:r>
      <w:r w:rsidR="00F26DFA">
        <w:t xml:space="preserve"> </w:t>
      </w:r>
      <w:r w:rsidR="00F26DFA" w:rsidRPr="004F3A6A">
        <w:t>saskaņā ar uzkrāšanas principu</w:t>
      </w:r>
      <w:r w:rsidR="00F26DFA">
        <w:t>, i</w:t>
      </w:r>
      <w:r w:rsidR="00F26DFA" w:rsidRPr="004F3A6A">
        <w:t>eņēmum</w:t>
      </w:r>
      <w:r w:rsidR="00F26DFA">
        <w:t xml:space="preserve">us </w:t>
      </w:r>
      <w:r w:rsidR="00F26DFA" w:rsidRPr="004F3A6A">
        <w:t>atzī</w:t>
      </w:r>
      <w:r w:rsidR="00C6535C">
        <w:t>s</w:t>
      </w:r>
      <w:r w:rsidR="00F26DFA" w:rsidRPr="004F3A6A">
        <w:t>t</w:t>
      </w:r>
      <w:r w:rsidR="00C6535C">
        <w:t>ot</w:t>
      </w:r>
      <w:r w:rsidR="00F26DFA" w:rsidRPr="004F3A6A">
        <w:t xml:space="preserve"> tajā pārskata periodā, kurā veikts nodokļa aprēķins, neatkarīgi no tā, vai aprēķins attiecas uz šo vai iepriekšējiem pārskata periodiem</w:t>
      </w:r>
      <w:r w:rsidR="00F26DFA">
        <w:t>.</w:t>
      </w:r>
    </w:p>
    <w:p w14:paraId="18F8A5B1" w14:textId="658EB528" w:rsidR="00F26DFA" w:rsidRPr="008515BB" w:rsidRDefault="00F26DFA" w:rsidP="00097B42">
      <w:pPr>
        <w:pStyle w:val="Pamatteksts1"/>
      </w:pPr>
      <w:proofErr w:type="spellStart"/>
      <w:r>
        <w:t>Nenodokļu</w:t>
      </w:r>
      <w:proofErr w:type="spellEnd"/>
      <w:r>
        <w:t xml:space="preserve"> ieņēmumus, kas saņemti </w:t>
      </w:r>
      <w:r w:rsidR="00C6535C">
        <w:t>v</w:t>
      </w:r>
      <w:r w:rsidR="00C6535C" w:rsidRPr="00C6535C">
        <w:t>alsts budžeta maksājumus administrējošā</w:t>
      </w:r>
      <w:r w:rsidR="00C6535C">
        <w:t>s</w:t>
      </w:r>
      <w:r w:rsidR="00C6535C" w:rsidRPr="00C6535C">
        <w:t xml:space="preserve"> institūcija</w:t>
      </w:r>
      <w:r w:rsidR="00C6535C">
        <w:t xml:space="preserve">s </w:t>
      </w:r>
      <w:r>
        <w:t xml:space="preserve">kontā, atzīst </w:t>
      </w:r>
      <w:r w:rsidR="00A14209">
        <w:t xml:space="preserve">kā </w:t>
      </w:r>
      <w:r>
        <w:t>saistīb</w:t>
      </w:r>
      <w:r w:rsidR="00A14209">
        <w:t>as</w:t>
      </w:r>
      <w:r>
        <w:t xml:space="preserve"> pret maksātāju. Pēc to atpazīšanas par valsts budžeta</w:t>
      </w:r>
      <w:r w:rsidR="00C6535C">
        <w:t>m</w:t>
      </w:r>
      <w:r>
        <w:t xml:space="preserve"> piekritīgiem ieņēmumiem</w:t>
      </w:r>
      <w:r w:rsidR="00754011">
        <w:t xml:space="preserve"> veic pārskaitījumu valsts pamatbudžeta kontā vai pārmaksātās, kļūdaini saņemtās un neatpazītās summas atmaksā iemaksu veicējam un atzīst saistību samazinājumu.</w:t>
      </w:r>
      <w:r w:rsidR="004111AD" w:rsidRPr="004111AD">
        <w:t xml:space="preserve"> </w:t>
      </w:r>
      <w:r w:rsidR="004111AD">
        <w:t>Sa</w:t>
      </w:r>
      <w:r w:rsidR="004111AD" w:rsidRPr="004111AD">
        <w:t xml:space="preserve">ņemot </w:t>
      </w:r>
      <w:proofErr w:type="spellStart"/>
      <w:r w:rsidR="004111AD" w:rsidRPr="004111AD">
        <w:t>nenodokļu</w:t>
      </w:r>
      <w:proofErr w:type="spellEnd"/>
      <w:r w:rsidR="004111AD" w:rsidRPr="004111AD">
        <w:t xml:space="preserve"> ieņēmumu maksājumus no valsts budžeta maksājumus administrējošās institūcijas valsts pamatbudžeta kontā</w:t>
      </w:r>
      <w:r w:rsidR="004111AD">
        <w:t>, Valsts kase atzīst</w:t>
      </w:r>
      <w:r w:rsidR="004111AD" w:rsidRPr="004111AD">
        <w:t xml:space="preserve"> </w:t>
      </w:r>
      <w:proofErr w:type="spellStart"/>
      <w:r w:rsidR="004111AD" w:rsidRPr="004111AD">
        <w:t>nenodokļu</w:t>
      </w:r>
      <w:proofErr w:type="spellEnd"/>
      <w:r w:rsidR="004111AD" w:rsidRPr="004111AD">
        <w:t xml:space="preserve"> ieņēmumus</w:t>
      </w:r>
      <w:r w:rsidR="004111AD">
        <w:t>.</w:t>
      </w:r>
    </w:p>
    <w:p w14:paraId="6FC9CC5E" w14:textId="30C6AE55" w:rsidR="00954F0C" w:rsidRPr="00A27896" w:rsidRDefault="00954F0C" w:rsidP="008515BB">
      <w:pPr>
        <w:pStyle w:val="Heading3"/>
      </w:pPr>
      <w:bookmarkStart w:id="7" w:name="p-499762"/>
      <w:bookmarkStart w:id="8" w:name="p25"/>
      <w:bookmarkStart w:id="9" w:name="p-499766"/>
      <w:bookmarkStart w:id="10" w:name="p25.1"/>
      <w:bookmarkStart w:id="11" w:name="p-499772"/>
      <w:bookmarkStart w:id="12" w:name="p25.2"/>
      <w:bookmarkStart w:id="13" w:name="p-446701"/>
      <w:bookmarkStart w:id="14" w:name="p26"/>
      <w:bookmarkStart w:id="15" w:name="p-446741"/>
      <w:bookmarkStart w:id="16" w:name="p179.2"/>
      <w:bookmarkStart w:id="17" w:name="p-446742"/>
      <w:bookmarkStart w:id="18" w:name="p179.3"/>
      <w:bookmarkStart w:id="19" w:name="p-446743"/>
      <w:bookmarkStart w:id="20" w:name="p179.4"/>
      <w:bookmarkStart w:id="21" w:name="p-446744"/>
      <w:bookmarkStart w:id="22" w:name="p179.5"/>
      <w:bookmarkStart w:id="23" w:name="p-446745"/>
      <w:bookmarkStart w:id="24" w:name="p179.6"/>
      <w:bookmarkStart w:id="25" w:name="_Toc4284649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A27896">
        <w:t>Aktīvu un saistību īstermiņa un ilgtermiņa daļas</w:t>
      </w:r>
      <w:bookmarkEnd w:id="25"/>
    </w:p>
    <w:p w14:paraId="2BB22EAE" w14:textId="77777777" w:rsidR="00954F0C" w:rsidRPr="00A27896" w:rsidRDefault="00954F0C" w:rsidP="008515BB">
      <w:pPr>
        <w:pStyle w:val="Pamatteksts1"/>
      </w:pPr>
      <w:r w:rsidRPr="00A27896">
        <w:t xml:space="preserve">Finanšu pārskatā nodalītas aktīvu un saistību īstermiņa un ilgtermiņa daļas. </w:t>
      </w:r>
    </w:p>
    <w:p w14:paraId="6DB59EDA" w14:textId="77777777" w:rsidR="00954F0C" w:rsidRPr="00A27896" w:rsidRDefault="00954F0C" w:rsidP="008515BB">
      <w:pPr>
        <w:pStyle w:val="Pamatteksts1"/>
      </w:pPr>
      <w:r w:rsidRPr="00A27896">
        <w:t>Par ilgtermiņa aktīviem grāmatvedībā atzīti aktīvi vai to daļa, kuru lietošana vai turēšana plānota ilgāk par vienu saimniecisko gadu vai apmaksa paredzēta vēlāk kā gadu pēc bilances datuma. Īstermiņa aktīvi ir aktīvi vai to daļa, kuru lietošana, turēšana vai apmaksa paredzēta nākamā saimnieciskā gada laikā pēc bilances datuma. Īstermiņa aktīvu sastāvā klasificēti arī tādi finanšu ieguldījumi, kurus iespējams realizēt jebkurā laikā.</w:t>
      </w:r>
    </w:p>
    <w:p w14:paraId="6B9C02A2" w14:textId="77777777" w:rsidR="00954F0C" w:rsidRPr="00A27896" w:rsidRDefault="00954F0C" w:rsidP="008515BB">
      <w:pPr>
        <w:pStyle w:val="Pamatteksts1"/>
      </w:pPr>
      <w:r w:rsidRPr="00A27896">
        <w:t>Par ilgtermiņa saistībām grāmatvedībā atzītas saistības vai to daļa, kuru atmaksas termiņš iestājas vēlāk kā gadu pēc bilances datuma. Īstermiņa saistības ir saistības vai to daļa, kuru atmaksas termiņš iestājas nākamā saimnieciskā gada laikā pēc bilances datuma.</w:t>
      </w:r>
    </w:p>
    <w:p w14:paraId="5B1E015A" w14:textId="77777777" w:rsidR="00954F0C" w:rsidRPr="00A27896" w:rsidRDefault="00954F0C" w:rsidP="008515BB">
      <w:pPr>
        <w:pStyle w:val="Heading3"/>
      </w:pPr>
      <w:bookmarkStart w:id="26" w:name="_Toc42846495"/>
      <w:r w:rsidRPr="00A27896">
        <w:t>Nemateriālie ieguldījumi</w:t>
      </w:r>
      <w:bookmarkEnd w:id="26"/>
    </w:p>
    <w:p w14:paraId="2926C751" w14:textId="77777777" w:rsidR="00954F0C" w:rsidRPr="00A27896" w:rsidRDefault="00954F0C" w:rsidP="008515BB">
      <w:pPr>
        <w:pStyle w:val="Pamatteksts1"/>
      </w:pPr>
      <w:r w:rsidRPr="00A27896">
        <w:t>Nemateriālie ieguldījumi ir ilgtermiņa ieguldījumi, kam nepiemīt lietiskā forma. Pārsvarā tās ir lietošanas tiesības, kurām paredzētais lietošanas laiks ir ilgāks par vienu saimniecisko gadu un kas paredzētas budžeta iestāžu funkciju izpildei.</w:t>
      </w:r>
    </w:p>
    <w:p w14:paraId="4FB93E4C" w14:textId="77777777" w:rsidR="00954F0C" w:rsidRPr="00A27896" w:rsidRDefault="00954F0C" w:rsidP="008515BB">
      <w:pPr>
        <w:pStyle w:val="Pamatteksts1"/>
        <w:rPr>
          <w:b/>
        </w:rPr>
      </w:pPr>
      <w:r w:rsidRPr="00A27896">
        <w:t>Nemateriālos ieguldījumus sākotnēji atzīst to iegādes vai izveidošanas vērtībā, kas ietver attiecīgā nemateriālā ieguldījuma pirkšanas cenu un visas izmaksas, kas tieši attiecas uz iegādāto vai izveidoto objektu līdz dienai, kad tas nodots lietošanā, piemēram, izmaksas par neatskaitāmiem nodokļiem, darba samaksu, kas tieši radusies nemateriālā ieguldījuma iegādes vai izveidošanas procesā, ieviešanas izmaksas.</w:t>
      </w:r>
    </w:p>
    <w:p w14:paraId="1097DB94" w14:textId="77777777" w:rsidR="00954F0C" w:rsidRPr="00A27896" w:rsidRDefault="00954F0C" w:rsidP="008515BB">
      <w:pPr>
        <w:pStyle w:val="Pamatteksts1"/>
      </w:pPr>
      <w:r w:rsidRPr="00A27896">
        <w:t xml:space="preserve">Nemateriāliem ieguldījumiem amortizāciju (vērtības norakstīšanu) aprēķina atbilstoši to paredzamajam lietderīgās lietošanas laikam, sākotnējo vērtību sistemātiski sadalot pa periodiem (lineārā metode), uzskaita kā uzkrāto amortizāciju un atzīst pārskata perioda pamatdarbības izdevumos. </w:t>
      </w:r>
    </w:p>
    <w:p w14:paraId="2CCF7ACF" w14:textId="490A1225" w:rsidR="00954F0C" w:rsidRPr="00A27896" w:rsidRDefault="00954F0C" w:rsidP="008515BB">
      <w:pPr>
        <w:pStyle w:val="Pamatteksts1"/>
      </w:pPr>
      <w:r w:rsidRPr="00A27896">
        <w:t>Nemateriālajiem ieguldījumiem, kuru vērtība laika gaitā pieaug un kurus plāno lietot neierobežotu laika periodu, amortizāciju neaprēķina</w:t>
      </w:r>
      <w:r w:rsidR="00FF3900" w:rsidRPr="00A27896">
        <w:t xml:space="preserve"> – pārskata gadā </w:t>
      </w:r>
      <w:r w:rsidR="00FF3900" w:rsidRPr="00D223DB">
        <w:t>1,</w:t>
      </w:r>
      <w:r w:rsidR="005463D4" w:rsidRPr="00D223DB">
        <w:t>8</w:t>
      </w:r>
      <w:r w:rsidR="00D223DB" w:rsidRPr="00D223DB">
        <w:t>5</w:t>
      </w:r>
      <w:r w:rsidR="005463D4" w:rsidRPr="00D223DB">
        <w:t xml:space="preserve"> </w:t>
      </w:r>
      <w:r w:rsidR="00FF3900" w:rsidRPr="00D223DB">
        <w:t>% nemateriāl</w:t>
      </w:r>
      <w:r w:rsidR="009F1ACB" w:rsidRPr="00D223DB">
        <w:t>iem</w:t>
      </w:r>
      <w:r w:rsidR="00FF3900" w:rsidRPr="00A27896">
        <w:t xml:space="preserve"> aktīv</w:t>
      </w:r>
      <w:r w:rsidR="009F1ACB" w:rsidRPr="00A27896">
        <w:t>iem</w:t>
      </w:r>
      <w:r w:rsidRPr="00A27896">
        <w:t>.</w:t>
      </w:r>
    </w:p>
    <w:p w14:paraId="2EA719F6" w14:textId="77777777" w:rsidR="00954F0C" w:rsidRPr="00A27896" w:rsidRDefault="00954F0C" w:rsidP="008515BB">
      <w:pPr>
        <w:pStyle w:val="Pamatteksts1"/>
      </w:pPr>
      <w:r w:rsidRPr="00A27896">
        <w:t>Pārskata perioda beigās novērtē, vai nepastāv pazīmes, kas norāda uz nemateriālā ieguldījuma vērtības būtisku samazinājumu:</w:t>
      </w:r>
    </w:p>
    <w:p w14:paraId="5B9BC623" w14:textId="77777777" w:rsidR="00954F0C" w:rsidRPr="00A27896" w:rsidRDefault="00954F0C" w:rsidP="000D2C39">
      <w:pPr>
        <w:pStyle w:val="Bullets"/>
      </w:pPr>
      <w:r w:rsidRPr="00A27896">
        <w:t>vismaz par 90 procentiem samazinājies vai nepastāv pieprasījums pēc pakalpojuma, kuru sniedz budžeta iestāde, lietojot attiecīgo nemateriālo ieguldījumu;</w:t>
      </w:r>
    </w:p>
    <w:p w14:paraId="020D0968" w14:textId="77777777" w:rsidR="00954F0C" w:rsidRPr="00A27896" w:rsidRDefault="00954F0C" w:rsidP="000D2C39">
      <w:pPr>
        <w:pStyle w:val="Bullets"/>
      </w:pPr>
      <w:r w:rsidRPr="00A27896">
        <w:t>pieņemts valdības vai pašvaldības lēmums, kas rada būtiskas negatīvas izmaiņas budžeta iestādes darbībā;</w:t>
      </w:r>
    </w:p>
    <w:p w14:paraId="492E8258" w14:textId="77777777" w:rsidR="00954F0C" w:rsidRPr="00A27896" w:rsidRDefault="00954F0C" w:rsidP="000D2C39">
      <w:pPr>
        <w:pStyle w:val="Bullets"/>
      </w:pPr>
      <w:r w:rsidRPr="00A27896">
        <w:lastRenderedPageBreak/>
        <w:t>nemateriālais ieguldījums ir novecojis;</w:t>
      </w:r>
    </w:p>
    <w:p w14:paraId="184B4037" w14:textId="77777777" w:rsidR="00954F0C" w:rsidRPr="00A27896" w:rsidRDefault="00954F0C" w:rsidP="000D2C39">
      <w:pPr>
        <w:pStyle w:val="Bullets"/>
      </w:pPr>
      <w:r w:rsidRPr="00A27896">
        <w:t>budžeta iestādes darbībā notikušas vai tuvākajā laikā gaidāmas ilgtermiņa izmaiņas, kas negatīvi ietekmē nemateriālā ieguldījuma paredzēto lietojumu;</w:t>
      </w:r>
    </w:p>
    <w:p w14:paraId="19EB4B16" w14:textId="77777777" w:rsidR="00954F0C" w:rsidRPr="00A27896" w:rsidRDefault="00954F0C" w:rsidP="000D2C39">
      <w:pPr>
        <w:pStyle w:val="Bullets"/>
      </w:pPr>
      <w:r w:rsidRPr="00A27896">
        <w:t>pieņemts lēmums apturēt nemateriālā ieguldījuma izveidošanu pirms tā izveidošanas vai nodošanas lietošanā.</w:t>
      </w:r>
    </w:p>
    <w:p w14:paraId="72AC3AF2" w14:textId="667DD508" w:rsidR="00954F0C" w:rsidRPr="00A27896" w:rsidRDefault="00954F0C" w:rsidP="008515BB">
      <w:pPr>
        <w:pStyle w:val="Pamatteksts1"/>
      </w:pPr>
      <w:r w:rsidRPr="00A27896">
        <w:t>Ja konstatē kādu no iepriekš minētajām pazīmēm, budžeta iestāde nosaka aktīva atgūstamo vērtību. Ja atgūstamo vērtību nav iespējams noteikt, aktīva vērtības samazinājumu nenosaka.</w:t>
      </w:r>
    </w:p>
    <w:p w14:paraId="545E3958" w14:textId="77777777" w:rsidR="00954F0C" w:rsidRPr="00A27896" w:rsidRDefault="00954F0C" w:rsidP="008515BB">
      <w:pPr>
        <w:pStyle w:val="Pamatteksts1"/>
      </w:pPr>
      <w:r w:rsidRPr="00A27896">
        <w:t xml:space="preserve">Nemateriālie ieguldījumi, kas paredzēti nodošanai bez atlīdzības citai budžeta iestādei, uzskaitīti ilgtermiņa ieguldījumu sastāvā līdz to izslēgšanai no uzskaites. </w:t>
      </w:r>
    </w:p>
    <w:p w14:paraId="26405A49" w14:textId="520E01F0" w:rsidR="00954F0C" w:rsidRPr="00A27896" w:rsidRDefault="00954F0C" w:rsidP="008515BB">
      <w:pPr>
        <w:pStyle w:val="Pamatteksts1"/>
        <w:rPr>
          <w:rFonts w:eastAsia="Times New Roman"/>
          <w:szCs w:val="24"/>
        </w:rPr>
      </w:pPr>
      <w:r w:rsidRPr="00A27896">
        <w:t>Atsavināšanai (izņemot nodošanu bez atlīdzības budžeta iestādēm) paredzētie nemateriālie ieguldījumi uzskaitīti apgrozāmo līdzekļu sastāvā to atlikušajā uzskaites vērtībā.</w:t>
      </w:r>
    </w:p>
    <w:p w14:paraId="0DD47638" w14:textId="77777777" w:rsidR="00954F0C" w:rsidRPr="00A27896" w:rsidRDefault="00954F0C" w:rsidP="008515BB">
      <w:pPr>
        <w:pStyle w:val="Heading3"/>
      </w:pPr>
      <w:bookmarkStart w:id="27" w:name="_Toc42846496"/>
      <w:r w:rsidRPr="00A27896">
        <w:t>Pamatlīdzekļi</w:t>
      </w:r>
      <w:bookmarkEnd w:id="27"/>
    </w:p>
    <w:p w14:paraId="2AC7F1B3" w14:textId="77777777" w:rsidR="00954F0C" w:rsidRPr="00A27896" w:rsidRDefault="00954F0C" w:rsidP="008515BB">
      <w:pPr>
        <w:pStyle w:val="Pamatteksts1"/>
      </w:pPr>
      <w:r w:rsidRPr="00A27896">
        <w:t>Pamatlīdzekļu sastāvā uzskaitīti ilgtermiņa materiāli lietiskie aktīvi, kas paredzēti budžeta iestāžu funkciju izpildes nodrošināšanai. Pamatlīdzekļu lietderīgās lietošanas laiks ir ilgāks par vienu saimniecisko gadu un vienības sākotnējās atzīšanas vērtība noteikta, ievērojot normatīvajos aktos budžeta izdevumu klasifikāciju jomā noteiktās prasības. Nekustamie īpašumi, bioloģiskie aktīvi, bibliotēku fondi, izklaides, literārie un mākslas oriģināldarbi, dārgakmeņi un dārgmetāli, antīkie un citi kultūras un mākslas priekšmeti, vērtslietas un muzeja krājumu priekšmeti uzskaitīti pamatlīdzekļu sastāvā neatkarīgi no vienas vienības atzīšanas vērtības.</w:t>
      </w:r>
    </w:p>
    <w:p w14:paraId="53903213" w14:textId="77777777" w:rsidR="00954F0C" w:rsidRPr="00A27896" w:rsidRDefault="00954F0C" w:rsidP="008515BB">
      <w:pPr>
        <w:pStyle w:val="Pamatteksts1"/>
      </w:pPr>
      <w:r w:rsidRPr="00A27896">
        <w:t>Pamatlīdzekļi sākotnēji atzīti to iegādes vai izveidošanas izmaksu vērtībā, kas ietver attiecīgā aktīva pirkšanas cenu un visas izmaksas, kas tieši attiecas uz iegādāto vai izveidoto objektu līdz dienai, kad tas nodots lietošanā.</w:t>
      </w:r>
    </w:p>
    <w:p w14:paraId="5DDDD8C5" w14:textId="77777777" w:rsidR="00954F0C" w:rsidRPr="00A27896" w:rsidRDefault="00954F0C" w:rsidP="008515BB">
      <w:pPr>
        <w:pStyle w:val="Pamatteksts1"/>
      </w:pPr>
      <w:r w:rsidRPr="00A27896">
        <w:t xml:space="preserve">Sākotnēji atzīstot līdz šim neuzskaitītus pamatlīdzekļus, tie novērtēti patiesajā vērtībā, zeme un būves – galvenokārt kadastrālajā vērtībā, mežaudzes – Meža valsts reģistrā norādītajā pilnajā vērtībā. </w:t>
      </w:r>
    </w:p>
    <w:p w14:paraId="22D1DD8D" w14:textId="77777777" w:rsidR="00954F0C" w:rsidRPr="00A27896" w:rsidRDefault="00954F0C" w:rsidP="008515BB">
      <w:pPr>
        <w:pStyle w:val="Pamatteksts1"/>
        <w:rPr>
          <w:szCs w:val="24"/>
        </w:rPr>
      </w:pPr>
      <w:r w:rsidRPr="00A27896">
        <w:rPr>
          <w:szCs w:val="24"/>
        </w:rPr>
        <w:t>Pamatlīdzekļu nolietojumu aprēķina atbilstoši to paredzamajam lietderīgās lietošanas laikam un ievērojot MK noteikumos Nr. 87 noteiktās pamatlīdzekļu nolietojuma normas, sākotnējo vērtību sadalot pa periodiem (lineārā metode), uzskaitot kā uzkrāto nolietojumu un atzīstot pārskata perioda pamatdarbības izdevumos. Ilgtermiņa ieguldījumiem nomātajos pamatlīdzekļos lietderīgās lietošanas laiks noteikts atbilstoši noslēgtā nomas, īres vai apsaimniekošanas līguma darbības termiņam.</w:t>
      </w:r>
    </w:p>
    <w:p w14:paraId="682D37D9" w14:textId="77777777" w:rsidR="00954F0C" w:rsidRPr="00A27896" w:rsidRDefault="00954F0C" w:rsidP="008515BB">
      <w:pPr>
        <w:pStyle w:val="Pamatteksts1"/>
        <w:rPr>
          <w:szCs w:val="24"/>
        </w:rPr>
      </w:pPr>
      <w:r w:rsidRPr="00A27896">
        <w:rPr>
          <w:szCs w:val="24"/>
        </w:rPr>
        <w:t>Pārskata perioda beigās novērtē, vai nepastāv vismaz šādas pazīmes, kas norāda uz pamatlīdzekļu vērtības būtisku samazinājumu:</w:t>
      </w:r>
    </w:p>
    <w:p w14:paraId="29C46091" w14:textId="38DA6F48" w:rsidR="00954F0C" w:rsidRPr="00A27896" w:rsidRDefault="00954F0C" w:rsidP="000D2C39">
      <w:pPr>
        <w:pStyle w:val="Bullets"/>
      </w:pPr>
      <w:r w:rsidRPr="00A27896">
        <w:t>vismaz par 90 procentiem</w:t>
      </w:r>
      <w:r w:rsidR="00D50D19" w:rsidRPr="00A27896">
        <w:t xml:space="preserve"> </w:t>
      </w:r>
      <w:r w:rsidRPr="00A27896">
        <w:t xml:space="preserve">samazinājies vai nepastāv pieprasījums pēc pakalpojuma, kuru sniedz budžeta iestāde, lietojot attiecīgo pamatlīdzekli; </w:t>
      </w:r>
    </w:p>
    <w:p w14:paraId="6DB96141" w14:textId="77777777" w:rsidR="00954F0C" w:rsidRPr="00A27896" w:rsidRDefault="00954F0C" w:rsidP="000D2C39">
      <w:pPr>
        <w:pStyle w:val="Bullets"/>
      </w:pPr>
      <w:r w:rsidRPr="00A27896">
        <w:t xml:space="preserve">pieņemts valdības vai pašvaldības lēmums, kas rada būtiskas negatīvas izmaiņas budžeta iestādes darbībā; </w:t>
      </w:r>
    </w:p>
    <w:p w14:paraId="7BD4FEDC" w14:textId="77777777" w:rsidR="00954F0C" w:rsidRPr="00A27896" w:rsidRDefault="00954F0C" w:rsidP="000D2C39">
      <w:pPr>
        <w:pStyle w:val="Bullets"/>
      </w:pPr>
      <w:r w:rsidRPr="00A27896">
        <w:t xml:space="preserve">pamatlīdzeklis ir novecojis vai fiziski bojāts; </w:t>
      </w:r>
    </w:p>
    <w:p w14:paraId="35422EB1" w14:textId="77777777" w:rsidR="00954F0C" w:rsidRPr="00A27896" w:rsidRDefault="00954F0C" w:rsidP="000D2C39">
      <w:pPr>
        <w:pStyle w:val="Bullets"/>
      </w:pPr>
      <w:r w:rsidRPr="00A27896">
        <w:t xml:space="preserve">budžeta iestādes darbībā notikušas vai tuvākajā laikā gaidāmas ilgtermiņa izmaiņas, kas negatīvi ietekmē pamatlīdzekļa paredzēto lietojumu; </w:t>
      </w:r>
    </w:p>
    <w:p w14:paraId="4705FE03" w14:textId="77777777" w:rsidR="00954F0C" w:rsidRPr="00A27896" w:rsidRDefault="00954F0C" w:rsidP="000D2C39">
      <w:pPr>
        <w:pStyle w:val="Bullets"/>
      </w:pPr>
      <w:r w:rsidRPr="00A27896">
        <w:t>pieņemts lēmums apturēt pamatlīdzekļa izveidošanu pirms tā pabeigšanas vai nodošanas lietošanā.</w:t>
      </w:r>
    </w:p>
    <w:p w14:paraId="4BEE9E64" w14:textId="064EC990" w:rsidR="00954F0C" w:rsidRPr="00A27896" w:rsidRDefault="00954F0C" w:rsidP="00BE768C">
      <w:pPr>
        <w:pStyle w:val="Pamatteksts1"/>
      </w:pPr>
      <w:r w:rsidRPr="00A27896">
        <w:t>Ja konstatē kādu no iepriekš minētajām pazīmēm, budžeta iestāde nosaka aktīva atgūstamo vērtību. Ja atgūstamo vērtību nav iespējams noteikt, aktīva vērtības samazinājumu nenosaka.</w:t>
      </w:r>
    </w:p>
    <w:p w14:paraId="1C3F5259" w14:textId="77777777" w:rsidR="00954F0C" w:rsidRPr="00A27896" w:rsidRDefault="00954F0C" w:rsidP="000D2C39">
      <w:pPr>
        <w:pStyle w:val="Pamatteksts1"/>
      </w:pPr>
      <w:r w:rsidRPr="00A27896">
        <w:lastRenderedPageBreak/>
        <w:t>Zemei, bioloģiskiem un pazemes aktīviem, bibliotēku fondiem, kultūras un mākslas priekšmetiem, muzeju krājuma priekšmetiem, dārgakmeņiem, dārgmetāliem un to izstrādājumiem, vērtslietām un valsts aizsargājamo kultūras pieminekļu sarakstā iekļautiem kultūras pieminekļiem, kurus nelieto ikdienā, nolietojumu neaprēķina.</w:t>
      </w:r>
    </w:p>
    <w:p w14:paraId="4446E903" w14:textId="77777777" w:rsidR="00954F0C" w:rsidRPr="00A27896" w:rsidRDefault="00954F0C" w:rsidP="00BE768C">
      <w:pPr>
        <w:pStyle w:val="Pamatteksts1"/>
      </w:pPr>
      <w:r w:rsidRPr="00A27896">
        <w:t>Finanšu nomas (līzinga), kā arī publiskās un privātās partnerības darījumos iegādātos pamatlīdzekļus uzskaita tāpat kā budžeta iestādes īpašumā vai valdījumā esošos pamatlīdzekļus un nolietojumu aprēķina atbilstoši tādiem pašiem noteikumiem, kādi piemērojami pārējiem īpašumā esošiem tās pašas grupas aktīviem.</w:t>
      </w:r>
    </w:p>
    <w:p w14:paraId="6F65F945" w14:textId="77777777" w:rsidR="00954F0C" w:rsidRPr="00A27896" w:rsidRDefault="00954F0C" w:rsidP="00BE768C">
      <w:pPr>
        <w:pStyle w:val="Pamatteksts1"/>
        <w:rPr>
          <w:iCs/>
        </w:rPr>
      </w:pPr>
      <w:r w:rsidRPr="00A27896">
        <w:rPr>
          <w:iCs/>
        </w:rPr>
        <w:t>Likvidētie vai iznīcinātie pamatlīdzekļi izslēgti no uzskaites, atzīstot pārējos izdevumus.</w:t>
      </w:r>
    </w:p>
    <w:p w14:paraId="3618BC76" w14:textId="77777777" w:rsidR="00954F0C" w:rsidRPr="00A27896" w:rsidRDefault="00954F0C" w:rsidP="00BE768C">
      <w:pPr>
        <w:pStyle w:val="Pamatteksts1"/>
        <w:rPr>
          <w:iCs/>
        </w:rPr>
      </w:pPr>
      <w:r w:rsidRPr="00A27896">
        <w:rPr>
          <w:iCs/>
        </w:rPr>
        <w:t>Atsavināšanai (izņemot nodošanu bez atlīdzības) paredzētie pamatlīdzekļi līdz to atsavināšanai uzskaitīti apgrozāmo līdzekļu sastāvā.</w:t>
      </w:r>
    </w:p>
    <w:p w14:paraId="6E02C006" w14:textId="77777777" w:rsidR="00954F0C" w:rsidRPr="00A27896" w:rsidRDefault="00954F0C" w:rsidP="00BE768C">
      <w:pPr>
        <w:pStyle w:val="Pamatteksts1"/>
        <w:rPr>
          <w:rFonts w:eastAsia="Times New Roman"/>
          <w:iCs/>
          <w:szCs w:val="24"/>
        </w:rPr>
      </w:pPr>
      <w:r w:rsidRPr="00A27896">
        <w:rPr>
          <w:rFonts w:eastAsia="Times New Roman"/>
          <w:iCs/>
          <w:szCs w:val="24"/>
        </w:rPr>
        <w:t>Pamatlīdzekļus uzskaita kā atsavināšanai paredzētus, ja tie pašreizējā stāvoklī ir pieejami tūlītējai atsavināšanai un pakļauti normatīvajos aktos noteiktajiem atsavināšanas nosacījumiem, to lietderīgā lietošana ir pārtraukta un to atsavināšana ir ticama. Pamatlīdzekļu atsavināšanu uzskata par ticamu, ja ir spēkā šādi nosacījumi:</w:t>
      </w:r>
    </w:p>
    <w:p w14:paraId="7A8D991E" w14:textId="77777777" w:rsidR="00954F0C" w:rsidRPr="00A27896" w:rsidRDefault="00954F0C" w:rsidP="000D2C39">
      <w:pPr>
        <w:pStyle w:val="Bullets"/>
      </w:pPr>
      <w:r w:rsidRPr="00A27896">
        <w:t>atsavināšana ir pamatota ar normatīvo aktu vai iestādes vadības lēmumu;</w:t>
      </w:r>
    </w:p>
    <w:p w14:paraId="25380651" w14:textId="77777777" w:rsidR="00954F0C" w:rsidRPr="00A27896" w:rsidRDefault="00954F0C" w:rsidP="000D2C39">
      <w:pPr>
        <w:pStyle w:val="Bullets"/>
      </w:pPr>
      <w:r w:rsidRPr="00A27896">
        <w:t>atsavināšanas process ir uzsākts;</w:t>
      </w:r>
    </w:p>
    <w:p w14:paraId="715712FC" w14:textId="77777777" w:rsidR="00954F0C" w:rsidRPr="00A27896" w:rsidRDefault="00954F0C" w:rsidP="000D2C39">
      <w:pPr>
        <w:pStyle w:val="Bullets"/>
      </w:pPr>
      <w:r w:rsidRPr="00A27896">
        <w:t>ir pārliecība par atsavināšanas procesa pabeigšanu.</w:t>
      </w:r>
    </w:p>
    <w:p w14:paraId="34804B47" w14:textId="77777777" w:rsidR="00954F0C" w:rsidRPr="00A27896" w:rsidRDefault="00954F0C" w:rsidP="00BE768C">
      <w:pPr>
        <w:pStyle w:val="Pamatteksts1"/>
      </w:pPr>
      <w:r w:rsidRPr="00A27896">
        <w:t>Pamatlīdzekļus, kas paredzēti nodošanai bez atlīdzības citai budžeta iestādei, uzskaita ilgtermiņa ieguldījumu sastāvā līdz to izslēgšanai no uzskaites.</w:t>
      </w:r>
    </w:p>
    <w:p w14:paraId="38D4B4D7" w14:textId="77777777" w:rsidR="00954F0C" w:rsidRPr="00A27896" w:rsidRDefault="00954F0C" w:rsidP="00BE768C">
      <w:pPr>
        <w:pStyle w:val="Pamatteksts1"/>
      </w:pPr>
      <w:r w:rsidRPr="00A27896">
        <w:t>Budžeta iestāde, bez atlīdzības nododot pamatlīdzekli citai budžeta iestādei, atzīst pārējos izdevumus pamatlīdzekļa atlikušajā vērtībā, kas veidojas, no pamatlīdzekļa sākotnējās uzskaites vērtības atskaitot vērtības samazinājumu un nolietojumu.</w:t>
      </w:r>
    </w:p>
    <w:p w14:paraId="532A71F9" w14:textId="77777777" w:rsidR="00954F0C" w:rsidRPr="00A27896" w:rsidRDefault="00954F0C" w:rsidP="00BE768C">
      <w:pPr>
        <w:pStyle w:val="Pamatteksts1"/>
        <w:rPr>
          <w:szCs w:val="24"/>
        </w:rPr>
      </w:pPr>
      <w:r w:rsidRPr="00A27896">
        <w:rPr>
          <w:rFonts w:eastAsia="Times New Roman"/>
          <w:szCs w:val="24"/>
          <w:lang w:eastAsia="lv-LV"/>
        </w:rPr>
        <w:t xml:space="preserve">Budžeta iestādes īpašumā un valdījumā esošus valsts un pašvaldību īpašumus nododot turējumā valsts vai pašvaldību kapitālsabiedrībām, ostu pārvaldēm vai atvasinātām publiskām personām, uzskaita to sākotnējo vērtību un uzkrāto nolietojumu atsevišķos kontos pamatlīdzekļu sastāvā un turpina aprēķināt nolietojumu pamatlīdzekļu atlikušajā lietderīgās lietošanas laikā atbilstoši </w:t>
      </w:r>
      <w:r w:rsidRPr="00A27896">
        <w:rPr>
          <w:iCs/>
          <w:szCs w:val="24"/>
        </w:rPr>
        <w:t>MK noteikumos Nr. 87</w:t>
      </w:r>
      <w:r w:rsidRPr="00A27896">
        <w:rPr>
          <w:rFonts w:eastAsia="Times New Roman"/>
          <w:szCs w:val="24"/>
          <w:lang w:eastAsia="lv-LV"/>
        </w:rPr>
        <w:t xml:space="preserve"> noteiktajām pamatlīdzekļu nolietojuma normām un to piemērošanas nosacījumiem.</w:t>
      </w:r>
    </w:p>
    <w:p w14:paraId="1E633D71" w14:textId="77777777" w:rsidR="00954F0C" w:rsidRPr="00A27896" w:rsidRDefault="00954F0C" w:rsidP="00BE768C">
      <w:pPr>
        <w:pStyle w:val="Pamatteksts1"/>
      </w:pPr>
      <w:r w:rsidRPr="00A27896">
        <w:t>Budžeta iestāde, veicot kapitālos ieguldījumus valsts un pašvaldību īpašumos, kas nodoti turējumā valsts vai pašvaldību kapitālsabiedrībām, ostu pārvaldēm vai atvasinātām publiskām personām, palielina to sākotnējo vērtību par valsts vai pašvaldību kapitālo ieguldījumu daļu. Budžeta iestāde savā uzskaitē neatzīst kapitālsabiedrību, ostu pārvalžu vai atvasināto publisko personu veiktos kapitālos ieguldījumus no budžeta iestādes turējumā saņemtajos īpašumos.</w:t>
      </w:r>
    </w:p>
    <w:p w14:paraId="6038E5AD" w14:textId="77777777" w:rsidR="00954F0C" w:rsidRPr="00A27896" w:rsidRDefault="00954F0C" w:rsidP="008515BB">
      <w:pPr>
        <w:pStyle w:val="Heading3"/>
      </w:pPr>
      <w:bookmarkStart w:id="28" w:name="_Toc42846497"/>
      <w:r w:rsidRPr="00A27896">
        <w:t>Ieguldījuma īpašumi</w:t>
      </w:r>
      <w:bookmarkEnd w:id="28"/>
    </w:p>
    <w:p w14:paraId="01CFFE96" w14:textId="77777777" w:rsidR="00954F0C" w:rsidRPr="00A27896" w:rsidRDefault="00954F0C" w:rsidP="00BE768C">
      <w:pPr>
        <w:pStyle w:val="Pamatteksts1"/>
      </w:pPr>
      <w:r w:rsidRPr="00A27896">
        <w:t>Ieguldījuma īpašumu sastāvā uzskaitīta zeme un būves, kas nav paredzētas budžeta iestāžu funkciju izpildes nodrošināšanai, bet tās iznomā ārpus vispārējās valdības institucionālā sektora struktūrām vai to lietošanas mērķis nav noteikts. Šo aktīvu lietderīgās lietošanas laiks ir ilgāks par vienu saimniecisko gadu.</w:t>
      </w:r>
    </w:p>
    <w:p w14:paraId="236660B7" w14:textId="77777777" w:rsidR="00954F0C" w:rsidRPr="00A27896" w:rsidRDefault="00954F0C" w:rsidP="00BE768C">
      <w:pPr>
        <w:pStyle w:val="Pamatteksts1"/>
      </w:pPr>
      <w:r w:rsidRPr="00A27896">
        <w:t xml:space="preserve">Ieguldījuma īpašumu uzskaite atbilst pamatlīdzekļu uzskaites pamatprincipiem. </w:t>
      </w:r>
    </w:p>
    <w:p w14:paraId="29990402" w14:textId="77777777" w:rsidR="00954F0C" w:rsidRPr="00A27896" w:rsidRDefault="00954F0C" w:rsidP="00BE768C">
      <w:pPr>
        <w:pStyle w:val="Pamatteksts1"/>
      </w:pPr>
      <w:r w:rsidRPr="00A27896">
        <w:t>Ieguldījuma īpašumu vērtības samazinājumu pārskata perioda beigās izvērtē, ja konstatētas vismaz šādas vērtības samazinājuma pazīmes:</w:t>
      </w:r>
    </w:p>
    <w:p w14:paraId="6E3B7BB1" w14:textId="77777777" w:rsidR="00954F0C" w:rsidRPr="00A27896" w:rsidRDefault="00954F0C" w:rsidP="000D2C39">
      <w:pPr>
        <w:pStyle w:val="Bullets"/>
      </w:pPr>
      <w:r w:rsidRPr="00A27896">
        <w:t>pārskata periodā tehnoloģiskajā, tirgus, ekonomiskajā vai juridiskajā vidē, kurā darbojas budžeta iestāde, vai tirgos, kuros aktīvs tiek izmantots, ir notikušas izmaiņas, kas nelabvēlīgi ietekmē budžeta iestādi;</w:t>
      </w:r>
    </w:p>
    <w:p w14:paraId="32639C08" w14:textId="7789B8AC" w:rsidR="00552663" w:rsidRDefault="00552663" w:rsidP="000D2C39">
      <w:pPr>
        <w:pStyle w:val="Bullets"/>
      </w:pPr>
      <w:r w:rsidRPr="00552663">
        <w:lastRenderedPageBreak/>
        <w:t>pārskata periodā ir vismaz par vienu procentpunktu palielinājusies diskonta likme, kas lietota, lai aprēķinātu aktīva lietošanas vērtību;</w:t>
      </w:r>
    </w:p>
    <w:p w14:paraId="7B0533A0" w14:textId="167F72CB" w:rsidR="00954F0C" w:rsidRPr="00A27896" w:rsidRDefault="00954F0C" w:rsidP="000D2C39">
      <w:pPr>
        <w:pStyle w:val="Bullets"/>
      </w:pPr>
      <w:r w:rsidRPr="00A27896">
        <w:t>aktīvs ir novecojis vai fiziski bojāts;</w:t>
      </w:r>
    </w:p>
    <w:p w14:paraId="119A8AEC" w14:textId="77777777" w:rsidR="00954F0C" w:rsidRPr="00A27896" w:rsidRDefault="00954F0C" w:rsidP="000D2C39">
      <w:pPr>
        <w:pStyle w:val="Bullets"/>
      </w:pPr>
      <w:r w:rsidRPr="00A27896">
        <w:t>budžeta iestādes darbībā notikušas vai tuvākajā laikā gaidāmas ilgtermiņa izmaiņas, kas negatīvi ietekmē aktīva paredzēto lietojumu;</w:t>
      </w:r>
    </w:p>
    <w:p w14:paraId="70D034B5" w14:textId="77777777" w:rsidR="00954F0C" w:rsidRPr="00A27896" w:rsidRDefault="00954F0C" w:rsidP="000D2C39">
      <w:pPr>
        <w:pStyle w:val="Bullets"/>
      </w:pPr>
      <w:r w:rsidRPr="00A27896">
        <w:t>pieņemts lēmums apturēt aktīva izveidošanu pirms tā pabeigšanas vai nodošanas lietošanā;</w:t>
      </w:r>
    </w:p>
    <w:p w14:paraId="7E82EDB3" w14:textId="77777777" w:rsidR="00954F0C" w:rsidRPr="00A27896" w:rsidRDefault="00954F0C" w:rsidP="000D2C39">
      <w:pPr>
        <w:pStyle w:val="Bullets"/>
      </w:pPr>
      <w:r w:rsidRPr="00A27896">
        <w:t>ar aktīvu saistīto budžetā paredzēto ienākošo un izejošo naudas plūsmu kopsummas vai budžeta izpildes rezultāta samazināšanās vismaz par 50 procentiem.</w:t>
      </w:r>
    </w:p>
    <w:p w14:paraId="7FE5E63B" w14:textId="77777777" w:rsidR="00954F0C" w:rsidRPr="00A27896" w:rsidRDefault="00954F0C" w:rsidP="008515BB">
      <w:pPr>
        <w:pStyle w:val="Heading3"/>
      </w:pPr>
      <w:bookmarkStart w:id="29" w:name="_Toc42846498"/>
      <w:r w:rsidRPr="00A27896">
        <w:t>Bioloģiskie aktīvi lauksaimnieciskai darbībai</w:t>
      </w:r>
      <w:bookmarkEnd w:id="29"/>
    </w:p>
    <w:p w14:paraId="31BE6F87" w14:textId="77777777" w:rsidR="00954F0C" w:rsidRPr="00A27896" w:rsidRDefault="00954F0C" w:rsidP="00BE768C">
      <w:pPr>
        <w:pStyle w:val="Pamatteksts1"/>
      </w:pPr>
      <w:r w:rsidRPr="00A27896">
        <w:t>Bioloģiskie aktīvi lauksaimnieciskai darbībai paredzēti budžeta iestādes plānveida darbībai lauksaimniecībā, zivsaimniecībā un mežsaimniecībā ieņēmumu gūšanai. Šo aktīvu lietderīgās lietošanas laiks ir ilgāks par vienu saimniecisko gadu un tos klasificē ilgtermiņa ieguldījumu sastāvā neatkarīgi no normatīvajos aktos budžeta izdevumu klasifikāciju jomā noteiktās vienas aktīva vienības atzīšanas vērtības.</w:t>
      </w:r>
    </w:p>
    <w:p w14:paraId="71C95EE3" w14:textId="77777777" w:rsidR="00954F0C" w:rsidRPr="00A27896" w:rsidRDefault="00954F0C" w:rsidP="00BE768C">
      <w:pPr>
        <w:pStyle w:val="Pamatteksts1"/>
      </w:pPr>
      <w:r w:rsidRPr="00A27896">
        <w:t>Bioloģiskos aktīvus sākotnēji atzīst to iegādes vai izveidošanas izmaksu vērtībā. Sākotnēji atzīstot līdz šim neuzskaitītus bioloģiskos aktīvus, tie novērtēti patiesajā vērtībā, mežaudzes –Meža valsts reģistrā norādītajā pilnajā vērtībā.</w:t>
      </w:r>
    </w:p>
    <w:p w14:paraId="554A2A4B" w14:textId="77777777" w:rsidR="00954F0C" w:rsidRPr="00A27896" w:rsidRDefault="00954F0C" w:rsidP="00BE768C">
      <w:pPr>
        <w:pStyle w:val="Pamatteksts1"/>
      </w:pPr>
      <w:r w:rsidRPr="00A27896">
        <w:t>Pārskata gada beigās mežaudzes novērtētas aktuālajā Meža valsts reģistrā norādītajā pilnajā vērtībā, bet pārējie bioloģiskie aktīvi novērti patiesajā vērtībā, atskaitot atsavināšanas izmaksas.</w:t>
      </w:r>
    </w:p>
    <w:p w14:paraId="19455498" w14:textId="77777777" w:rsidR="00954F0C" w:rsidRPr="00A27896" w:rsidRDefault="00954F0C" w:rsidP="00BE768C">
      <w:pPr>
        <w:pStyle w:val="Pamatteksts1"/>
      </w:pPr>
      <w:r w:rsidRPr="00A27896">
        <w:t>Starpība starp bioloģisko aktīvu uzskaites vērtību pārskata gada beigās un sākotnējo vērtību vai uzskaites vērtību iepriekšējā pārskata gada beigās iekļauta pārskata perioda pamatdarbības ieņēmumos vai izdevumos.</w:t>
      </w:r>
    </w:p>
    <w:p w14:paraId="13CAFA6D" w14:textId="77777777" w:rsidR="00954F0C" w:rsidRPr="00A27896" w:rsidRDefault="00954F0C" w:rsidP="008515BB">
      <w:pPr>
        <w:pStyle w:val="Heading3"/>
      </w:pPr>
      <w:bookmarkStart w:id="30" w:name="_Toc42846499"/>
      <w:r w:rsidRPr="00A27896">
        <w:t>Finanšu ieguldījumi (ilgtermiņa un īstermiņa)</w:t>
      </w:r>
      <w:bookmarkEnd w:id="30"/>
    </w:p>
    <w:p w14:paraId="6CF5EBB4" w14:textId="77777777" w:rsidR="00954F0C" w:rsidRPr="00A27896" w:rsidRDefault="00954F0C" w:rsidP="00BE768C">
      <w:pPr>
        <w:pStyle w:val="Pamatteksts1"/>
      </w:pPr>
      <w:r w:rsidRPr="00A27896">
        <w:t xml:space="preserve">Finanšu ieguldījumu sastāvā uzskaita valsts un pašvaldību finanšu ieguldījumus kapitālsabiedrību, starptautisko un citu organizāciju kapitālā un vērtspapīros, aizdevumus, noguldījumus, samaksātos avansus par finanšu ieguldījumiem. Šajā postenī uzskaitīti arī valsts </w:t>
      </w:r>
      <w:proofErr w:type="spellStart"/>
      <w:r w:rsidRPr="00A27896">
        <w:t>fondēto</w:t>
      </w:r>
      <w:proofErr w:type="spellEnd"/>
      <w:r w:rsidRPr="00A27896">
        <w:t xml:space="preserve"> pensiju shēmas līdzekļi un pārņemtie valsts budžeta debitori, kas saistīti ar izsniegtajiem aizdevumiem.</w:t>
      </w:r>
    </w:p>
    <w:p w14:paraId="31605CDD" w14:textId="77777777" w:rsidR="00954F0C" w:rsidRPr="00A27896" w:rsidRDefault="00954F0C" w:rsidP="00BE768C">
      <w:pPr>
        <w:pStyle w:val="Pamatteksts1"/>
      </w:pPr>
      <w:r w:rsidRPr="00A27896">
        <w:t>Budžeta iestādes īpašumā un valdījumā esošus valsts un pašvaldību īpašumus nododot turējumā valsts vai pašvaldību kapitālsabiedrībām, ostu pārvaldēm vai atvasinātām publiskām personām, to vērtību uzskaita atsevišķos kontos finanšu ieguldījumu sastāvā. Šajā postenī uzrāda privatizācijai vai atsavināšanai nodotos valsts īpašumus un kapitāla daļas, kuru īpašuma tiesības zemesgrāmatā vai kapitālsabiedrības dalībnieku (akcionāru) reģistrā ir reģistrētas uz valsts vārda privatizāciju (atsavināšanu) veicošās institūcijas personā, un nekustamos īpašumus, kuri nodoti privatizācijai vai atsavināšanai un kurus privatizāciju (atsavināšanu) veicošā institūcija ir ņēmusi valdījumā, bet kuru īpašuma tiesības vēl nav nostiprinātas zemesgrāmatā.</w:t>
      </w:r>
    </w:p>
    <w:p w14:paraId="58D76985" w14:textId="77777777" w:rsidR="00954F0C" w:rsidRPr="00A27896" w:rsidRDefault="00954F0C" w:rsidP="00BE768C">
      <w:pPr>
        <w:pStyle w:val="Pamatteksts1"/>
      </w:pPr>
      <w:r w:rsidRPr="00A27896">
        <w:t>Finanšu ieguldījumus sākotnēji atzīst to rašanās dienā un novērtē patiesajā vērtībā atbilstoši iegādes izmaksām.</w:t>
      </w:r>
    </w:p>
    <w:p w14:paraId="5AF7E7FC" w14:textId="77777777" w:rsidR="00954F0C" w:rsidRPr="00A27896" w:rsidRDefault="00954F0C" w:rsidP="00BE768C">
      <w:pPr>
        <w:pStyle w:val="Pamatteksts1"/>
      </w:pPr>
      <w:r w:rsidRPr="00A27896">
        <w:t>Finanšu ieguldījumus, kas klasificēti kā finanšu instrumenti, pēc sākotnējās atzīšanas uzskaita atbilstoši finanšu instrumentu uzskaites pamatprincipiem, kas detalizētāk aprakstīti sadaļā “Finanšu instrumentu klasifikācija, uzskaite un novērtēšana”.</w:t>
      </w:r>
    </w:p>
    <w:p w14:paraId="738B9220" w14:textId="77777777" w:rsidR="00954F0C" w:rsidRPr="00A27896" w:rsidRDefault="00954F0C" w:rsidP="00BE768C">
      <w:pPr>
        <w:pStyle w:val="Pamatteksts1"/>
      </w:pPr>
      <w:r w:rsidRPr="00A27896">
        <w:t>Finanšu ieguldījumus, kas nav klasificēti kā finanšu instrumenti, pēc sākotnējās atzīšanas uzskaita izmaksu vērtībā un pārskata perioda beigās nosaka vērtības samazinājumu, ja pastāv attiecīgas pazīmes.</w:t>
      </w:r>
      <w:r w:rsidRPr="00A27896" w:rsidDel="005D39C9">
        <w:t xml:space="preserve"> </w:t>
      </w:r>
    </w:p>
    <w:p w14:paraId="4C71BED3" w14:textId="0B7FF02B" w:rsidR="00954F0C" w:rsidRPr="00A27896" w:rsidRDefault="00954F0C" w:rsidP="008515BB">
      <w:pPr>
        <w:pStyle w:val="Heading3"/>
      </w:pPr>
      <w:bookmarkStart w:id="31" w:name="_Toc42846500"/>
      <w:r w:rsidRPr="00A27896">
        <w:lastRenderedPageBreak/>
        <w:t>Ieguldījumu radniecīgo un asociēto kapitālsabiedrību kapitālā uzskaite un novērtēšana (ilgtermiņa un īstermiņa)</w:t>
      </w:r>
      <w:bookmarkEnd w:id="31"/>
    </w:p>
    <w:p w14:paraId="42B27F64" w14:textId="6578F2D0" w:rsidR="00954F0C" w:rsidRPr="00A27896" w:rsidRDefault="00954F0C" w:rsidP="00BE768C">
      <w:pPr>
        <w:pStyle w:val="Pamatteksts1"/>
        <w:rPr>
          <w:b/>
          <w:iCs/>
        </w:rPr>
      </w:pPr>
      <w:r w:rsidRPr="00A27896">
        <w:t xml:space="preserve">Finanšu ieguldījumus kapitālsabiedrību kapitālā klasificē kā līdzdalību radniecīgās kapitālsabiedrībās, ja valstij un pašvaldībām kopā pieder vairāk par </w:t>
      </w:r>
      <w:r w:rsidRPr="001F76DC">
        <w:t>50 procentu balsstiesību, vai līdzdalību asociētās kapitālsabiedrībās, ja valstij un pašvaldībām kopā pieder 20</w:t>
      </w:r>
      <w:r w:rsidR="00D51050" w:rsidRPr="001F76DC">
        <w:t>,001</w:t>
      </w:r>
      <w:r w:rsidRPr="001F76DC">
        <w:t>-50 procentu</w:t>
      </w:r>
      <w:r w:rsidRPr="00A27896">
        <w:t xml:space="preserve"> balsstiesību. Līdzdalību radniecīgo un asociēto kapitālsabiedrību kapitālā novērtē un uzskaita saskaņā ar pašu kapitāla metodi.</w:t>
      </w:r>
      <w:r w:rsidRPr="00A27896">
        <w:rPr>
          <w:b/>
          <w:iCs/>
        </w:rPr>
        <w:t xml:space="preserve"> </w:t>
      </w:r>
    </w:p>
    <w:p w14:paraId="54CDF7E4" w14:textId="77777777" w:rsidR="00954F0C" w:rsidRPr="00A27896" w:rsidRDefault="00954F0C" w:rsidP="00BE768C">
      <w:pPr>
        <w:pStyle w:val="Pamatteksts1"/>
      </w:pPr>
      <w:r w:rsidRPr="00A27896">
        <w:t>Budžeta iestāžu ilgtermiņa finanšu ieguldījumi pārējo kapitālsabiedrību kapitālā, kur budžeta iestādei pieder 20 procenti un mazāk balsstiesību, bet valstij un pašvaldībām kopā pieder vairāk par 20 procentiem balsstiesību, finanšu pārskatā pārskata perioda sākumā un beigās pārrēķināti, pielietojot pašu kapitāla metodi.</w:t>
      </w:r>
    </w:p>
    <w:p w14:paraId="7CABDA7D" w14:textId="3442F05C" w:rsidR="00954F0C" w:rsidRPr="00A27896" w:rsidRDefault="00954F0C" w:rsidP="00BE768C">
      <w:pPr>
        <w:pStyle w:val="Pamatteksts1"/>
      </w:pPr>
      <w:r w:rsidRPr="00A27896">
        <w:t xml:space="preserve">Pārskata gadā </w:t>
      </w:r>
      <w:r w:rsidR="00CB289A">
        <w:t>paziņotās</w:t>
      </w:r>
      <w:r w:rsidRPr="00A27896">
        <w:t xml:space="preserve">, bet nesaņemtās dividendes </w:t>
      </w:r>
      <w:r w:rsidR="00CB289A">
        <w:t>uzskaitītas, samazinot ilgtermiņa ieguldījuma vērtību.</w:t>
      </w:r>
    </w:p>
    <w:p w14:paraId="67E9E67E" w14:textId="77777777" w:rsidR="00954F0C" w:rsidRPr="00A27896" w:rsidRDefault="00954F0C" w:rsidP="008515BB">
      <w:pPr>
        <w:pStyle w:val="Heading3"/>
      </w:pPr>
      <w:bookmarkStart w:id="32" w:name="_Toc42846501"/>
      <w:r w:rsidRPr="00A27896">
        <w:t>Aizdevumu uzskaite un novērtēšana (ilgtermiņa un īstermiņa)</w:t>
      </w:r>
      <w:bookmarkEnd w:id="32"/>
    </w:p>
    <w:p w14:paraId="133C5DFF" w14:textId="77777777" w:rsidR="00954F0C" w:rsidRPr="00A27896" w:rsidRDefault="00954F0C" w:rsidP="00BE768C">
      <w:pPr>
        <w:pStyle w:val="Pamatteksts1"/>
      </w:pPr>
      <w:r w:rsidRPr="00A27896">
        <w:t xml:space="preserve">Valsts un pašvaldību aizdevumi kapitālsabiedrībām, privātpersonām, biedrībām un nodibinājumiem klasificēti finanšu instrumentu kategorijā “Aizdevumi un prasības”. </w:t>
      </w:r>
    </w:p>
    <w:p w14:paraId="0DEEBA89" w14:textId="20D88779" w:rsidR="00954F0C" w:rsidRPr="00A27896" w:rsidRDefault="00954F0C" w:rsidP="00BE768C">
      <w:pPr>
        <w:pStyle w:val="Pamatteksts1"/>
      </w:pPr>
      <w:r w:rsidRPr="00A27896">
        <w:t xml:space="preserve">Finanšu pārskatā konsolidēti valsts budžeta finanšu uzskaitē iekļautie valsts aizdevumi pašvaldībām, studējošo un studiju kreditēšanas programmas izpildītājiem </w:t>
      </w:r>
      <w:r w:rsidR="007D18AF" w:rsidRPr="00A27896">
        <w:t xml:space="preserve">un </w:t>
      </w:r>
      <w:r w:rsidRPr="00A27896">
        <w:t>valsts budžeta daļēji finansētām atvasinātām publiskajām personām.</w:t>
      </w:r>
    </w:p>
    <w:p w14:paraId="1A76C468" w14:textId="77777777" w:rsidR="00954F0C" w:rsidRPr="00A27896" w:rsidRDefault="00954F0C" w:rsidP="008515BB">
      <w:pPr>
        <w:pStyle w:val="Heading3"/>
      </w:pPr>
      <w:bookmarkStart w:id="33" w:name="_Toc42846502"/>
      <w:r w:rsidRPr="00A27896">
        <w:t>Ieguldījumi vērtspapīros (ilgtermiņa un īstermiņa)</w:t>
      </w:r>
      <w:bookmarkEnd w:id="33"/>
    </w:p>
    <w:p w14:paraId="59598AD1" w14:textId="38F1F9A7" w:rsidR="00954F0C" w:rsidRPr="00A27896" w:rsidRDefault="00954F0C" w:rsidP="00BE768C">
      <w:pPr>
        <w:pStyle w:val="Pamatteksts1"/>
      </w:pPr>
      <w:r w:rsidRPr="00A27896">
        <w:t>Šajā bilances postenī uzskaita iegādātos ilgtermiņa un īstermiņa vērtspapīrus.</w:t>
      </w:r>
    </w:p>
    <w:p w14:paraId="5B2F673D" w14:textId="77777777" w:rsidR="00954F0C" w:rsidRPr="00A27896" w:rsidRDefault="00954F0C" w:rsidP="00BE768C">
      <w:pPr>
        <w:pStyle w:val="Pamatteksts1"/>
      </w:pPr>
      <w:r w:rsidRPr="00A27896">
        <w:t xml:space="preserve">Vērtspapīri klasificēti finanšu instrumentu kategorijā “Līdz termiņa beigām turēti ieguldījumi”. </w:t>
      </w:r>
    </w:p>
    <w:p w14:paraId="3CC1655F" w14:textId="77777777" w:rsidR="00954F0C" w:rsidRPr="00A27896" w:rsidRDefault="00954F0C" w:rsidP="008515BB">
      <w:pPr>
        <w:pStyle w:val="Heading3"/>
      </w:pPr>
      <w:bookmarkStart w:id="34" w:name="_Toc42846503"/>
      <w:r w:rsidRPr="00A27896">
        <w:t>Noguldījumu uzskaite (ilgtermiņa un īstermiņa)</w:t>
      </w:r>
      <w:bookmarkEnd w:id="34"/>
    </w:p>
    <w:p w14:paraId="625AB12C" w14:textId="2DF0C07E" w:rsidR="00954F0C" w:rsidRPr="00A27896" w:rsidRDefault="00954F0C" w:rsidP="00BE768C">
      <w:pPr>
        <w:pStyle w:val="Pamatteksts1"/>
      </w:pPr>
      <w:r w:rsidRPr="00A27896">
        <w:t>Noguldījumu sastāvā uzskaitīti Valsts kases uz laiku brīvo finanšu līdzekļu ieguldījumi depozītos Latvijas Bankā,</w:t>
      </w:r>
      <w:r w:rsidR="00D50D19" w:rsidRPr="00A27896">
        <w:t xml:space="preserve"> </w:t>
      </w:r>
      <w:r w:rsidRPr="00A27896">
        <w:t xml:space="preserve">kredītiestādēs un ārvalstu finanšu sabiedrībās, kā arī budžeta iestāžu noguldījumi kredītiestādēs un Valsts kasē, ja to sākotnējais termiņš ir lielāks par 90 dienām. </w:t>
      </w:r>
    </w:p>
    <w:p w14:paraId="4C4BBFA6" w14:textId="77777777" w:rsidR="00954F0C" w:rsidRPr="00A27896" w:rsidRDefault="00954F0C" w:rsidP="00BE768C">
      <w:pPr>
        <w:pStyle w:val="Pamatteksts1"/>
      </w:pPr>
      <w:r w:rsidRPr="00A27896">
        <w:t>Finanšu pārskatā konsolidēti budžeta iestāžu noguldījumi Valsts kasē.</w:t>
      </w:r>
    </w:p>
    <w:p w14:paraId="110414E8" w14:textId="1DCD3B31" w:rsidR="00954F0C" w:rsidRPr="00A27896" w:rsidRDefault="00954F0C" w:rsidP="00BE768C">
      <w:pPr>
        <w:pStyle w:val="Pamatteksts1"/>
      </w:pPr>
      <w:r w:rsidRPr="00A27896">
        <w:t>Noguldījumi klasificēti finanšu instrumentu kategorijā “Līdz termiņa beigām turēti ieguldījumi”.</w:t>
      </w:r>
    </w:p>
    <w:p w14:paraId="64A2B456" w14:textId="748B9A41" w:rsidR="00954F0C" w:rsidRPr="00A27896" w:rsidRDefault="00954F0C" w:rsidP="008515BB">
      <w:pPr>
        <w:pStyle w:val="Heading3"/>
      </w:pPr>
      <w:bookmarkStart w:id="35" w:name="_Toc42846504"/>
      <w:r w:rsidRPr="00A27896">
        <w:t>Finanšu ieguldījumu kapitālsabiedrību un starptautisko organizāciju kapitālā, kur valstij un pašvaldībām pieder 20 procenti un mazāk balsstiesību, uzskaite</w:t>
      </w:r>
      <w:bookmarkEnd w:id="35"/>
    </w:p>
    <w:p w14:paraId="50ED3FF3" w14:textId="67BBEA8B" w:rsidR="00954F0C" w:rsidRDefault="00954F0C" w:rsidP="00BE768C">
      <w:pPr>
        <w:pStyle w:val="Pamatteksts1"/>
      </w:pPr>
      <w:r w:rsidRPr="00A27896">
        <w:t>Finanšu ieguldījumi kapitālsabiedrību un starptautisko organizāciju kapitālā, kur valstij un pašvaldībām pieder 20 procenti un mazāk balsstiesību, klasificēti finanšu instrumentu kategorijā “Pārdošanai pieejami finanšu aktīvi”.</w:t>
      </w:r>
    </w:p>
    <w:p w14:paraId="38BB3F05" w14:textId="783BF4BC" w:rsidR="00954F0C" w:rsidRPr="00A27896" w:rsidRDefault="00954F0C" w:rsidP="008515BB">
      <w:pPr>
        <w:pStyle w:val="Heading3"/>
      </w:pPr>
      <w:r w:rsidRPr="00A27896">
        <w:t xml:space="preserve">Valsts </w:t>
      </w:r>
      <w:proofErr w:type="spellStart"/>
      <w:r w:rsidRPr="00A27896">
        <w:t>fondēto</w:t>
      </w:r>
      <w:proofErr w:type="spellEnd"/>
      <w:r w:rsidRPr="00A27896">
        <w:t xml:space="preserve"> pensiju shēmas līdzekļi</w:t>
      </w:r>
    </w:p>
    <w:p w14:paraId="026D7252" w14:textId="45C53A0C" w:rsidR="00954F0C" w:rsidRDefault="00954F0C" w:rsidP="00BE768C">
      <w:pPr>
        <w:pStyle w:val="Pamatteksts1"/>
      </w:pPr>
      <w:r w:rsidRPr="00A27896">
        <w:t xml:space="preserve">Valsts </w:t>
      </w:r>
      <w:proofErr w:type="spellStart"/>
      <w:r w:rsidRPr="00A27896">
        <w:t>fondēto</w:t>
      </w:r>
      <w:proofErr w:type="spellEnd"/>
      <w:r w:rsidRPr="00A27896">
        <w:t xml:space="preserve"> pensiju shēmas dalībnieka ieguldījuma plāna līdzekļus un uzkrāto kapitālu uzskaita pārējo ilgtermiņa finanšu ieguldījumu sastāvā, atbilstoši to vērtībai ieguldīšanas brīdī, vērtības izmaiņām, dzēšot ieguldījuma plāna daļu pensijas pieprasīšanas vai shēmas dalībnieka nāves un citos gadījumos, un pārskata gada beigās atbilstoši līdzekļu pārvaldītāju sniegtai informācijai.</w:t>
      </w:r>
    </w:p>
    <w:p w14:paraId="6636E38E" w14:textId="77777777" w:rsidR="00097B42" w:rsidRPr="00A27896" w:rsidRDefault="00097B42" w:rsidP="00BE768C">
      <w:pPr>
        <w:pStyle w:val="Pamatteksts1"/>
      </w:pPr>
    </w:p>
    <w:p w14:paraId="3BC75C8D" w14:textId="77777777" w:rsidR="00954F0C" w:rsidRPr="00A27896" w:rsidRDefault="00954F0C" w:rsidP="008515BB">
      <w:pPr>
        <w:pStyle w:val="Heading3"/>
      </w:pPr>
      <w:bookmarkStart w:id="36" w:name="_Toc42846505"/>
      <w:r w:rsidRPr="00A27896">
        <w:lastRenderedPageBreak/>
        <w:t>Krājumi</w:t>
      </w:r>
      <w:bookmarkEnd w:id="36"/>
    </w:p>
    <w:p w14:paraId="6A365FDE" w14:textId="5FCE6069" w:rsidR="00954F0C" w:rsidRPr="00A27896" w:rsidRDefault="00954F0C" w:rsidP="00BE768C">
      <w:pPr>
        <w:pStyle w:val="Pamatteksts1"/>
      </w:pPr>
      <w:r w:rsidRPr="00A27896">
        <w:t>Krājumos uzskaitīti budžeta iestāžu īstermiņa materiāli lietiskie aktīvi, kas paredzēti to darbības nodrošināšanai, atsavināšanai un materiālu vai izejvielu veidā iesaistīti vai tiks izlietoti saimnieciskās darbības procesā. Krājumu sastāvā uzskaita arī inventāru, kura vērtība ir līdz 500 </w:t>
      </w:r>
      <w:r w:rsidRPr="00A27896">
        <w:rPr>
          <w:i/>
        </w:rPr>
        <w:t>euro</w:t>
      </w:r>
      <w:r w:rsidRPr="00A27896">
        <w:t xml:space="preserve"> par vienību, ieskaitot ar pirkuma iegādi, piegādi un ar uzstādīšanu saistītos izdevumus, neatkarīgi no tā kalpošanas ilguma, atsavināšanai paredzētos ilgtermiņa ieguldījumus </w:t>
      </w:r>
      <w:r w:rsidRPr="00A27896">
        <w:rPr>
          <w:iCs/>
        </w:rPr>
        <w:t>(izņemot nodošanu bez atlīdzības</w:t>
      </w:r>
      <w:r w:rsidRPr="00A27896">
        <w:t xml:space="preserve"> </w:t>
      </w:r>
      <w:r w:rsidRPr="00A27896">
        <w:rPr>
          <w:iCs/>
        </w:rPr>
        <w:t xml:space="preserve">citai budžeta iestādei), </w:t>
      </w:r>
      <w:r w:rsidRPr="00A27896">
        <w:t xml:space="preserve">valsts </w:t>
      </w:r>
      <w:r w:rsidR="00CB289A">
        <w:t>materiālās</w:t>
      </w:r>
      <w:r w:rsidR="00CB289A" w:rsidRPr="00A27896">
        <w:t xml:space="preserve"> </w:t>
      </w:r>
      <w:r w:rsidRPr="00A27896">
        <w:t>rezerves un militāro inventāru Nacionālo bruņoto spēku militāro uzdevumu un ar tiem saistīto apmācību izpildes nodrošināšanai un militāro spēju attīstīšanai</w:t>
      </w:r>
      <w:r w:rsidR="00706534" w:rsidRPr="00A27896">
        <w:t xml:space="preserve">, kā arī valstij piekritīgo mantu (nekustamo īpašumu), kuras uzskaiti veic </w:t>
      </w:r>
      <w:r w:rsidR="00980588">
        <w:t>VID</w:t>
      </w:r>
      <w:r w:rsidR="00706534" w:rsidRPr="00A27896">
        <w:t xml:space="preserve"> un kurai ir zināma īpašuma kadastrālā vērtība</w:t>
      </w:r>
      <w:r w:rsidRPr="00A27896">
        <w:t>.</w:t>
      </w:r>
      <w:r w:rsidR="00706534" w:rsidRPr="00A27896">
        <w:t xml:space="preserve"> Pārējās valstij piekritīgās mantas uzskaiti </w:t>
      </w:r>
      <w:r w:rsidR="00980588">
        <w:t>VID</w:t>
      </w:r>
      <w:r w:rsidR="00706534" w:rsidRPr="00A27896">
        <w:t xml:space="preserve"> veic daudzuma vienībās.</w:t>
      </w:r>
    </w:p>
    <w:p w14:paraId="4308C5E7" w14:textId="01248E85" w:rsidR="00954F0C" w:rsidRPr="00A27896" w:rsidRDefault="00954F0C" w:rsidP="00BE768C">
      <w:pPr>
        <w:pStyle w:val="Pamatteksts1"/>
      </w:pPr>
      <w:r w:rsidRPr="00A27896">
        <w:t>Budžeta iestādes krājumus sākotnēji novērtē iegādes vai ražošanas pašizmaksā. Bioloģisko aktīvu produktus, kurus budžeta iestāde ieguvusi no saviem bioloģiskajiem aktīviem, sākotnēji novērtē patiesajā vērtībā, atskaitot atsavināšanas izmaksas, krājumu iegūšanas dienā.</w:t>
      </w:r>
      <w:r w:rsidR="00706534" w:rsidRPr="00A27896">
        <w:t xml:space="preserve"> Valstij piekritīgo nekustamo īpašumu, kurš ir uzskaitē pārskata gada beigās, uzskaita kadastrālajā vērtībā. </w:t>
      </w:r>
    </w:p>
    <w:p w14:paraId="429D0B3B" w14:textId="77777777" w:rsidR="00954F0C" w:rsidRPr="00A27896" w:rsidRDefault="00954F0C" w:rsidP="00BE768C">
      <w:pPr>
        <w:pStyle w:val="Pamatteksts1"/>
      </w:pPr>
      <w:r w:rsidRPr="00A27896">
        <w:t xml:space="preserve">Pārskata gada beigās nosaka aizstāšanas izmaksas krājumiem, kas paredzēti iestāžu funkciju nodrošināšanai (izņemot inventāru), izplatīšanai bez maksas vai par minimālu samaksu, kā arī šādu krājumu izgatavošanai, ja tie nav nodoti lietošanā vai izlietoti. Krājumu vērtību koriģē atbilstoši zemākajai vērtībai, salīdzinot krājumu aizstāšanas izmaksas ar šo krājumu iegādes (izmaksu) vērtību. Atsavināšanai </w:t>
      </w:r>
      <w:proofErr w:type="spellStart"/>
      <w:r w:rsidRPr="00A27896">
        <w:t>trešām</w:t>
      </w:r>
      <w:proofErr w:type="spellEnd"/>
      <w:r w:rsidRPr="00A27896">
        <w:t xml:space="preserve"> personām (izņemot inventāru, izplatīšanai bez maksas vai par minimālu samaksu) paredzētos krājumus saimnieciskā gada beigās novērtē neto pārdošanas vērtībā, ja tā ir zemāka par šo krājumu iegādes (izmaksu) vērtību. Starpību, kas rodas starp iegādes (izmaksu) vērtību un aizstāšanas izmaksām vai neto pārdošanas vērtību, atzīst budžeta iestāžu pārējos izdevumos. Krājumiem, kuri pēc savām funkcijām neatšķiras no pamatlīdzekļiem, bet neatbilst pamatlīdzekļu sākotnējās vērtības atzīšanas kritērijiem (inventārs) un kuri nav nodoti lietošanā, vērtības samazinājumu aprēķina un uzskaita atbilstoši budžeta iestāžu pamatlīdzekļu vērtības samazinājuma noteikšanas nosacījumiem.</w:t>
      </w:r>
    </w:p>
    <w:p w14:paraId="1DC4A7E2" w14:textId="77777777" w:rsidR="00954F0C" w:rsidRPr="00A27896" w:rsidRDefault="00954F0C" w:rsidP="00BE768C">
      <w:pPr>
        <w:pStyle w:val="Pamatteksts1"/>
      </w:pPr>
      <w:r w:rsidRPr="00A27896">
        <w:t>Krājumus noraksta, pielietojot metodi “pirmais iekšā – pirmais ārā” (FIFO). Norakstot izlietoto krājumu vērtību, to atzīst budžeta iestādes pamatdarbības izdevumos periodā, kad tos nodod lietošanā vai faktiski izlieto.</w:t>
      </w:r>
    </w:p>
    <w:p w14:paraId="0ED24E15" w14:textId="025E1E56" w:rsidR="00954F0C" w:rsidRPr="00A27896" w:rsidRDefault="00954F0C" w:rsidP="00BE768C">
      <w:pPr>
        <w:pStyle w:val="Pamatteksts1"/>
      </w:pPr>
      <w:r w:rsidRPr="00A27896">
        <w:t>Krājumus atsavinot, likvidējot vai konstatējot to iztrūkumu, to uzskaites vērtību noraksta pārējos izdevumos.</w:t>
      </w:r>
    </w:p>
    <w:p w14:paraId="66362884" w14:textId="60B897F1" w:rsidR="00954F0C" w:rsidRPr="00A27896" w:rsidRDefault="00954F0C" w:rsidP="00BE768C">
      <w:pPr>
        <w:pStyle w:val="Pamatteksts1"/>
        <w:rPr>
          <w:iCs/>
        </w:rPr>
      </w:pPr>
      <w:r w:rsidRPr="00A27896">
        <w:t>Budžeta iestāžu īpašumā un valdījumā esošo valsts un pašvaldību krājumu, kas nodoti turējumā valsts vai pašvaldību kapitālsabiedrībām, ostu pārvaldēm vai atvasinātām publiskām personām, vērtība uzskaitīta atsevišķos kontos krājumu sastāvā.</w:t>
      </w:r>
    </w:p>
    <w:p w14:paraId="46BD484A" w14:textId="7521B542" w:rsidR="00954F0C" w:rsidRPr="00A27896" w:rsidRDefault="00954F0C" w:rsidP="008515BB">
      <w:pPr>
        <w:pStyle w:val="Heading3"/>
      </w:pPr>
      <w:bookmarkStart w:id="37" w:name="_Toc42846506"/>
      <w:r w:rsidRPr="00A27896">
        <w:t>Prasības (norēķini ar debitoriem)</w:t>
      </w:r>
      <w:bookmarkEnd w:id="37"/>
    </w:p>
    <w:p w14:paraId="668B0DC8" w14:textId="42150E50" w:rsidR="00954F0C" w:rsidRPr="00A27896" w:rsidRDefault="00954F0C" w:rsidP="00BE768C">
      <w:pPr>
        <w:pStyle w:val="Pamatteksts1"/>
      </w:pPr>
      <w:r w:rsidRPr="00A27896">
        <w:t>Prasību grupā budžeta iestādes uzskaita norēķinus ar debitoriem – juridiskām un fiziskām personām, pret kurām budžeta iestādei vai valsts budžetam ir radušās ilgtermiņa vai īstermiņa prasības, tai skaitā par ārvalstu finanšu palīdzības un E</w:t>
      </w:r>
      <w:r w:rsidR="00813384" w:rsidRPr="00A27896">
        <w:t xml:space="preserve">iropas </w:t>
      </w:r>
      <w:r w:rsidRPr="00A27896">
        <w:t>S</w:t>
      </w:r>
      <w:r w:rsidR="00813384" w:rsidRPr="00A27896">
        <w:t>avienības (turpmāk – ES)</w:t>
      </w:r>
      <w:r w:rsidRPr="00A27896">
        <w:t xml:space="preserve"> politiku instrumentu finansētajiem projektiem (pasākumiem)</w:t>
      </w:r>
      <w:r w:rsidR="00706534" w:rsidRPr="00A27896">
        <w:t xml:space="preserve"> un </w:t>
      </w:r>
      <w:r w:rsidR="002A3E4A" w:rsidRPr="00A27896">
        <w:t xml:space="preserve">par </w:t>
      </w:r>
      <w:r w:rsidR="00451B7B" w:rsidRPr="00A27896">
        <w:t>VID</w:t>
      </w:r>
      <w:r w:rsidR="00706534" w:rsidRPr="00A27896">
        <w:t xml:space="preserve"> administrētiem valsts budžeta ieņēmumiem</w:t>
      </w:r>
      <w:r w:rsidRPr="00A27896">
        <w:t xml:space="preserve">. </w:t>
      </w:r>
      <w:r w:rsidR="00706534" w:rsidRPr="00A27896">
        <w:t xml:space="preserve">Ņemot vērā </w:t>
      </w:r>
      <w:r w:rsidR="00047F5E" w:rsidRPr="00A27896">
        <w:t>Ministru kabineta 2018.</w:t>
      </w:r>
      <w:r w:rsidR="00C04542" w:rsidRPr="00A27896">
        <w:t> </w:t>
      </w:r>
      <w:r w:rsidR="00047F5E" w:rsidRPr="00A27896">
        <w:t>gada 30.</w:t>
      </w:r>
      <w:r w:rsidR="00C04542" w:rsidRPr="00A27896">
        <w:t> </w:t>
      </w:r>
      <w:r w:rsidR="00047F5E" w:rsidRPr="00A27896">
        <w:t>oktobra noteikumos Nr.</w:t>
      </w:r>
      <w:r w:rsidR="0095764C" w:rsidRPr="00A27896">
        <w:t> </w:t>
      </w:r>
      <w:r w:rsidR="00640256" w:rsidRPr="00A27896">
        <w:t>661 “</w:t>
      </w:r>
      <w:r w:rsidR="00047F5E" w:rsidRPr="00A27896">
        <w:t>Kārtība, kādā maksā nodokļus, nodevas, citus valsts noteiktos maksājumus un ar tiem saistītos maksājumus un</w:t>
      </w:r>
      <w:r w:rsidR="00640256" w:rsidRPr="00A27896">
        <w:t xml:space="preserve"> novirza tos saistību segšanai”</w:t>
      </w:r>
      <w:r w:rsidR="00706534" w:rsidRPr="00A27896">
        <w:t>, kas izdoti uz likuma “Par nodokļiem un nodevām” 23</w:t>
      </w:r>
      <w:r w:rsidR="00552663">
        <w:t>.</w:t>
      </w:r>
      <w:r w:rsidR="00706534" w:rsidRPr="00A27896">
        <w:rPr>
          <w:vertAlign w:val="superscript"/>
        </w:rPr>
        <w:t>1</w:t>
      </w:r>
      <w:r w:rsidR="00706534" w:rsidRPr="00A27896">
        <w:t>panta pamata</w:t>
      </w:r>
      <w:r w:rsidR="00047F5E" w:rsidRPr="00A27896">
        <w:t>, noteikto kārtību vienotajā nodokļu kontā saņemtos maksājumus attiecina ar datumu, kurā iestājas maksājumu saistības maksāšanas termiņš, līdz tam saņemtos neattiecinātos maksājumus</w:t>
      </w:r>
      <w:r w:rsidR="00451B7B" w:rsidRPr="00A27896">
        <w:t xml:space="preserve"> VID administrēto valsts budžeta ieņēmumu</w:t>
      </w:r>
      <w:r w:rsidR="00047F5E" w:rsidRPr="00A27896">
        <w:t xml:space="preserve"> grāmatvedīb</w:t>
      </w:r>
      <w:r w:rsidR="00451B7B" w:rsidRPr="00A27896">
        <w:t>as uzskaitē</w:t>
      </w:r>
      <w:r w:rsidR="00047F5E" w:rsidRPr="00A27896">
        <w:t xml:space="preserve"> klasificējot kā </w:t>
      </w:r>
      <w:r w:rsidR="00C06EE5" w:rsidRPr="00A27896">
        <w:t xml:space="preserve">saistības par </w:t>
      </w:r>
      <w:r w:rsidR="00047F5E" w:rsidRPr="00A27896">
        <w:t>avansā saņemt</w:t>
      </w:r>
      <w:r w:rsidR="00C06EE5" w:rsidRPr="00A27896">
        <w:t>iem</w:t>
      </w:r>
      <w:r w:rsidR="00047F5E" w:rsidRPr="00A27896">
        <w:t xml:space="preserve"> naudas līdzekļ</w:t>
      </w:r>
      <w:r w:rsidR="00C06EE5" w:rsidRPr="00A27896">
        <w:t>iem</w:t>
      </w:r>
      <w:r w:rsidR="00047F5E" w:rsidRPr="00A27896">
        <w:t>.</w:t>
      </w:r>
    </w:p>
    <w:p w14:paraId="7F9C95C2" w14:textId="77777777" w:rsidR="00954F0C" w:rsidRPr="00A27896" w:rsidRDefault="00954F0C" w:rsidP="00BE768C">
      <w:pPr>
        <w:pStyle w:val="Pamatteksts1"/>
      </w:pPr>
      <w:r w:rsidRPr="00A27896">
        <w:t>Prasības sākotnēji atzīst atbilstoši darījuma patiesai vērtībai.</w:t>
      </w:r>
    </w:p>
    <w:p w14:paraId="352A2718" w14:textId="77777777" w:rsidR="00954F0C" w:rsidRPr="00A27896" w:rsidRDefault="00954F0C" w:rsidP="00BE768C">
      <w:pPr>
        <w:pStyle w:val="Pamatteksts1"/>
      </w:pPr>
      <w:r w:rsidRPr="00A27896">
        <w:lastRenderedPageBreak/>
        <w:t>Prasības, kas klasificētas kā finanšu instruments kategorijā “Aizdevumi un prasības”, pēc sākotnējās atzīšanas uzskaita atbilstoši finanšu instrumentu uzskaites pamatprincipiem, kas detalizētāk aprakstīti sadaļā “Finanšu instrumentu klasifikācija, uzskaite un novērtēšana”.</w:t>
      </w:r>
    </w:p>
    <w:p w14:paraId="2D2A81B0" w14:textId="77777777" w:rsidR="00954F0C" w:rsidRPr="00A27896" w:rsidRDefault="00954F0C" w:rsidP="00BE768C">
      <w:pPr>
        <w:pStyle w:val="Pamatteksts1"/>
      </w:pPr>
      <w:r w:rsidRPr="00A27896">
        <w:t>Pārējām prasībām nosaka vērtības samazinājumu, ja konstatētas vērtības samazinājuma pazīmes.</w:t>
      </w:r>
    </w:p>
    <w:p w14:paraId="52BDF8BB"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Vērtības samazinājumu prasībām veido budžeta iestāžu grāmatvedības uzskaitē: </w:t>
      </w:r>
    </w:p>
    <w:p w14:paraId="5CFBF5D3" w14:textId="77777777" w:rsidR="00954F0C" w:rsidRPr="00A27896" w:rsidRDefault="00954F0C" w:rsidP="000D2C39">
      <w:pPr>
        <w:pStyle w:val="Bullets"/>
      </w:pPr>
      <w:r w:rsidRPr="00A27896">
        <w:t>atbilstoši prasību apmaksas vai izpildes kavējuma dienu skaitam, vērtības samazinājuma apmēru nosakot proporcionāli no prasību vērtības;</w:t>
      </w:r>
    </w:p>
    <w:p w14:paraId="49127BF7" w14:textId="77777777" w:rsidR="00954F0C" w:rsidRPr="00A27896" w:rsidRDefault="00954F0C" w:rsidP="000D2C39">
      <w:pPr>
        <w:pStyle w:val="Bullets"/>
      </w:pPr>
      <w:r w:rsidRPr="00A27896">
        <w:t>apšaubāmās summas apmērā, ja pastāv strīds par prasību apmaksu vai līguma izpildi, par kuru veikts avansa maksājums, pret darījuma partneri ir ierosināta lieta par maksātnespēju, kā arī citos gadījumos, kad ir pamatots iemesls apšaubīt prasības atgūšanu;</w:t>
      </w:r>
    </w:p>
    <w:p w14:paraId="652A842D" w14:textId="77777777" w:rsidR="00954F0C" w:rsidRPr="00A27896" w:rsidRDefault="00954F0C" w:rsidP="00BE768C">
      <w:pPr>
        <w:pStyle w:val="Pamatteksts1"/>
      </w:pPr>
      <w:r w:rsidRPr="00A27896">
        <w:t xml:space="preserve">Finanšu pārskatā prasību sastāvā uzskaita arī uzkrātos ieņēmumus. Uzkrāto ieņēmumu postenī uzskaita skaidri zināmas norēķinu summas, kas saskaņā ar noslēgtiem līgumiem attiecas uz pārskata gadu vai iepriekšējiem gadiem, attiecībā uz kuriem līdz pārskata gada beigām nav sagatavots maksāšanai paredzētais attaisnojuma dokuments. Šīs norēķinu summas aprēķina saskaņā ar attiecīgā darījuma līguma nosacījumiem. </w:t>
      </w:r>
    </w:p>
    <w:p w14:paraId="2B1D9D32" w14:textId="77777777" w:rsidR="00954F0C" w:rsidRPr="00A27896" w:rsidRDefault="00954F0C" w:rsidP="00BE768C">
      <w:pPr>
        <w:pStyle w:val="Heading3"/>
      </w:pPr>
      <w:bookmarkStart w:id="38" w:name="_Toc42846507"/>
      <w:r w:rsidRPr="00A27896">
        <w:t>Nākamo periodu izdevumi un avansa maksājumi par pakalpojumiem un projektiem</w:t>
      </w:r>
      <w:bookmarkEnd w:id="38"/>
      <w:r w:rsidRPr="00A27896">
        <w:t xml:space="preserve"> </w:t>
      </w:r>
    </w:p>
    <w:p w14:paraId="2A2461C1" w14:textId="77777777" w:rsidR="00954F0C" w:rsidRPr="00A27896" w:rsidRDefault="00954F0C" w:rsidP="00BE768C">
      <w:pPr>
        <w:pStyle w:val="Pamatteksts1"/>
      </w:pPr>
      <w:r w:rsidRPr="00A27896">
        <w:t xml:space="preserve">Šajā bilances postenī uzskaita ar budžeta iestāžu darbību saistītos izdevumus, kas apmaksāti pārskata gadā, bet attiecas uz nākamajiem periodiem pēc bilances datuma, kā arī veiktos avansa maksājumus par pakalpojumiem un projektiem. </w:t>
      </w:r>
    </w:p>
    <w:p w14:paraId="50C6F3BE" w14:textId="77777777" w:rsidR="00954F0C" w:rsidRPr="00A27896" w:rsidRDefault="00954F0C" w:rsidP="00BE768C">
      <w:pPr>
        <w:pStyle w:val="Pamatteksts1"/>
      </w:pPr>
      <w:r w:rsidRPr="00A27896">
        <w:t xml:space="preserve">Nākamo periodu izdevumus budžeta iestādes atzīst izdevumos pārskata gadā, kurā ir saņemti / izlietoti iepriekš apmaksātie pakalpojumi. </w:t>
      </w:r>
    </w:p>
    <w:p w14:paraId="7B819690" w14:textId="62BF8A09" w:rsidR="00954F0C" w:rsidRPr="00A27896" w:rsidRDefault="00954F0C" w:rsidP="00BE768C">
      <w:pPr>
        <w:pStyle w:val="Pamatteksts1"/>
      </w:pPr>
      <w:r w:rsidRPr="00A27896">
        <w:t xml:space="preserve">Budžeta iestādes šajā postenī uzskaita arī avansā pārskaitītos </w:t>
      </w:r>
      <w:proofErr w:type="spellStart"/>
      <w:r w:rsidRPr="00A27896">
        <w:t>tran</w:t>
      </w:r>
      <w:r w:rsidR="000C1009" w:rsidRPr="00A27896">
        <w:t>s</w:t>
      </w:r>
      <w:r w:rsidRPr="00A27896">
        <w:t>fertus</w:t>
      </w:r>
      <w:proofErr w:type="spellEnd"/>
      <w:r w:rsidRPr="00A27896">
        <w:t xml:space="preserve">, tai skaitā par ES politiku instrumentu un pārējās ārvalstu finanšu palīdzības finansētajiem projektiem (pasākumiem), kurus atzīst izdevumos pārskata periodā, kad apstiprināts </w:t>
      </w:r>
      <w:proofErr w:type="spellStart"/>
      <w:r w:rsidRPr="00A27896">
        <w:t>transferta</w:t>
      </w:r>
      <w:proofErr w:type="spellEnd"/>
      <w:r w:rsidRPr="00A27896">
        <w:t xml:space="preserve"> izlietojums.</w:t>
      </w:r>
    </w:p>
    <w:p w14:paraId="357A0AA6" w14:textId="77777777" w:rsidR="00954F0C" w:rsidRPr="00A27896" w:rsidRDefault="00954F0C" w:rsidP="008515BB">
      <w:pPr>
        <w:pStyle w:val="Heading3"/>
      </w:pPr>
      <w:bookmarkStart w:id="39" w:name="_Toc42846508"/>
      <w:r w:rsidRPr="00A27896">
        <w:t>Naudas līdzekļi</w:t>
      </w:r>
      <w:bookmarkEnd w:id="39"/>
    </w:p>
    <w:p w14:paraId="25F7515B" w14:textId="0387AA7C" w:rsidR="00954F0C" w:rsidRPr="00A27896" w:rsidRDefault="00954F0C" w:rsidP="008515BB">
      <w:pPr>
        <w:pStyle w:val="Pamatteksts1"/>
      </w:pPr>
      <w:r w:rsidRPr="00A27896">
        <w:t>Naudas līdzekļu sastāvā uzskaitīti budžeta iestāžu naudas līdzekļi kasēs un norēķinu kontos kredītiestādēs, naudas ekvivalenti, kā arī Valsts kases kontu atlikumi Latvijas Bankā, kredītiestādēs un ārvalstu finanšu sabiedrībās</w:t>
      </w:r>
      <w:r w:rsidR="007F068B" w:rsidRPr="00A27896">
        <w:t>.</w:t>
      </w:r>
    </w:p>
    <w:p w14:paraId="1BF8DBBD" w14:textId="33795814" w:rsidR="00954F0C" w:rsidRPr="00A27896" w:rsidRDefault="00954F0C" w:rsidP="008515BB">
      <w:pPr>
        <w:pStyle w:val="Heading3"/>
      </w:pPr>
      <w:bookmarkStart w:id="40" w:name="_Toc42846509"/>
      <w:r w:rsidRPr="00A27896">
        <w:t>Pašu kapitāls</w:t>
      </w:r>
      <w:bookmarkEnd w:id="40"/>
    </w:p>
    <w:p w14:paraId="3512A6AC" w14:textId="77777777" w:rsidR="00954F0C" w:rsidRPr="00A27896" w:rsidRDefault="00954F0C" w:rsidP="008515BB">
      <w:pPr>
        <w:pStyle w:val="Pamatteksts1"/>
      </w:pPr>
      <w:r w:rsidRPr="00A27896">
        <w:t>Pašu kapitāla sastāvā uzskaita budžeta iestāžu rezerves, iepriekšējo pārskata gadu budžeta izpildes rezultātu un pārskata gada budžeta izpildes rezultātu.</w:t>
      </w:r>
    </w:p>
    <w:p w14:paraId="2790D320" w14:textId="212E776D" w:rsidR="00954F0C" w:rsidRPr="00A27896" w:rsidRDefault="00954F0C" w:rsidP="008515BB">
      <w:pPr>
        <w:pStyle w:val="Pamatteksts1"/>
      </w:pPr>
      <w:r w:rsidRPr="00A27896">
        <w:t>Rezerves atzīst, ja finanšu ieguldījumi radniecīgās un asociētās kapitālsabiedrībās novērtēti saskaņā ar pašu kapitāla metodi un kapitālsabiedrībai pašu kapitālā ir bijušas izmaiņas, kas nav norādītas kapitālsabiedrības peļņas un zaudējumu aprēķinā, pārdošanai pieejamu finanšu instrumentu patiesās vērtības izmaiņas</w:t>
      </w:r>
      <w:r w:rsidR="00AA7198" w:rsidRPr="00A27896">
        <w:t>,</w:t>
      </w:r>
      <w:r w:rsidR="00400118" w:rsidRPr="00A27896">
        <w:t xml:space="preserve"> kā arī </w:t>
      </w:r>
      <w:r w:rsidR="00AA7198" w:rsidRPr="00A27896">
        <w:t xml:space="preserve">naudas plūsmas </w:t>
      </w:r>
      <w:r w:rsidR="00400118" w:rsidRPr="00A27896">
        <w:t>riska ierobežošanas uzskaitē</w:t>
      </w:r>
      <w:r w:rsidR="00441B8B" w:rsidRPr="00A27896">
        <w:t xml:space="preserve"> </w:t>
      </w:r>
      <w:r w:rsidR="00400118" w:rsidRPr="00A27896">
        <w:t>atzīt</w:t>
      </w:r>
      <w:r w:rsidR="00441B8B" w:rsidRPr="00A27896">
        <w:t xml:space="preserve">o </w:t>
      </w:r>
      <w:r w:rsidR="00AA7198" w:rsidRPr="00A27896">
        <w:t xml:space="preserve">atvasināto </w:t>
      </w:r>
      <w:r w:rsidR="00441B8B" w:rsidRPr="00A27896">
        <w:t>finanšu instrumentu</w:t>
      </w:r>
      <w:r w:rsidR="00400118" w:rsidRPr="00A27896">
        <w:t xml:space="preserve"> patiesās vērtības izmaiņas, kas novērtētas</w:t>
      </w:r>
      <w:r w:rsidR="00441B8B" w:rsidRPr="00A27896">
        <w:t xml:space="preserve"> kā</w:t>
      </w:r>
      <w:r w:rsidR="00400118" w:rsidRPr="00A27896">
        <w:t xml:space="preserve"> efektīva riska ierobežošana</w:t>
      </w:r>
      <w:r w:rsidRPr="00A27896">
        <w:t>.</w:t>
      </w:r>
    </w:p>
    <w:p w14:paraId="7A0046C4" w14:textId="77777777" w:rsidR="00954F0C" w:rsidRPr="00A27896" w:rsidRDefault="00954F0C" w:rsidP="008515BB">
      <w:pPr>
        <w:pStyle w:val="Heading3"/>
      </w:pPr>
      <w:bookmarkStart w:id="41" w:name="_Toc42846510"/>
      <w:r w:rsidRPr="00A27896">
        <w:t>Uzkrājumi</w:t>
      </w:r>
      <w:bookmarkEnd w:id="41"/>
    </w:p>
    <w:p w14:paraId="77A7CCBA" w14:textId="77777777" w:rsidR="00954F0C" w:rsidRPr="00A27896" w:rsidRDefault="00954F0C" w:rsidP="008515BB">
      <w:pPr>
        <w:pStyle w:val="Pamatteksts1"/>
      </w:pPr>
      <w:r w:rsidRPr="00A27896">
        <w:t xml:space="preserve">Uzkrājumi atzīti valsts budžeta un budžeta iestāžu saistību segšanai, kas attiecas uz pārskata gada vai iepriekšējo gadu darījumiem un pārskata sagatavošanas laikā ir paredzamas vai zināmas, bet to vērtība, izpildes vai apmaksas datums nav precīzi zināms – ierosināto tiesvedību spriedumu </w:t>
      </w:r>
      <w:r w:rsidRPr="00A27896">
        <w:lastRenderedPageBreak/>
        <w:t xml:space="preserve">izpildei, izdienas pensiju izmaksai, citu normatīvos aktos noteikto pabalstu un piešķirto kompensāciju un </w:t>
      </w:r>
      <w:proofErr w:type="spellStart"/>
      <w:r w:rsidRPr="00A27896">
        <w:t>grantu</w:t>
      </w:r>
      <w:proofErr w:type="spellEnd"/>
      <w:r w:rsidRPr="00A27896">
        <w:t xml:space="preserve"> izmaksai.</w:t>
      </w:r>
    </w:p>
    <w:p w14:paraId="7B6601C3" w14:textId="77777777" w:rsidR="00954F0C" w:rsidRPr="00A27896" w:rsidRDefault="00954F0C" w:rsidP="00BE768C">
      <w:pPr>
        <w:pStyle w:val="Pamatteksts1"/>
      </w:pPr>
      <w:r w:rsidRPr="00A27896">
        <w:t>Uzkrājumus izveido paredzamām saistībām saskaņā ar uzkrāšanas principu atbilstoši šādiem nosacījumiem:</w:t>
      </w:r>
    </w:p>
    <w:p w14:paraId="135EA255"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pastāv pašreizējs pienākums (juridisks vai prakses radīts), kuru izraisījis pagātnes notikums, ņemot vērā visus pieejamos pierādījumus pārskata perioda beigās. Uzkrājumus veido tikai tādām paredzamām saistībām, kas pastāv neatkarīgi no vienības rīcības nākotnē;</w:t>
      </w:r>
    </w:p>
    <w:p w14:paraId="30866089"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ir ticams (pastāv pietiekami liela varbūtība), ka šā pienākuma izpildei būs nepieciešams resursu izlietojums;</w:t>
      </w:r>
    </w:p>
    <w:p w14:paraId="2E323074"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pienākuma izpildei nepieciešamās summas var ticami novērtēt.</w:t>
      </w:r>
    </w:p>
    <w:p w14:paraId="56798CF5" w14:textId="77777777" w:rsidR="00954F0C" w:rsidRPr="00A27896" w:rsidRDefault="00954F0C" w:rsidP="00BE768C">
      <w:pPr>
        <w:pStyle w:val="Pamatteksts1"/>
      </w:pPr>
      <w:r w:rsidRPr="00A27896">
        <w:t>Uzkrājumus iespējamiem izdevumiem, kas radīsies no galvojumu saistību izpildes pirms galvojumā noteiktā notikuma iestāšanās, atzīst vērtībā, kas atbilst galvojuma iespējami precīzākajai pašreizējās vērtības aplēsei (patiesajā vērtībā).</w:t>
      </w:r>
    </w:p>
    <w:p w14:paraId="70BAA536" w14:textId="5F244DAE" w:rsidR="00954F0C" w:rsidRPr="00A27896" w:rsidRDefault="00954F0C" w:rsidP="00BE768C">
      <w:pPr>
        <w:pStyle w:val="Pamatteksts1"/>
        <w:rPr>
          <w:rFonts w:eastAsia="Times New Roman"/>
          <w:bCs/>
        </w:rPr>
      </w:pPr>
      <w:r w:rsidRPr="006D7AD8">
        <w:rPr>
          <w:rFonts w:eastAsia="Times New Roman"/>
          <w:lang w:eastAsia="lv-LV"/>
        </w:rPr>
        <w:t xml:space="preserve">Valsts budžeta finanšu uzskaitē </w:t>
      </w:r>
      <w:r w:rsidRPr="006D7AD8">
        <w:rPr>
          <w:rFonts w:eastAsia="Times New Roman"/>
          <w:bCs/>
        </w:rPr>
        <w:t xml:space="preserve">uzkrājumu apjoms noteikts aizņēmējam individuāli </w:t>
      </w:r>
      <w:r w:rsidRPr="006D7AD8">
        <w:t>(individuāli vērtējamo aizņēmēju grupā)</w:t>
      </w:r>
      <w:r w:rsidRPr="006D7AD8">
        <w:rPr>
          <w:rFonts w:eastAsia="Times New Roman"/>
          <w:bCs/>
        </w:rPr>
        <w:t>, izvērtējot kredītriska notikumu (Starptautisko finanšu pārskatu standartu (turpmāk – SFPS) izpratnē) un nākotnē iespējamo maksājamo naudas plūsmu, lai izpildītu valsts uzņemtās saistības.</w:t>
      </w:r>
    </w:p>
    <w:p w14:paraId="4360FB8F" w14:textId="77777777" w:rsidR="00954F0C" w:rsidRPr="00A27896" w:rsidRDefault="00954F0C" w:rsidP="00BE768C">
      <w:pPr>
        <w:pStyle w:val="Pamatteksts1"/>
        <w:rPr>
          <w:rFonts w:eastAsia="Times New Roman"/>
          <w:bCs/>
        </w:rPr>
      </w:pPr>
      <w:r w:rsidRPr="00A27896">
        <w:rPr>
          <w:rFonts w:eastAsia="Times New Roman"/>
          <w:bCs/>
        </w:rPr>
        <w:t>Uzkrājumus ierosināto tiesvedību spriedumu izpildei veido, izvērtējot katru gadījumu atsevišķi atbilstoši izdevumu iespējami precīzākajai pašreizējās vērtības aplēsei, ņemot vērā ar izmaksu saistītos riskus un nenoteiktības.</w:t>
      </w:r>
    </w:p>
    <w:p w14:paraId="7A9F6900" w14:textId="77777777" w:rsidR="00954F0C" w:rsidRPr="00A27896" w:rsidRDefault="00954F0C" w:rsidP="00BE768C">
      <w:pPr>
        <w:pStyle w:val="Pamatteksts1"/>
        <w:rPr>
          <w:rFonts w:eastAsia="Times New Roman"/>
          <w:bCs/>
        </w:rPr>
      </w:pPr>
      <w:r w:rsidRPr="00A27896">
        <w:rPr>
          <w:rFonts w:eastAsia="Times New Roman"/>
          <w:bCs/>
        </w:rPr>
        <w:t>Uzkrājumus izdienas pensiju izmaksai aprēķina:</w:t>
      </w:r>
    </w:p>
    <w:p w14:paraId="508C0CDA" w14:textId="6F399976" w:rsidR="00954F0C" w:rsidRPr="00A27896" w:rsidRDefault="00954F0C" w:rsidP="000D2C39">
      <w:pPr>
        <w:pStyle w:val="Bullets"/>
      </w:pPr>
      <w:r w:rsidRPr="00A27896">
        <w:t xml:space="preserve">pārskata gada beigās attiecīgajā profesijā nodarbinātām personām, kurām ir tiesības pieprasīt izdienas pensiju pēc normatīvos aktos noteikto kritēriju izpildes. Uzkrājumus aprēķina par katrai personai atbilstoši minēto kritēriju izpildes pakāpei pārskata gada beigās izmaksājamo summu laika periodā no normatīvos aktos noteiktā izdienas pensijas piešķiršanas termiņa līdz vispārējā pensionēšanās vecuma sasniegšanai. </w:t>
      </w:r>
    </w:p>
    <w:p w14:paraId="27D5D7BF" w14:textId="5D6516D6" w:rsidR="00954F0C" w:rsidRPr="00A27896" w:rsidRDefault="00954F0C" w:rsidP="000D2C39">
      <w:pPr>
        <w:pStyle w:val="Bullets"/>
      </w:pPr>
      <w:r w:rsidRPr="00A27896">
        <w:t xml:space="preserve">personām, kam līdz pārskata gada beigām piešķirta izdienas pensija. </w:t>
      </w:r>
      <w:r w:rsidR="00AE3C87" w:rsidRPr="00A27896">
        <w:t>Uzkrājumus aprēķina par katrai personai izmaksājamo izdienas pensiju vai piemaksu pie vecuma pensijas laika periodā no n</w:t>
      </w:r>
      <w:r w:rsidR="000C1009" w:rsidRPr="00A27896">
        <w:t>ākamā pārskata gada līdz statist</w:t>
      </w:r>
      <w:r w:rsidR="00AE3C87" w:rsidRPr="00A27896">
        <w:t>iski noteiktam vidējam mūža ilgumam</w:t>
      </w:r>
      <w:r w:rsidRPr="00A27896">
        <w:t>.</w:t>
      </w:r>
    </w:p>
    <w:p w14:paraId="51C277FA" w14:textId="5BE869BF" w:rsidR="00954F0C" w:rsidRPr="00A27896" w:rsidRDefault="00954F0C" w:rsidP="00BE768C">
      <w:pPr>
        <w:pStyle w:val="Pamatteksts1"/>
      </w:pPr>
      <w:r w:rsidRPr="00A27896">
        <w:t xml:space="preserve">Uzkrājumus citu normatīvos aktos noteikto pabalstu un piešķirto </w:t>
      </w:r>
      <w:proofErr w:type="spellStart"/>
      <w:r w:rsidRPr="00A27896">
        <w:t>grantu</w:t>
      </w:r>
      <w:proofErr w:type="spellEnd"/>
      <w:r w:rsidRPr="00A27896">
        <w:t xml:space="preserve"> </w:t>
      </w:r>
      <w:r w:rsidR="00F048F2" w:rsidRPr="00A27896">
        <w:t xml:space="preserve">un </w:t>
      </w:r>
      <w:r w:rsidRPr="00A27896">
        <w:t xml:space="preserve">kompensāciju izmaksai aprēķina katrai personai atsevišķi, ņemot vērā tiesību aktos noteikto pabalsta, kompensācijas vai </w:t>
      </w:r>
      <w:proofErr w:type="spellStart"/>
      <w:r w:rsidRPr="00A27896">
        <w:t>granta</w:t>
      </w:r>
      <w:proofErr w:type="spellEnd"/>
      <w:r w:rsidRPr="00A27896">
        <w:t xml:space="preserve"> apmēru un izmaksas nosacījumus.</w:t>
      </w:r>
    </w:p>
    <w:p w14:paraId="2C819780" w14:textId="042AF7BD" w:rsidR="00954F0C" w:rsidRPr="00A27896" w:rsidRDefault="00954F0C" w:rsidP="00BE768C">
      <w:pPr>
        <w:pStyle w:val="Pamatteksts1"/>
      </w:pPr>
      <w:r w:rsidRPr="00A27896">
        <w:t xml:space="preserve">Uzkrājumu daļa, kuru paredzēts izmaksāt vēlāk nekā vienu gadu pēc pārskata gada beigām, diskontēta ar Valsts kases noteikto diskonta likmi uzkrājumiem </w:t>
      </w:r>
      <w:r w:rsidR="007972FA" w:rsidRPr="00BF4C61">
        <w:t>2</w:t>
      </w:r>
      <w:r w:rsidR="005463D4" w:rsidRPr="00BF4C61">
        <w:t>,</w:t>
      </w:r>
      <w:r w:rsidR="004930BF">
        <w:t>12</w:t>
      </w:r>
      <w:r w:rsidRPr="00A27896">
        <w:t xml:space="preserve"> % gadā, ja bija iespējams noteikt aptuveno maksāšanas termiņu.</w:t>
      </w:r>
      <w:r w:rsidR="00AE3C87" w:rsidRPr="00A27896">
        <w:t xml:space="preserve"> Diskontēšanas rezultātā atzīto uzkrājumu </w:t>
      </w:r>
      <w:r w:rsidR="00CE39BC">
        <w:t>palielinājumu</w:t>
      </w:r>
      <w:r w:rsidR="00CE39BC" w:rsidRPr="00A27896">
        <w:t xml:space="preserve"> </w:t>
      </w:r>
      <w:r w:rsidR="005463D4" w:rsidRPr="00A27896">
        <w:t xml:space="preserve">saistībā ar iepriekšējā gadā piemēroto diskonta likmi </w:t>
      </w:r>
      <w:r w:rsidR="00CE39BC" w:rsidRPr="004930BF">
        <w:t>2,</w:t>
      </w:r>
      <w:r w:rsidR="004930BF" w:rsidRPr="004930BF">
        <w:t>84</w:t>
      </w:r>
      <w:r w:rsidR="005463D4" w:rsidRPr="004930BF">
        <w:t> %</w:t>
      </w:r>
      <w:r w:rsidR="005463D4" w:rsidRPr="00A27896">
        <w:t xml:space="preserve"> </w:t>
      </w:r>
      <w:r w:rsidR="00AE3C87" w:rsidRPr="00A27896">
        <w:t xml:space="preserve">uzrāda procentu </w:t>
      </w:r>
      <w:r w:rsidR="00CE39BC">
        <w:t>izdevumu</w:t>
      </w:r>
      <w:r w:rsidR="00CE39BC" w:rsidRPr="00A27896">
        <w:t xml:space="preserve"> </w:t>
      </w:r>
      <w:r w:rsidR="00AE3C87" w:rsidRPr="00A27896">
        <w:t>sastāvā.</w:t>
      </w:r>
    </w:p>
    <w:p w14:paraId="029DCFA3" w14:textId="6A9C208F" w:rsidR="00954F0C" w:rsidRPr="00A27896" w:rsidRDefault="00954F0C" w:rsidP="008515BB">
      <w:pPr>
        <w:pStyle w:val="Heading3"/>
      </w:pPr>
      <w:bookmarkStart w:id="42" w:name="_Toc42846511"/>
      <w:r w:rsidRPr="00A27896">
        <w:t>Saistības (norēķini ar kreditoriem)</w:t>
      </w:r>
      <w:bookmarkEnd w:id="42"/>
    </w:p>
    <w:p w14:paraId="7B335449" w14:textId="4DB9A929" w:rsidR="00954F0C" w:rsidRPr="00A27896" w:rsidRDefault="00954F0C" w:rsidP="00BE768C">
      <w:pPr>
        <w:pStyle w:val="Pamatteksts1"/>
      </w:pPr>
      <w:r w:rsidRPr="00A27896">
        <w:t xml:space="preserve">Saistību sastāvā uzskaita budžeta iestāžu pašreizējās saistības (pienākumi), kas radušās pagātnes notikumu (darījumu) rezultātā un kuru izpildei nepieciešamo valsts vai pašvaldību budžetu resursu apjoms un pienākuma izpildes laiks ir precīzi zināmi. </w:t>
      </w:r>
    </w:p>
    <w:p w14:paraId="7B357DF0" w14:textId="77777777" w:rsidR="00954F0C" w:rsidRPr="00A27896" w:rsidRDefault="00954F0C" w:rsidP="00BE768C">
      <w:pPr>
        <w:pStyle w:val="Pamatteksts1"/>
      </w:pPr>
      <w:r w:rsidRPr="00A27896">
        <w:t>Saistības, kas klasificētas kā finanšu instrumenti, pēc sākotnējās atzīšanas turpmāk uzskaita atbilstoši finanšu instrumentu uzskaites pamatprincipiem, kas detalizētāk aprakstīti sadaļā “Finanšu instrumentu klasifikācija, uzskaite un novērtēšana”.</w:t>
      </w:r>
    </w:p>
    <w:p w14:paraId="4E2D560D" w14:textId="188892BA" w:rsidR="00954F0C" w:rsidRPr="00A27896" w:rsidRDefault="00954F0C" w:rsidP="00BE768C">
      <w:pPr>
        <w:pStyle w:val="Pamatteksts1"/>
      </w:pPr>
      <w:r w:rsidRPr="00A27896">
        <w:lastRenderedPageBreak/>
        <w:t>Sais</w:t>
      </w:r>
      <w:r w:rsidR="005A4057" w:rsidRPr="00A27896">
        <w:t>t</w:t>
      </w:r>
      <w:r w:rsidRPr="00A27896">
        <w:t>ības, kas nav klasificētas kā finanšu instrumenti, pēc sākotnējās atzīšanas samazina atbilstoši to izpildei, apmaksai vai dzēšanai.</w:t>
      </w:r>
    </w:p>
    <w:p w14:paraId="3C4AFFEC" w14:textId="77777777" w:rsidR="00954F0C" w:rsidRPr="00A27896" w:rsidRDefault="00954F0C" w:rsidP="008515BB">
      <w:pPr>
        <w:pStyle w:val="Heading3"/>
      </w:pPr>
      <w:bookmarkStart w:id="43" w:name="_Toc42846512"/>
      <w:r w:rsidRPr="00A27896">
        <w:t>Aizņēmumi (ilgtermiņa un īstermiņa)</w:t>
      </w:r>
      <w:bookmarkEnd w:id="43"/>
    </w:p>
    <w:p w14:paraId="2448DA5A" w14:textId="77777777" w:rsidR="00954F0C" w:rsidRPr="00A27896" w:rsidRDefault="00954F0C" w:rsidP="00BE768C">
      <w:pPr>
        <w:pStyle w:val="Pamatteksts1"/>
      </w:pPr>
      <w:r w:rsidRPr="00A27896">
        <w:t>Aizņēmumus atzīst uzskaitē dienā, kad saņemta nauda vai tās ekvivalenti no iekšzemes vai ārvalstu finanšu institūcijām. Aizņēmumi klasificēti finanšu instrumentu kategorijā “Pārējās finanšu saistības”.</w:t>
      </w:r>
    </w:p>
    <w:p w14:paraId="19ED6B77" w14:textId="77777777" w:rsidR="00954F0C" w:rsidRPr="00A27896" w:rsidRDefault="00954F0C" w:rsidP="00BE768C">
      <w:pPr>
        <w:pStyle w:val="Pamatteksts1"/>
      </w:pPr>
      <w:r w:rsidRPr="00A27896">
        <w:t>Finanšu pārskatā konsolidēti ministriju, centrālo valsts iestāžu un pašvaldību bilancē iekļautie aizņēmumi no valsts budžeta.</w:t>
      </w:r>
    </w:p>
    <w:p w14:paraId="4440739F" w14:textId="77777777" w:rsidR="00954F0C" w:rsidRPr="00A27896" w:rsidRDefault="00954F0C" w:rsidP="008515BB">
      <w:pPr>
        <w:pStyle w:val="Heading3"/>
      </w:pPr>
      <w:bookmarkStart w:id="44" w:name="_Toc42846513"/>
      <w:r w:rsidRPr="00A27896">
        <w:t>Emitētās obligācijas un citi parāda vērtspapīri (ilgtermiņa un īstermiņa)</w:t>
      </w:r>
      <w:bookmarkEnd w:id="44"/>
    </w:p>
    <w:p w14:paraId="77A067DC" w14:textId="6CFFF2A6" w:rsidR="00954F0C" w:rsidRPr="00A27896" w:rsidRDefault="00954F0C" w:rsidP="00BE768C">
      <w:pPr>
        <w:pStyle w:val="Pamatteksts1"/>
      </w:pPr>
      <w:r w:rsidRPr="00A27896">
        <w:t xml:space="preserve">Saistību sastāvā uzskaita emitētās obligācijas, t.sk. eiroobligācijas, un citus parāda vērtspapīrus (parādzīmes, </w:t>
      </w:r>
      <w:proofErr w:type="spellStart"/>
      <w:r w:rsidRPr="00A27896">
        <w:t>krājobligācijas</w:t>
      </w:r>
      <w:proofErr w:type="spellEnd"/>
      <w:r w:rsidRPr="00A27896">
        <w:t>, īpašam mērķim noteiktus bezprocentu valsts vērtspapīrus). Valsts vērtspapīrus izlaiž atbilstoši Ministru kabineta 2014.</w:t>
      </w:r>
      <w:r w:rsidR="00CA159F">
        <w:t> </w:t>
      </w:r>
      <w:r w:rsidRPr="00A27896">
        <w:t>gada 6.</w:t>
      </w:r>
      <w:r w:rsidR="00CA159F">
        <w:t> </w:t>
      </w:r>
      <w:r w:rsidRPr="00A27896">
        <w:t xml:space="preserve">maijā noteikumos Nr.237 “Valsts vērtspapīru izlaišanas noteikumi” noteiktajai valsts vērtspapīru izlaišanas un apgrozības kārtībai Latvijas Republikā. </w:t>
      </w:r>
    </w:p>
    <w:p w14:paraId="5FBD5F9A" w14:textId="77777777" w:rsidR="00954F0C" w:rsidRPr="00A27896" w:rsidRDefault="00954F0C" w:rsidP="00BE768C">
      <w:pPr>
        <w:pStyle w:val="Pamatteksts1"/>
      </w:pPr>
      <w:r w:rsidRPr="00A27896">
        <w:t>Emitētās obligācijas un citi parāda vērtspapīri klasificēti finanšu instrumentu kategorijā “Pārējās finanšu saistības”.</w:t>
      </w:r>
    </w:p>
    <w:p w14:paraId="7F097A5F" w14:textId="77777777" w:rsidR="00954F0C" w:rsidRPr="00A27896" w:rsidRDefault="00954F0C" w:rsidP="008515BB">
      <w:pPr>
        <w:pStyle w:val="Heading3"/>
      </w:pPr>
      <w:bookmarkStart w:id="45" w:name="_Toc42846514"/>
      <w:r w:rsidRPr="00A27896">
        <w:t>Saņemtie noguldījumi (ilgtermiņa un īstermiņa)</w:t>
      </w:r>
      <w:bookmarkEnd w:id="45"/>
    </w:p>
    <w:p w14:paraId="29A89024" w14:textId="77777777" w:rsidR="00954F0C" w:rsidRPr="00A27896" w:rsidRDefault="00954F0C" w:rsidP="00BE768C">
      <w:pPr>
        <w:pStyle w:val="Pamatteksts1"/>
      </w:pPr>
      <w:r w:rsidRPr="00A27896">
        <w:t>Saistību sastāvā uzskaitīti Valsts kasē ieguldītie valsts budžeta izpildītāju valsts speciālā budžeta un ārvalstu finanšu palīdzības līdzekļu atlikumu ieguldījumi noguldījumu veidā atbilstoši Likumā par budžetu un finanšu vadību noteiktajam.</w:t>
      </w:r>
    </w:p>
    <w:p w14:paraId="42AE71D8" w14:textId="77777777" w:rsidR="00954F0C" w:rsidRPr="00A27896" w:rsidRDefault="00954F0C" w:rsidP="00BE768C">
      <w:pPr>
        <w:pStyle w:val="Pamatteksts1"/>
      </w:pPr>
      <w:r w:rsidRPr="00A27896">
        <w:t>Saņemtie noguldījumi sākotnēji atzīti to saņemšanas dienā saņemtās summas apmērā.</w:t>
      </w:r>
    </w:p>
    <w:p w14:paraId="39525139" w14:textId="77777777" w:rsidR="00954F0C" w:rsidRPr="00A27896" w:rsidRDefault="00954F0C" w:rsidP="00BE768C">
      <w:pPr>
        <w:pStyle w:val="Pamatteksts1"/>
      </w:pPr>
      <w:r w:rsidRPr="00A27896">
        <w:t xml:space="preserve">Saņemtie noguldījumi klasificēti finanšu instrumentu kategorijā “Pārējās finanšu saistības”. </w:t>
      </w:r>
    </w:p>
    <w:p w14:paraId="2602C4CF" w14:textId="4FB66697" w:rsidR="00954F0C" w:rsidRPr="00A27896" w:rsidRDefault="00954F0C" w:rsidP="00BE768C">
      <w:pPr>
        <w:pStyle w:val="Pamatteksts1"/>
      </w:pPr>
      <w:r w:rsidRPr="00A27896">
        <w:t xml:space="preserve">Finanšu pārskatā konsolidēti valsts budžeta izpildītāju noguldījumi Valsts kasē, kas uzskaitīti valsts budžeta finanšu uzskaitē. </w:t>
      </w:r>
    </w:p>
    <w:p w14:paraId="53450F84" w14:textId="77777777" w:rsidR="00954F0C" w:rsidRPr="00A27896" w:rsidRDefault="00954F0C" w:rsidP="008515BB">
      <w:pPr>
        <w:pStyle w:val="Heading3"/>
      </w:pPr>
      <w:bookmarkStart w:id="46" w:name="_Toc42846515"/>
      <w:r w:rsidRPr="00A27896">
        <w:t>Uzkrātās saistības (ilgtermiņa un īstermiņa)</w:t>
      </w:r>
      <w:bookmarkEnd w:id="46"/>
    </w:p>
    <w:p w14:paraId="1B711E63" w14:textId="77777777" w:rsidR="00954F0C" w:rsidRPr="00A27896" w:rsidRDefault="00954F0C" w:rsidP="00BE768C">
      <w:pPr>
        <w:pStyle w:val="Pamatteksts1"/>
      </w:pPr>
      <w:r w:rsidRPr="00A27896">
        <w:t xml:space="preserve">Uzkrātās saistības ir skaidri zināmas un samērā precīzi aprēķināmas saistību summas par pārskata gadā vai iepriekšējos pārskata periodos saņemtām precēm vai pakalpojumiem, kā arī citu darījumu un notikumu rezultātā radušās saistības, par kurām bilances datumā maksāšanai paredzētais attaisnojuma dokuments vēl nav saņemts. </w:t>
      </w:r>
    </w:p>
    <w:p w14:paraId="5DA770DD" w14:textId="77777777" w:rsidR="00954F0C" w:rsidRPr="00A27896" w:rsidRDefault="00954F0C" w:rsidP="00BE768C">
      <w:pPr>
        <w:pStyle w:val="Pamatteksts1"/>
      </w:pPr>
      <w:r w:rsidRPr="00A27896">
        <w:t>Uzkrātās saistības par darbinieku neizmantotajiem atvaļinājumiem aprēķinātas katram darbiniekam atsevišķi, nosakot darbinieka līdz pārskata perioda beigām neizmantoto atvaļinājuma dienu skaitu un to sareizinot ar darbinieka vienas darba dienas vidējo izpeļņu pēdējo sešu kalendāra mēnešu laikā, un pieskaitot darba devēja valsts sociālās apdrošināšanas obligātās iemaksas.</w:t>
      </w:r>
    </w:p>
    <w:p w14:paraId="7BA1B143" w14:textId="0897542A" w:rsidR="00954F0C" w:rsidRPr="00A27896" w:rsidRDefault="00954F0C" w:rsidP="00BE768C">
      <w:pPr>
        <w:pStyle w:val="Pamatteksts1"/>
        <w:rPr>
          <w:rFonts w:eastAsia="Times New Roman"/>
          <w:bCs/>
        </w:rPr>
      </w:pPr>
      <w:r w:rsidRPr="00A27896">
        <w:rPr>
          <w:rFonts w:eastAsia="Times New Roman"/>
          <w:bCs/>
        </w:rPr>
        <w:t xml:space="preserve">Valsts sociālās apdrošināšanas aģentūra atzīst un uzkrāj saistības iemaksām valsts </w:t>
      </w:r>
      <w:proofErr w:type="spellStart"/>
      <w:r w:rsidRPr="00A27896">
        <w:rPr>
          <w:rFonts w:eastAsia="Times New Roman"/>
          <w:bCs/>
        </w:rPr>
        <w:t>fondēto</w:t>
      </w:r>
      <w:proofErr w:type="spellEnd"/>
      <w:r w:rsidRPr="00A27896">
        <w:rPr>
          <w:rFonts w:eastAsia="Times New Roman"/>
          <w:bCs/>
        </w:rPr>
        <w:t xml:space="preserve"> pensiju shēmā līdz pārskata gadam sekojošā gada 1</w:t>
      </w:r>
      <w:r w:rsidR="003F552C">
        <w:rPr>
          <w:rFonts w:eastAsia="Times New Roman"/>
          <w:bCs/>
        </w:rPr>
        <w:t>0</w:t>
      </w:r>
      <w:r w:rsidRPr="00A27896">
        <w:rPr>
          <w:rFonts w:eastAsia="Times New Roman"/>
          <w:bCs/>
        </w:rPr>
        <w:t>. februārim shēmas dalībnieku kontos reģistrētās summas apjomā, t.i., summas, kas reģistrētas nodošanai pārvaldīšanā.</w:t>
      </w:r>
    </w:p>
    <w:p w14:paraId="051A5586" w14:textId="5BE8E919" w:rsidR="00954F0C" w:rsidRPr="00A27896" w:rsidRDefault="00954F0C" w:rsidP="00BE768C">
      <w:pPr>
        <w:pStyle w:val="Pamatteksts1"/>
        <w:rPr>
          <w:rFonts w:eastAsia="Times New Roman"/>
          <w:bCs/>
        </w:rPr>
      </w:pPr>
      <w:r w:rsidRPr="00A27896">
        <w:rPr>
          <w:rFonts w:eastAsia="Times New Roman"/>
          <w:bCs/>
        </w:rPr>
        <w:t>Valsts budžeta finanšu uzskaitē atzīst uzkrātās saistības par valsts sniegtajiem galvojumiem un izdevumus, ja saistību lielums un apmaksas termiņi ir samērā precīzi aprēķināmi, bet galvotā aizņēmuma summa netiks maksāta no aizņēmēja līdzekļiem, bet tā atmaksai ir paredzēti valsts budžeta līdzekļi attiecīgās nozares ministrijas budžetā.</w:t>
      </w:r>
    </w:p>
    <w:p w14:paraId="11435155" w14:textId="6A7467FD" w:rsidR="00451B7B" w:rsidRPr="00A27896" w:rsidRDefault="00875AEB" w:rsidP="00BE768C">
      <w:pPr>
        <w:pStyle w:val="Pamatteksts1"/>
        <w:rPr>
          <w:rFonts w:eastAsia="Times New Roman"/>
          <w:bCs/>
        </w:rPr>
      </w:pPr>
      <w:r w:rsidRPr="00A27896">
        <w:rPr>
          <w:rFonts w:eastAsia="Times New Roman"/>
          <w:bCs/>
        </w:rPr>
        <w:t xml:space="preserve">VID administrēto valsts budžeta ieņēmumu uzskaitē uzkrātās saistības atzīst, ja pārskata </w:t>
      </w:r>
      <w:r w:rsidR="00476215" w:rsidRPr="00A27896">
        <w:rPr>
          <w:rFonts w:eastAsia="Times New Roman"/>
          <w:bCs/>
        </w:rPr>
        <w:t>gadā</w:t>
      </w:r>
      <w:r w:rsidRPr="00A27896">
        <w:rPr>
          <w:rFonts w:eastAsia="Times New Roman"/>
          <w:bCs/>
        </w:rPr>
        <w:t xml:space="preserve"> radušās saistības pret nodokļa maksātāju, bet </w:t>
      </w:r>
      <w:r w:rsidR="00476215" w:rsidRPr="00A27896">
        <w:rPr>
          <w:rFonts w:eastAsia="Times New Roman"/>
          <w:bCs/>
        </w:rPr>
        <w:t xml:space="preserve">maksāšanai paredzētais </w:t>
      </w:r>
      <w:r w:rsidRPr="00A27896">
        <w:rPr>
          <w:rFonts w:eastAsia="Times New Roman"/>
          <w:bCs/>
        </w:rPr>
        <w:t xml:space="preserve">attaisnojuma dokuments </w:t>
      </w:r>
      <w:r w:rsidR="00476215" w:rsidRPr="00A27896">
        <w:rPr>
          <w:rFonts w:eastAsia="Times New Roman"/>
          <w:bCs/>
        </w:rPr>
        <w:t xml:space="preserve">izsniegts </w:t>
      </w:r>
      <w:r w:rsidRPr="00A27896">
        <w:rPr>
          <w:rFonts w:eastAsia="Times New Roman"/>
          <w:bCs/>
        </w:rPr>
        <w:t xml:space="preserve">pēc attiecīgā pārskata </w:t>
      </w:r>
      <w:r w:rsidR="00476215" w:rsidRPr="00A27896">
        <w:rPr>
          <w:rFonts w:eastAsia="Times New Roman"/>
          <w:bCs/>
        </w:rPr>
        <w:t>gada</w:t>
      </w:r>
      <w:r w:rsidRPr="00A27896">
        <w:rPr>
          <w:rFonts w:eastAsia="Times New Roman"/>
          <w:bCs/>
        </w:rPr>
        <w:t xml:space="preserve"> beigām.</w:t>
      </w:r>
    </w:p>
    <w:p w14:paraId="3B67EF0E" w14:textId="5DB0F75C" w:rsidR="00EE5BCC" w:rsidRPr="00A27896" w:rsidRDefault="00EE5BCC" w:rsidP="008515BB">
      <w:pPr>
        <w:pStyle w:val="Heading3"/>
      </w:pPr>
      <w:bookmarkStart w:id="47" w:name="_Toc42846516"/>
      <w:r w:rsidRPr="00A27896">
        <w:lastRenderedPageBreak/>
        <w:t>Saistības par nodokļiem, nodevām un citiem maksājumiem</w:t>
      </w:r>
    </w:p>
    <w:p w14:paraId="690E5F02" w14:textId="2B227C2D" w:rsidR="00EE5BCC" w:rsidRPr="00A27896" w:rsidRDefault="00CE5581" w:rsidP="00BE768C">
      <w:pPr>
        <w:pStyle w:val="Pamatteksts1"/>
      </w:pPr>
      <w:r w:rsidRPr="00A27896">
        <w:t xml:space="preserve">Budžeta iestādes uzskaita saistības par aprēķinātiem nodokļiem, nodevām un citiem maksājumiem, kas radušās pārskata periodā, bet par kurām apmaksa nav veikta vai arī maksājums veikts vienotajā nodokļu kontā un līdz normatīvajos aktos nodokļu jomā noteiktajam </w:t>
      </w:r>
      <w:r w:rsidR="00F17123" w:rsidRPr="00A27896">
        <w:t xml:space="preserve">maksājumu saistības </w:t>
      </w:r>
      <w:r w:rsidRPr="00A27896">
        <w:t>maksāšanas termiņam uzskaitīts prasību sastāvā kā avansā veikts maksājums.</w:t>
      </w:r>
    </w:p>
    <w:p w14:paraId="0AE979A8" w14:textId="4875A61C" w:rsidR="00CE5581" w:rsidRPr="00A27896" w:rsidRDefault="009F15CC" w:rsidP="00BE768C">
      <w:pPr>
        <w:pStyle w:val="Pamatteksts1"/>
      </w:pPr>
      <w:r w:rsidRPr="00A27896">
        <w:t xml:space="preserve">VID administrēto valsts budžeta ieņēmumu uzskaitē saistības pret nodokļu maksātājiem atzīst, ja pārskata periodā ir radies pienākums </w:t>
      </w:r>
      <w:r w:rsidR="004A66B0" w:rsidRPr="00A27896">
        <w:t xml:space="preserve">precizēt iepriekš atzītos valsts budžeta ieņēmumus </w:t>
      </w:r>
      <w:r w:rsidRPr="00A27896">
        <w:t>saskaņā ar nodokļu maksātāja iesniegtiem attaisnojuma dokumentiem</w:t>
      </w:r>
      <w:r w:rsidR="004A66B0" w:rsidRPr="00A27896">
        <w:t>,</w:t>
      </w:r>
      <w:r w:rsidRPr="00A27896">
        <w:t xml:space="preserve"> VID</w:t>
      </w:r>
      <w:r w:rsidR="004A66B0" w:rsidRPr="00A27896">
        <w:t xml:space="preserve"> vai citu institūciju</w:t>
      </w:r>
      <w:r w:rsidRPr="00A27896">
        <w:t xml:space="preserve"> pieņemtiem lēmumiem.</w:t>
      </w:r>
    </w:p>
    <w:p w14:paraId="6FF7FD36" w14:textId="3F3E3F2F" w:rsidR="00954F0C" w:rsidRPr="00A27896" w:rsidRDefault="00954F0C" w:rsidP="008515BB">
      <w:pPr>
        <w:pStyle w:val="Heading3"/>
      </w:pPr>
      <w:bookmarkStart w:id="48" w:name="_Toc42846517"/>
      <w:bookmarkEnd w:id="47"/>
      <w:r w:rsidRPr="00A27896">
        <w:t>Nākamo periodu ieņēmumi un saņemtie avansi (ilgtermiņa un īstermiņa)</w:t>
      </w:r>
      <w:bookmarkEnd w:id="48"/>
    </w:p>
    <w:p w14:paraId="17BA0638" w14:textId="77777777" w:rsidR="00954F0C" w:rsidRPr="00A27896" w:rsidRDefault="00954F0C" w:rsidP="00BE768C">
      <w:pPr>
        <w:pStyle w:val="Pamatteksts1"/>
        <w:rPr>
          <w:rFonts w:eastAsia="Times New Roman"/>
          <w:szCs w:val="20"/>
        </w:rPr>
      </w:pPr>
      <w:r w:rsidRPr="00A27896">
        <w:t xml:space="preserve">Nākamo periodu ieņēmumu un saņemto avansu sastāvā uzskaita budžeta iestāžu saņemtos resursus (naudas līdzekļus, citus finanšu un </w:t>
      </w:r>
      <w:proofErr w:type="spellStart"/>
      <w:r w:rsidRPr="00A27896">
        <w:t>nefinanšu</w:t>
      </w:r>
      <w:proofErr w:type="spellEnd"/>
      <w:r w:rsidRPr="00A27896">
        <w:t xml:space="preserve"> aktīvus), kurus atbilstoši attiecīgā darījuma nosacījumiem ieņēmumos atzīs nākamajos pārskata periodos.</w:t>
      </w:r>
      <w:r w:rsidRPr="00A27896">
        <w:rPr>
          <w:rFonts w:eastAsia="Times New Roman"/>
          <w:sz w:val="20"/>
          <w:szCs w:val="20"/>
        </w:rPr>
        <w:t xml:space="preserve"> </w:t>
      </w:r>
    </w:p>
    <w:p w14:paraId="568D40B9" w14:textId="77777777" w:rsidR="00954F0C" w:rsidRPr="00A27896" w:rsidRDefault="00954F0C" w:rsidP="00BE768C">
      <w:pPr>
        <w:pStyle w:val="Pamatteksts1"/>
      </w:pPr>
      <w:r w:rsidRPr="00A27896">
        <w:t>Nākamo periodu ieņēmumos uzskaitīta ārvalstu finanšu palīdzība (darījuma partneris – nerezidents) un saņemtie ziedojumi un dāvinājumi, ja ar to saņemšanu saistītajos tiesību aktos ir ietverti nosacījumi attiecībā uz to, kā saņēmējam jālieto saņemtie resursi, un kas izpildāmi juridisku un administratīvu procesu ietvaros.</w:t>
      </w:r>
    </w:p>
    <w:p w14:paraId="03F8E3C2" w14:textId="77777777" w:rsidR="00954F0C" w:rsidRPr="00A27896" w:rsidRDefault="00954F0C" w:rsidP="00BE768C">
      <w:pPr>
        <w:pStyle w:val="Pamatteksts1"/>
      </w:pPr>
      <w:r w:rsidRPr="00A27896">
        <w:t>Nākamo periodu ieņēmumus no ārvalstu finanšu palīdzības un saņemtiem ziedojumiem un dāvinājumiem budžeta iestāžu grāmatvedībā atzīst ieņēmumos pārskata periodā, kad izpildīti attiecīgajos tiesību aktos ietvertie nosacījumi.</w:t>
      </w:r>
    </w:p>
    <w:p w14:paraId="7E464830" w14:textId="77777777" w:rsidR="00954F0C" w:rsidRPr="00A27896" w:rsidRDefault="00954F0C" w:rsidP="00BE768C">
      <w:pPr>
        <w:pStyle w:val="Pamatteksts1"/>
      </w:pPr>
      <w:r w:rsidRPr="00A27896">
        <w:t xml:space="preserve">Nākamo periodu ieņēmumos budžeta iestādes uzskaita saņemtos </w:t>
      </w:r>
      <w:proofErr w:type="spellStart"/>
      <w:r w:rsidRPr="00A27896">
        <w:t>transfertu</w:t>
      </w:r>
      <w:proofErr w:type="spellEnd"/>
      <w:r w:rsidRPr="00A27896">
        <w:t xml:space="preserve"> avansa maksājumus, tai skaitā par ES politiku instrumentu un pārējās ārvalstu finanšu palīdzības finansētajiem projektiem (pasākumiem), ja nav saņemts apstiprinājums par attaisnotajiem (atzītajiem) izdevumiem.</w:t>
      </w:r>
    </w:p>
    <w:p w14:paraId="694C5AE9" w14:textId="77777777" w:rsidR="00954F0C" w:rsidRPr="00A27896" w:rsidRDefault="00954F0C" w:rsidP="00BE768C">
      <w:pPr>
        <w:pStyle w:val="Pamatteksts1"/>
      </w:pPr>
      <w:r w:rsidRPr="00A27896">
        <w:t>Nākamo periodu ieņēmumos uzskaitīti par siltumnīcefekta gāzu emisiju kvotu pārdošanu izsolēs saņemtie, bet projektos neizmantotie līdzekļi.</w:t>
      </w:r>
      <w:r w:rsidRPr="00A27896" w:rsidDel="00866B30">
        <w:t xml:space="preserve"> </w:t>
      </w:r>
    </w:p>
    <w:p w14:paraId="05A5F105" w14:textId="7AF01212" w:rsidR="00F8254F" w:rsidRPr="00A27896" w:rsidRDefault="00F8254F" w:rsidP="00BE768C">
      <w:pPr>
        <w:pStyle w:val="Pamatteksts1"/>
      </w:pPr>
      <w:r w:rsidRPr="00A27896">
        <w:t xml:space="preserve">Ņemot vērā Ministru kabineta 2018. gada 30. oktobra </w:t>
      </w:r>
      <w:r w:rsidRPr="00B8076D">
        <w:rPr>
          <w:shd w:val="clear" w:color="auto" w:fill="FFFFFF" w:themeFill="background1"/>
        </w:rPr>
        <w:t xml:space="preserve">noteikumos Nr. 661 </w:t>
      </w:r>
      <w:r w:rsidR="009A2A25">
        <w:rPr>
          <w:shd w:val="clear" w:color="auto" w:fill="FFFFFF" w:themeFill="background1"/>
        </w:rPr>
        <w:t>“</w:t>
      </w:r>
      <w:r w:rsidRPr="00B8076D">
        <w:rPr>
          <w:shd w:val="clear" w:color="auto" w:fill="FFFFFF" w:themeFill="background1"/>
        </w:rPr>
        <w:t>Kārtība</w:t>
      </w:r>
      <w:r w:rsidRPr="00A27896">
        <w:t>, kādā maksā nodokļus, nodevas, citus valsts noteiktos maksājumus un ar tiem saistītos maksājumus un novirza tos saistību segšanai</w:t>
      </w:r>
      <w:r w:rsidR="009A2A25">
        <w:t>”</w:t>
      </w:r>
      <w:r w:rsidRPr="00A27896">
        <w:t>, kas izdoti uz likuma “Par nodokļiem un nodevām” 23</w:t>
      </w:r>
      <w:r w:rsidR="00CE39BC">
        <w:t>.</w:t>
      </w:r>
      <w:r w:rsidRPr="00A27896">
        <w:rPr>
          <w:vertAlign w:val="superscript"/>
        </w:rPr>
        <w:t>1</w:t>
      </w:r>
      <w:r w:rsidRPr="00A27896">
        <w:t xml:space="preserve">panta pamata, noteikto kārtību, VID administrēto valsts budžeta ieņēmumu uzskaitē vienotajā nodokļu kontā saņemtos maksājumus attiecina (piesaista konkrētām prasībām) ar datumu, kurā iestājas maksājumu saistības maksāšanas termiņš, līdz tam saņemtos neattiecinātos maksājumus </w:t>
      </w:r>
      <w:r w:rsidR="00C06EE5" w:rsidRPr="00A27896">
        <w:t xml:space="preserve">VID administrēto valsts budžeta ieņēmumu </w:t>
      </w:r>
      <w:r w:rsidRPr="00A27896">
        <w:t xml:space="preserve">grāmatvedībā klasificējot kā </w:t>
      </w:r>
      <w:r w:rsidR="00C06EE5" w:rsidRPr="00A27896">
        <w:t xml:space="preserve">saistības par </w:t>
      </w:r>
      <w:r w:rsidRPr="00A27896">
        <w:t>avansā saņemt</w:t>
      </w:r>
      <w:r w:rsidR="00C06EE5" w:rsidRPr="00A27896">
        <w:t>iem</w:t>
      </w:r>
      <w:r w:rsidRPr="00A27896">
        <w:t xml:space="preserve"> naudas līdzekļ</w:t>
      </w:r>
      <w:r w:rsidR="00C06EE5" w:rsidRPr="00A27896">
        <w:t>iem</w:t>
      </w:r>
      <w:r w:rsidRPr="00A27896">
        <w:t>.</w:t>
      </w:r>
    </w:p>
    <w:p w14:paraId="7D79BD6A" w14:textId="31E21F38" w:rsidR="00904D27" w:rsidRPr="00A27896" w:rsidRDefault="00EF121B" w:rsidP="00BE768C">
      <w:pPr>
        <w:pStyle w:val="Pamatteksts1"/>
      </w:pPr>
      <w:r w:rsidRPr="00A27896">
        <w:t xml:space="preserve">Saņemto ES </w:t>
      </w:r>
      <w:r w:rsidR="00310BDE" w:rsidRPr="00A27896">
        <w:t xml:space="preserve">politiku instrumentu </w:t>
      </w:r>
      <w:r w:rsidRPr="00A27896">
        <w:t xml:space="preserve">finansējumu un citu ārvalstu finanšu palīdzību atzīst </w:t>
      </w:r>
      <w:r w:rsidR="00310BDE" w:rsidRPr="00A27896">
        <w:t xml:space="preserve">kā </w:t>
      </w:r>
      <w:r w:rsidRPr="00A27896">
        <w:t xml:space="preserve">īstermiņa </w:t>
      </w:r>
      <w:r w:rsidR="002A4556" w:rsidRPr="00A27896">
        <w:t xml:space="preserve">saistības </w:t>
      </w:r>
      <w:r w:rsidR="003A6EA1" w:rsidRPr="00A27896">
        <w:t xml:space="preserve">vai </w:t>
      </w:r>
      <w:r w:rsidR="002A4556" w:rsidRPr="00A27896">
        <w:t xml:space="preserve">īstermiņa prasību samazinājumu pret </w:t>
      </w:r>
      <w:r w:rsidR="003A6EA1" w:rsidRPr="00A27896">
        <w:t xml:space="preserve">Eiropas Komisiju (turpmāk – </w:t>
      </w:r>
      <w:r w:rsidR="002A4556" w:rsidRPr="00A27896">
        <w:t>EK</w:t>
      </w:r>
      <w:r w:rsidR="003A6EA1" w:rsidRPr="00A27896">
        <w:t>)</w:t>
      </w:r>
      <w:r w:rsidR="002A4556" w:rsidRPr="00A27896">
        <w:t xml:space="preserve"> par</w:t>
      </w:r>
      <w:r w:rsidRPr="00A27896">
        <w:t xml:space="preserve"> </w:t>
      </w:r>
      <w:r w:rsidR="003A6EA1" w:rsidRPr="00A27896">
        <w:t xml:space="preserve">līdzekļu starpposmu un noslēguma maksājumiem dienā, kad no </w:t>
      </w:r>
      <w:r w:rsidR="00310BDE" w:rsidRPr="00A27896">
        <w:t>EK vai citas piešķīrējas institūcijas</w:t>
      </w:r>
      <w:r w:rsidRPr="00A27896">
        <w:t xml:space="preserve"> ieskaitīta </w:t>
      </w:r>
      <w:r w:rsidR="00310BDE" w:rsidRPr="00A27896">
        <w:t>nauda Valsts kases kontā finanšu sabiedrībā</w:t>
      </w:r>
      <w:r w:rsidRPr="00A27896">
        <w:t>.</w:t>
      </w:r>
      <w:r w:rsidR="00904D27" w:rsidRPr="00A27896">
        <w:t xml:space="preserve"> Prasības pret EK un ieņēmumus par starpposmu un noslēgumu maksājumiem Latvijai </w:t>
      </w:r>
      <w:r w:rsidR="004A66B0" w:rsidRPr="00A27896">
        <w:t xml:space="preserve">atzīst </w:t>
      </w:r>
      <w:r w:rsidR="00904D27" w:rsidRPr="00A27896">
        <w:t>pamatojoties uz atbildīgās iestādes sniegto informāciju par apstiprinātajiem ES fondu izdevumiem.</w:t>
      </w:r>
    </w:p>
    <w:p w14:paraId="56AF77D9" w14:textId="56D53F8C" w:rsidR="00EF121B" w:rsidRPr="00A27896" w:rsidRDefault="00EF121B" w:rsidP="00BE768C">
      <w:pPr>
        <w:pStyle w:val="Pamatteksts1"/>
      </w:pPr>
      <w:r w:rsidRPr="00A27896">
        <w:t xml:space="preserve">Valsts kase </w:t>
      </w:r>
      <w:r w:rsidR="003A6EA1" w:rsidRPr="00A27896">
        <w:t xml:space="preserve">īstermiņa </w:t>
      </w:r>
      <w:r w:rsidRPr="00A27896">
        <w:t xml:space="preserve">saistības </w:t>
      </w:r>
      <w:r w:rsidR="003A6EA1" w:rsidRPr="00A27896">
        <w:t xml:space="preserve">par saņemtajiem avansa maksājumiem un prasības pret EK samazina </w:t>
      </w:r>
      <w:r w:rsidR="009A0239" w:rsidRPr="00A27896">
        <w:t>saņemot inform</w:t>
      </w:r>
      <w:r w:rsidR="00002F52" w:rsidRPr="00A27896">
        <w:t>āciju</w:t>
      </w:r>
      <w:r w:rsidR="00D70C93" w:rsidRPr="00A27896">
        <w:t xml:space="preserve"> no</w:t>
      </w:r>
      <w:r w:rsidR="00002F52" w:rsidRPr="00A27896">
        <w:t xml:space="preserve"> atbildīgās</w:t>
      </w:r>
      <w:r w:rsidR="00D70C93" w:rsidRPr="00A27896">
        <w:t xml:space="preserve"> iestādes</w:t>
      </w:r>
      <w:r w:rsidR="009A0239" w:rsidRPr="00A27896">
        <w:t xml:space="preserve"> </w:t>
      </w:r>
      <w:r w:rsidR="003A6EA1" w:rsidRPr="00A27896">
        <w:t>par</w:t>
      </w:r>
      <w:r w:rsidRPr="00A27896">
        <w:t xml:space="preserve"> </w:t>
      </w:r>
      <w:r w:rsidR="009A0239" w:rsidRPr="00A27896">
        <w:t xml:space="preserve">EK apstiprinātajiem izdevumiem par starpposmu un noslēguma maksājumiem, ja tās attiecināmas uz avansā saņemtajiem maksājumiem. </w:t>
      </w:r>
    </w:p>
    <w:p w14:paraId="0102F2E1" w14:textId="36575FB5" w:rsidR="00EF121B" w:rsidRPr="00A27896" w:rsidRDefault="00EF121B" w:rsidP="00BE768C">
      <w:pPr>
        <w:pStyle w:val="Pamatteksts1"/>
      </w:pPr>
      <w:r w:rsidRPr="00A27896">
        <w:t xml:space="preserve">Katra pārskata perioda beigās veicot prasību un saistību inventarizācijas procedūras, sertificētos izdevumus uzskaita kā prasības pret EK par ES fondu līdzekļiem, ja šo līdzekļu </w:t>
      </w:r>
      <w:r w:rsidRPr="00A27896">
        <w:lastRenderedPageBreak/>
        <w:t>saņemšana ir droši</w:t>
      </w:r>
      <w:r w:rsidR="00D50D19" w:rsidRPr="00A27896">
        <w:t xml:space="preserve"> </w:t>
      </w:r>
      <w:r w:rsidRPr="00A27896">
        <w:t>sagaidāma un sertificētie izdevumi ir lielāki nekā faktiski saņemtie naudas līdzekļi no EK, kas to saņemšanas dienā atzīti kā saistības pret EK.</w:t>
      </w:r>
      <w:r w:rsidR="00B44AE7" w:rsidRPr="00A27896">
        <w:t xml:space="preserve"> </w:t>
      </w:r>
    </w:p>
    <w:p w14:paraId="3148980D" w14:textId="77777777" w:rsidR="00954F0C" w:rsidRPr="00A27896" w:rsidRDefault="00954F0C" w:rsidP="008515BB">
      <w:pPr>
        <w:pStyle w:val="Heading3"/>
      </w:pPr>
      <w:bookmarkStart w:id="49" w:name="_Toc42846518"/>
      <w:r w:rsidRPr="00A27896">
        <w:t>Pārējās saistības (ilgtermiņa un īstermiņa)</w:t>
      </w:r>
      <w:bookmarkEnd w:id="49"/>
    </w:p>
    <w:p w14:paraId="48FE0AC8" w14:textId="3BAC9B82" w:rsidR="00954F0C" w:rsidRPr="00A27896" w:rsidRDefault="00954F0C" w:rsidP="00BE768C">
      <w:pPr>
        <w:pStyle w:val="Pamatteksts1"/>
      </w:pPr>
      <w:r w:rsidRPr="00A27896">
        <w:t>Pārējo saistību postenī uzskaita saistības, kuras nav klasificētas citos atsevišķi nodalītos saistību posteņos.</w:t>
      </w:r>
      <w:r w:rsidR="00047F5E" w:rsidRPr="00A27896">
        <w:t xml:space="preserve"> </w:t>
      </w:r>
    </w:p>
    <w:p w14:paraId="54F06F40" w14:textId="77777777" w:rsidR="00954F0C" w:rsidRPr="00A27896" w:rsidRDefault="00954F0C" w:rsidP="00BE768C">
      <w:pPr>
        <w:pStyle w:val="Pamatteksts1"/>
      </w:pPr>
      <w:r w:rsidRPr="00A27896">
        <w:t>Pārējās saistības, kas klasificētas kā finanšu instrumenti, pēc sākotnējās atzīšanas turpmāk uzskaita atbilstoši finanšu instrumentu uzskaites pamatprincipiem, kas detalizētāk aprakstīti sadaļā “Finanšu instrumentu klasifikācija, uzskaite un novērtēšana”.</w:t>
      </w:r>
    </w:p>
    <w:p w14:paraId="669430E4" w14:textId="7E9BA50D" w:rsidR="00275A1B" w:rsidRDefault="00954F0C" w:rsidP="00BE768C">
      <w:pPr>
        <w:pStyle w:val="Pamatteksts1"/>
      </w:pPr>
      <w:r w:rsidRPr="00A27896">
        <w:t>Pārējo īstermiņa saistību sastāvā kā saistības par Valsts kases klientu kontu atlikumiem uzskaitītas Valsts kases saistības par finanšu pārskatā nekonsolidēto vienību kontu atlikumiem Valsts kases kontos – citu budžetu, kapitālsabiedrību, biedrību un nodibinājumu līdzekļi.</w:t>
      </w:r>
    </w:p>
    <w:p w14:paraId="5F28B323" w14:textId="4139EF0A" w:rsidR="00922FBB" w:rsidRPr="00A27896" w:rsidRDefault="00922FBB" w:rsidP="00BE768C">
      <w:pPr>
        <w:pStyle w:val="Pamatteksts1"/>
      </w:pPr>
      <w:r w:rsidRPr="00A27896">
        <w:t xml:space="preserve">Finanšu pārskatā konsolidēti </w:t>
      </w:r>
      <w:r w:rsidR="00367928" w:rsidRPr="00A27896">
        <w:t xml:space="preserve">ikgadējā pārskatā par </w:t>
      </w:r>
      <w:r w:rsidR="004A66B0" w:rsidRPr="00A27896">
        <w:t>VID</w:t>
      </w:r>
      <w:r w:rsidRPr="00A27896">
        <w:t xml:space="preserve"> adm</w:t>
      </w:r>
      <w:r w:rsidR="00A0070E" w:rsidRPr="00A27896">
        <w:t>i</w:t>
      </w:r>
      <w:r w:rsidRPr="00A27896">
        <w:t>nistr</w:t>
      </w:r>
      <w:r w:rsidR="00367928" w:rsidRPr="00A27896">
        <w:t>ētiem</w:t>
      </w:r>
      <w:r w:rsidRPr="00A27896">
        <w:t xml:space="preserve"> </w:t>
      </w:r>
      <w:r w:rsidR="004A66B0" w:rsidRPr="00A27896">
        <w:t>valsts budžeta ieņēmumiem</w:t>
      </w:r>
      <w:r w:rsidR="00367928" w:rsidRPr="00A27896">
        <w:t xml:space="preserve"> iekļautie kontu atlikumi Valsts kasē</w:t>
      </w:r>
      <w:r w:rsidRPr="00A27896">
        <w:t>,</w:t>
      </w:r>
      <w:r w:rsidR="00A0070E" w:rsidRPr="00A27896">
        <w:t xml:space="preserve"> </w:t>
      </w:r>
      <w:r w:rsidRPr="00A27896">
        <w:t>ministriju, centrālo valsts iestāžu un pašvaldību bilancē iekļautie</w:t>
      </w:r>
      <w:r w:rsidR="00A0070E" w:rsidRPr="00A27896">
        <w:t xml:space="preserve"> kontu atlikumi Valsts kasē, kas valsts budžeta finanšu uzskaitē atzīti kā pārējās saistības par Valsts kases klientu kontu atlikumiem</w:t>
      </w:r>
      <w:r w:rsidRPr="00A27896">
        <w:t>.</w:t>
      </w:r>
    </w:p>
    <w:p w14:paraId="4B21D33E" w14:textId="77777777" w:rsidR="00954F0C" w:rsidRPr="00A27896" w:rsidRDefault="00954F0C" w:rsidP="008515BB">
      <w:pPr>
        <w:pStyle w:val="Heading3"/>
      </w:pPr>
      <w:bookmarkStart w:id="50" w:name="_Toc42846519"/>
      <w:r w:rsidRPr="00A27896">
        <w:t>Nomas darījumu klasifikācija un uzskaite</w:t>
      </w:r>
      <w:bookmarkEnd w:id="50"/>
    </w:p>
    <w:p w14:paraId="6BB1CBE2" w14:textId="77777777" w:rsidR="00954F0C" w:rsidRPr="00A27896" w:rsidRDefault="00954F0C" w:rsidP="00BE768C">
      <w:pPr>
        <w:pStyle w:val="Pamatteksts1"/>
        <w:rPr>
          <w:lang w:eastAsia="lv-LV"/>
        </w:rPr>
      </w:pPr>
      <w:r w:rsidRPr="00A27896">
        <w:t>Par n</w:t>
      </w:r>
      <w:r w:rsidRPr="00A27896">
        <w:rPr>
          <w:lang w:eastAsia="lv-LV"/>
        </w:rPr>
        <w:t>omu klasificē līgumu, ar kuru iznomātājs par vienu vai vairākiem nomas maksājumiem (atlīdzību) nodod nomniekam tiesības lietot aktīvu līgumā noteiktu laika periodu. Nomu klasificē kā finanšu nomu (līzingu) vai operatīvo nomu atbilstoši iznomātā aktīva īpašuma tiesībām raksturīgo risku un atlīdzības sadalījumam starp iznomātāju un nomnieku. Klasifikāciju nosaka darījuma būtība, nevis līguma juridiskā forma. Nomu klasificē nomas uzsākšanas datumā un klasifikāciju pārskata, ja būtiski mainīti līguma nosacījumi.</w:t>
      </w:r>
    </w:p>
    <w:p w14:paraId="1EE79F8E" w14:textId="77777777" w:rsidR="00954F0C" w:rsidRPr="00A27896" w:rsidRDefault="00954F0C" w:rsidP="00BE768C">
      <w:pPr>
        <w:pStyle w:val="Pamatteksts1"/>
        <w:rPr>
          <w:iCs/>
        </w:rPr>
      </w:pPr>
      <w:r w:rsidRPr="00A27896">
        <w:rPr>
          <w:iCs/>
        </w:rPr>
        <w:t>Nomu klasificē kā finanšu nomu, ja pastāv pazīmes, kas liecina, ka pircējam nodoti visi īpašuma tiesībām raksturīgie riski un atlīdzības. Finanšu nomas ietvaros iegūtos aktīvus uzrāda aktīvu sastāvā un atbilstošās saistības – ilgtermiņa saistību sastāvā minimālo nomas maksājumu pašreizējā vērtībā atbilstoši nomas līgumā noteiktai procentu likmei. Finanšu nomā nodotie aktīvi izslēgti no uzskaites un atzītas prasības un ieņēmumi no aktīva atsavināšanas minimālo nomas maksājumu pašreizējā vērtībā atbilstoši nomas līgumā noteiktai procentu likmei.</w:t>
      </w:r>
    </w:p>
    <w:p w14:paraId="36E0C734" w14:textId="418DF4E0" w:rsidR="00954F0C" w:rsidRPr="00A27896" w:rsidRDefault="00CE39BC" w:rsidP="00BE768C">
      <w:pPr>
        <w:pStyle w:val="Pamatteksts1"/>
        <w:rPr>
          <w:iCs/>
        </w:rPr>
      </w:pPr>
      <w:r w:rsidRPr="00CE39BC">
        <w:rPr>
          <w:iCs/>
        </w:rPr>
        <w:t xml:space="preserve">Nomu klasificē kā </w:t>
      </w:r>
      <w:r w:rsidR="00954F0C" w:rsidRPr="00A27896">
        <w:rPr>
          <w:iCs/>
        </w:rPr>
        <w:t>operatīv</w:t>
      </w:r>
      <w:r>
        <w:rPr>
          <w:iCs/>
        </w:rPr>
        <w:t>o</w:t>
      </w:r>
      <w:r w:rsidR="00954F0C" w:rsidRPr="00A27896">
        <w:rPr>
          <w:iCs/>
        </w:rPr>
        <w:t xml:space="preserve"> nom</w:t>
      </w:r>
      <w:r>
        <w:rPr>
          <w:iCs/>
        </w:rPr>
        <w:t>u</w:t>
      </w:r>
      <w:r w:rsidR="00954F0C" w:rsidRPr="00A27896">
        <w:rPr>
          <w:iCs/>
        </w:rPr>
        <w:t xml:space="preserve">, </w:t>
      </w:r>
      <w:r w:rsidRPr="00CE39BC">
        <w:rPr>
          <w:iCs/>
        </w:rPr>
        <w:t>ja tā pēc būtības nenodod nomniekam visus īpašuma tiesībām raksturīgos riskus un atlīdzības</w:t>
      </w:r>
      <w:r w:rsidR="00954F0C" w:rsidRPr="00A27896">
        <w:rPr>
          <w:iCs/>
        </w:rPr>
        <w:t xml:space="preserve">. </w:t>
      </w:r>
      <w:r>
        <w:rPr>
          <w:iCs/>
        </w:rPr>
        <w:t>Budžeta iestādēm nomājot aktīvus, p</w:t>
      </w:r>
      <w:r w:rsidR="00954F0C" w:rsidRPr="00A27896">
        <w:rPr>
          <w:iCs/>
        </w:rPr>
        <w:t xml:space="preserve">amatdarbības izdevumus par operatīvo nomu atzīst saskaņā ar uzkrāšanas </w:t>
      </w:r>
      <w:r w:rsidR="005A4057" w:rsidRPr="00A27896">
        <w:rPr>
          <w:iCs/>
        </w:rPr>
        <w:t>principu pārskata</w:t>
      </w:r>
      <w:r w:rsidR="00954F0C" w:rsidRPr="00A27896">
        <w:rPr>
          <w:iCs/>
        </w:rPr>
        <w:t xml:space="preserve"> per</w:t>
      </w:r>
      <w:r w:rsidR="005A4057" w:rsidRPr="00A27896">
        <w:rPr>
          <w:iCs/>
        </w:rPr>
        <w:t>i</w:t>
      </w:r>
      <w:r w:rsidR="00954F0C" w:rsidRPr="00A27896">
        <w:rPr>
          <w:iCs/>
        </w:rPr>
        <w:t>odā, par kuru tie aprēķināti. Aktīvus, kas nodoti operatīvā nomā, uzskaita aktīvu sastāvā atbilstoši to ekonomiskai būtībai. Pamatdarbības ieņēmumus par operatīvo nomu atzīst saskaņā ar uzkrāšanas principu pārskata periodā, par kuru tie aprēķināti.</w:t>
      </w:r>
    </w:p>
    <w:p w14:paraId="6846EDB4" w14:textId="77777777" w:rsidR="00954F0C" w:rsidRPr="00A27896" w:rsidRDefault="00954F0C" w:rsidP="008515BB">
      <w:pPr>
        <w:pStyle w:val="Heading3"/>
      </w:pPr>
      <w:bookmarkStart w:id="51" w:name="_Toc42846520"/>
      <w:r w:rsidRPr="00A27896">
        <w:t>Publiskās un privātās partnerības darījumu klasifikācija un uzskaite</w:t>
      </w:r>
      <w:bookmarkEnd w:id="51"/>
    </w:p>
    <w:p w14:paraId="041A0E1A" w14:textId="77777777" w:rsidR="00954F0C" w:rsidRPr="00A27896" w:rsidRDefault="00954F0C" w:rsidP="00BE768C">
      <w:pPr>
        <w:pStyle w:val="Pamatteksts1"/>
      </w:pPr>
      <w:r w:rsidRPr="00A27896">
        <w:t>Aktīvus (ilgtermiņa ieguldījumus un krājumus), kas iegūti Publiskās un privātās partnerības likuma ietvaros noslēgto publiskās un privātās partnerības (turpmāk – partnerība) līgumu izpildes rezultātā, sākotnēji atzīst aktīvu sastāvā, ja:</w:t>
      </w:r>
    </w:p>
    <w:p w14:paraId="769BAAA6" w14:textId="77777777" w:rsidR="00954F0C" w:rsidRPr="00A27896" w:rsidRDefault="00954F0C" w:rsidP="002A2F6E">
      <w:pPr>
        <w:pStyle w:val="Bullets"/>
      </w:pPr>
      <w:r w:rsidRPr="00A27896">
        <w:t>budžeta iestādes kontrolē vai regulē, kādi pakalpojumi, kam un par kādu cenu ir jānodrošina līguma darbības laikā;</w:t>
      </w:r>
    </w:p>
    <w:p w14:paraId="4CEE8CC7" w14:textId="77777777" w:rsidR="00954F0C" w:rsidRPr="00A27896" w:rsidRDefault="00954F0C" w:rsidP="002A2F6E">
      <w:pPr>
        <w:pStyle w:val="Bullets"/>
      </w:pPr>
      <w:r w:rsidRPr="00A27896">
        <w:t>partnerības līguma termiņa beigās partnerības aktīva īpašuma tiesības nodod budžeta iestādei vai partnerības aktīva lietderīgās lietošanas laiks beidzas partnerības līguma termiņa beigās.</w:t>
      </w:r>
    </w:p>
    <w:p w14:paraId="769B8C7A" w14:textId="77777777" w:rsidR="00954F0C" w:rsidRPr="00A27896" w:rsidRDefault="00954F0C" w:rsidP="00BE768C">
      <w:pPr>
        <w:pStyle w:val="Pamatteksts1"/>
      </w:pPr>
      <w:r w:rsidRPr="00A27896">
        <w:t xml:space="preserve">Aktīvus atzīst patiesajā vērtībā, klasificē atbilstoši to ekonomiskai būtībai un piemēro attiecīgās aktīvu grupas grāmatvedības uzskaites pamatprincipus. </w:t>
      </w:r>
    </w:p>
    <w:p w14:paraId="48690A86" w14:textId="77777777" w:rsidR="00954F0C" w:rsidRPr="00A27896" w:rsidRDefault="00954F0C" w:rsidP="00BE768C">
      <w:pPr>
        <w:pStyle w:val="Pamatteksts1"/>
      </w:pPr>
      <w:r w:rsidRPr="00A27896">
        <w:lastRenderedPageBreak/>
        <w:t>Saistības par partnerības aktīva izveidošanu atzīst aktīva sākotnējās vērtības apmērā un turpmāk novērtē amortizētajā vērtībā – pārskata gadā palielina par procentu izdevumiem, kurus aprēķina, piemērojot partnerības līgumā ietverto procentu likmi, un samazina par privātajam partnerim veiktajiem maksājumiem.</w:t>
      </w:r>
    </w:p>
    <w:p w14:paraId="00C5873B" w14:textId="77777777" w:rsidR="00954F0C" w:rsidRPr="00A27896" w:rsidRDefault="00954F0C" w:rsidP="00BE768C">
      <w:pPr>
        <w:pStyle w:val="Pamatteksts1"/>
      </w:pPr>
      <w:r w:rsidRPr="00A27896">
        <w:t>Partnerības līgumā noteiktos izdevumus par privātā partnera sniegtajiem pakalpojumiem atbilstoši to ekonomiskajai būtībai un attiecīgās finanšu saistības atzīst lineāri partnerības līguma darbības laikā. Papildu izdevumus par privātā partnera sniegtajiem pakalpojumiem atzīst pārskata periodā, kad tie radušies.</w:t>
      </w:r>
    </w:p>
    <w:p w14:paraId="34E1A007" w14:textId="20B7F27B" w:rsidR="00954F0C" w:rsidRPr="00A27896" w:rsidRDefault="00954F0C" w:rsidP="008515BB">
      <w:pPr>
        <w:pStyle w:val="Heading3"/>
      </w:pPr>
      <w:bookmarkStart w:id="52" w:name="_Toc42846521"/>
      <w:r w:rsidRPr="00A27896">
        <w:t>Finanšu instrumentu klasifikācija, uzskaite un novērtēšana</w:t>
      </w:r>
      <w:bookmarkEnd w:id="52"/>
      <w:r w:rsidRPr="00A27896">
        <w:t xml:space="preserve"> </w:t>
      </w:r>
    </w:p>
    <w:p w14:paraId="4EC4EBDC" w14:textId="77777777" w:rsidR="00954F0C" w:rsidRPr="00A27896" w:rsidRDefault="00954F0C" w:rsidP="00BE768C">
      <w:pPr>
        <w:pStyle w:val="Pamatteksts1"/>
      </w:pPr>
      <w:r w:rsidRPr="00A27896">
        <w:t>Finanšu aktīvus un finanšu saistības pēc sākotnējās atzīšanas klasificē atbilstoši finanšu instrumentu kategorijām:</w:t>
      </w:r>
    </w:p>
    <w:p w14:paraId="7399288E" w14:textId="77777777" w:rsidR="00954F0C" w:rsidRPr="00A27896" w:rsidRDefault="00954F0C" w:rsidP="002A2F6E">
      <w:pPr>
        <w:pStyle w:val="Bullets"/>
      </w:pPr>
      <w:r w:rsidRPr="00A27896">
        <w:t xml:space="preserve">prasības un aizdevumi – neatvasināti finanšu aktīvi ar fiksētiem vai nosakāmiem maksājumiem, kuri netiek kotēti aktīvajā tirgū. Šajā kategorijā ietvertas prasības, kas radušās aktīvu atsavināšanas rezultātā, ja maksājumu atliek ilgāk nekā 12 mēnešus (ilgtermiņa prasības un šo prasību īstermiņa daļa), un aizdevumi; </w:t>
      </w:r>
    </w:p>
    <w:p w14:paraId="55B5B8A2" w14:textId="77777777" w:rsidR="00954F0C" w:rsidRPr="00A27896" w:rsidRDefault="00954F0C" w:rsidP="002A2F6E">
      <w:pPr>
        <w:pStyle w:val="Bullets"/>
      </w:pPr>
      <w:r w:rsidRPr="00A27896">
        <w:t>līdz termiņa beigām turēti ieguldījumi – neatvasināti finanšu aktīvi ar fiksētiem vai nosakāmiem maksājumiem un fiksētu termiņu, kuri paredzēti turēšanai līdz attiecīgā finanšu instrumenta līguma termiņa beigām un kuru uzskaites vērtība ir atgūstama. Šajā kategorijā ietverti ieguldījumi vērtspapīros, noguldījumi un citi līdz termiņa beigām turēti finanšu aktīvi;</w:t>
      </w:r>
    </w:p>
    <w:p w14:paraId="3779122B" w14:textId="717EA5DE" w:rsidR="00954F0C" w:rsidRPr="00A27896" w:rsidRDefault="00954F0C" w:rsidP="002A2F6E">
      <w:pPr>
        <w:pStyle w:val="Bullets"/>
      </w:pPr>
      <w:r w:rsidRPr="00A27896">
        <w:t>pārdošanai pieejami finanšu aktīvi – neatvasināti finanšu aktīvi, kas nav klasificēti kā aizdevumi un prasības, līdz termiņa beigām turēti ieguldījumi vai patiesajā vērtībā novērtēti finanšu aktīvi. Šajā kategorijā ietverti finanšu ieguldījumi kapitālsabiedrību,</w:t>
      </w:r>
      <w:r w:rsidR="00D50D19" w:rsidRPr="00A27896">
        <w:t xml:space="preserve"> </w:t>
      </w:r>
      <w:r w:rsidRPr="00A27896">
        <w:t>starptautisko un citu organizāciju kapitālā, kur valstij un pašvaldībām pieder 20 procenti un mazāk balsstiesību, un citi pārdošanai pieejami finanšu aktīvi;</w:t>
      </w:r>
    </w:p>
    <w:p w14:paraId="3ABAC401" w14:textId="77777777" w:rsidR="00954F0C" w:rsidRPr="00A27896" w:rsidRDefault="00954F0C" w:rsidP="002A2F6E">
      <w:pPr>
        <w:pStyle w:val="Bullets"/>
      </w:pPr>
      <w:r w:rsidRPr="00A27896">
        <w:t>patiesajā vērtībā novērtēti finanšu aktīvi – finanšu aktīvi, kuri paredzēti tirdzniecībai (iegādāti vai emitēti ar mērķi paredzamā nākotnē tos pārdot vai atpirkt), kuri ir tirdzniecības portfeļa sastāvdaļa vai atvasināts finanšu instruments (izņemot finanšu garantiju līgumus);</w:t>
      </w:r>
    </w:p>
    <w:p w14:paraId="29FE1FAC" w14:textId="77777777" w:rsidR="00954F0C" w:rsidRPr="00A27896" w:rsidRDefault="00954F0C" w:rsidP="002A2F6E">
      <w:pPr>
        <w:pStyle w:val="Bullets"/>
      </w:pPr>
      <w:r w:rsidRPr="00A27896">
        <w:t>patiesajā vērtībā novērtētas finanšu saistības – finanšu saistības, kuras paredzētas tirdzniecībai (iegādātas vai emitētas ar mērķi paredzamā nākotnē tās pārdot vai atpirkt), kuras ir tirdzniecības portfeļa sastāvdaļa vai atvasināts finanšu instruments (izņemot finanšu garantiju līgumus);</w:t>
      </w:r>
    </w:p>
    <w:p w14:paraId="1511E400" w14:textId="77777777" w:rsidR="00954F0C" w:rsidRPr="00A27896" w:rsidRDefault="00954F0C" w:rsidP="002A2F6E">
      <w:pPr>
        <w:pStyle w:val="Bullets"/>
      </w:pPr>
      <w:r w:rsidRPr="00A27896">
        <w:t>pārējās finanšu saistības un finanšu garantiju līgumi. Pārējās finanšu saistības ietver aizņēmumus, saņemtos noguldījumus, emitētos vērtspapīrus un saistības, kas radušās aktīva iegādes vai izveidošanas rezultātā, ja maksājumu atliek ilgāk nekā 12 mēnešus (ilgtermiņa saistības un šo saistību īstermiņa daļa).</w:t>
      </w:r>
    </w:p>
    <w:p w14:paraId="6A6497A8" w14:textId="77777777" w:rsidR="00954F0C" w:rsidRPr="00A27896" w:rsidRDefault="00954F0C" w:rsidP="00BE768C">
      <w:pPr>
        <w:pStyle w:val="Pamatteksts1"/>
      </w:pPr>
      <w:r w:rsidRPr="00A27896">
        <w:t>Finanšu instrumentiem pēc sākotnējās atzīšanas piemēro šādas novērtēšanas metodes:</w:t>
      </w:r>
    </w:p>
    <w:p w14:paraId="301B090F" w14:textId="77777777" w:rsidR="00954F0C" w:rsidRPr="00A27896" w:rsidRDefault="00954F0C" w:rsidP="002A2F6E">
      <w:pPr>
        <w:pStyle w:val="Bullets"/>
      </w:pPr>
      <w:r w:rsidRPr="00A27896">
        <w:rPr>
          <w:u w:val="single"/>
        </w:rPr>
        <w:t>prasības un aizdevumus</w:t>
      </w:r>
      <w:r w:rsidRPr="00A27896">
        <w:t xml:space="preserve"> uzskaita amortizētajā vērtībā, piemērojot efektīvās procentu likmes metodi, un pārskata perioda ieņēmumos iekļauj amortizētos procentu ieņēmumus. Katra pārskata perioda beigās izvērtē finanšu instrumentu vērtības samazinājuma pazīmes un, ja tādas konstatē, nosaka vērtības samazinājumu. Valsts budžeta finanšu uzskaites nodrošināšanai amortizētās vērtības aprēķinam lieto procentu likmi, kas noteikta līgumā, atbilstoši Valsts kases iekšējos normatīvajos aktos noteiktajai uzskaites kārtībai;</w:t>
      </w:r>
    </w:p>
    <w:p w14:paraId="1837560D" w14:textId="77777777" w:rsidR="00954F0C" w:rsidRPr="00A27896" w:rsidRDefault="00954F0C" w:rsidP="002A2F6E">
      <w:pPr>
        <w:pStyle w:val="Bullets"/>
      </w:pPr>
      <w:r w:rsidRPr="00A27896">
        <w:rPr>
          <w:u w:val="single"/>
        </w:rPr>
        <w:t>līdz termiņa beigām turētus ieguldījumus</w:t>
      </w:r>
      <w:r w:rsidRPr="00A27896">
        <w:t xml:space="preserve"> (tai skaitā, vērtspapīrus, noguldījumus) uzskaita amortizētajā vērtībā, piemērojot efektīvās procentu likmes metodi, un pārskata perioda </w:t>
      </w:r>
      <w:r w:rsidRPr="00A27896">
        <w:lastRenderedPageBreak/>
        <w:t>ieņēmumos iekļauj amortizētos procentu ieņēmumus. Katra pārskata perioda beigās izvērtē finanšu instrumentu vērtības samazinājuma pazīmes un, ja tādas konstatē, nosaka vērtības samazinājumu. Valsts budžeta finanšu uzskaites nodrošināšanai līdz termiņa beigām turētu ieguldījumu amortizētās vērtības aprēķinam lieto procentu likmi, kas noteikta līgumā, atbilstoši Valsts kases iekšējos normatīvajos aktos noteiktajai uzskaites kārtībai;</w:t>
      </w:r>
    </w:p>
    <w:p w14:paraId="1DECDCC8" w14:textId="77777777" w:rsidR="00954F0C" w:rsidRPr="00A27896" w:rsidRDefault="00954F0C" w:rsidP="002A2F6E">
      <w:pPr>
        <w:pStyle w:val="Bullets"/>
      </w:pPr>
      <w:r w:rsidRPr="00A27896">
        <w:rPr>
          <w:u w:val="single"/>
        </w:rPr>
        <w:t>pārdošanai pieejamus finanšu aktīvus</w:t>
      </w:r>
      <w:r w:rsidRPr="00A27896">
        <w:t xml:space="preserve"> katra pārskata perioda beigās novērtē patiesajā vērtībā un vērtības izmaiņas atzīst finanšu instrumentu patiesās vērtības rezervēs, ieņēmumus vai izdevumus no valūtu kursu svārstībām atzīst pārskata perioda ieņēmumos vai izdevumos. Ja šāda nekotēta pašu kapitāla instrumenta patieso vērtību nevar ticami novērtēt, to uzskaita izmaksu vērtībā, katra pārskata perioda beigās izvērtē finanšu instrumentu vērtības samazinājuma pazīmes un, ja tādas konstatē, nosaka vērtības samazinājumu;</w:t>
      </w:r>
    </w:p>
    <w:p w14:paraId="22DEB701" w14:textId="77777777" w:rsidR="00954F0C" w:rsidRPr="00A27896" w:rsidRDefault="00954F0C" w:rsidP="002A2F6E">
      <w:pPr>
        <w:pStyle w:val="Bullets"/>
      </w:pPr>
      <w:r w:rsidRPr="00A27896">
        <w:rPr>
          <w:u w:val="single"/>
        </w:rPr>
        <w:t>patiesajā vērtībā novērtēta finanšu aktīva un finanšu saistību</w:t>
      </w:r>
      <w:r w:rsidRPr="00A27896">
        <w:t>, tai skaitā atvasināta finanšu instrumenta, vērtības izmaiņas atzīst pārskata perioda ieņēmumos vai izdevumos;</w:t>
      </w:r>
    </w:p>
    <w:p w14:paraId="551F6CBD" w14:textId="77777777" w:rsidR="00954F0C" w:rsidRPr="00A27896" w:rsidRDefault="00954F0C" w:rsidP="002A2F6E">
      <w:pPr>
        <w:pStyle w:val="Bullets"/>
      </w:pPr>
      <w:r w:rsidRPr="00A27896">
        <w:rPr>
          <w:u w:val="single"/>
        </w:rPr>
        <w:t>pārējās finanšu saistības</w:t>
      </w:r>
      <w:r w:rsidRPr="00A27896">
        <w:t>, izņemot finanšu garantiju līgumus, uzskaita amortizētajā vērtībā, piemērojot efektīvās procentu likmes metodi, un amortizētos procentu izdevumus atzīst pārskata perioda izdevumos. Valsts budžeta finanšu uzskaites nodrošināšanai finanšu saistību amortizētās vērtības aprēķinam lieto procentu likmi, kas noteikta līgumā, atbilstoši Valsts kases iekšējos normatīvajos aktos noteiktajai uzskaites kārtībai;</w:t>
      </w:r>
    </w:p>
    <w:p w14:paraId="319B8486" w14:textId="77777777" w:rsidR="00954F0C" w:rsidRPr="00A27896" w:rsidRDefault="00954F0C" w:rsidP="002A2F6E">
      <w:pPr>
        <w:pStyle w:val="Bullets"/>
      </w:pPr>
      <w:r w:rsidRPr="00A27896">
        <w:t xml:space="preserve">izsniegtās </w:t>
      </w:r>
      <w:r w:rsidRPr="00A27896">
        <w:rPr>
          <w:u w:val="single"/>
        </w:rPr>
        <w:t>finanšu garantijas</w:t>
      </w:r>
      <w:r w:rsidRPr="00A27896">
        <w:t xml:space="preserve"> katra pārskata perioda beigās novērtē atbilstoši izdevumu iespējami precīzākajām aplēsēm. Saņemtās finanšu garantijas novērtē atlīdzības pašreizējā vērtībā.</w:t>
      </w:r>
    </w:p>
    <w:p w14:paraId="3637D7CE" w14:textId="77777777" w:rsidR="00954F0C" w:rsidRPr="00A27896" w:rsidRDefault="00954F0C" w:rsidP="00BE768C">
      <w:pPr>
        <w:pStyle w:val="Pamatteksts1"/>
      </w:pPr>
      <w:r w:rsidRPr="00A27896">
        <w:t>Amortizētajā un izmaksu vērtībā uzskaitītiem finanšu aktīviem katra pārskata perioda beigās novērtē vērtības samazinājuma pazīmes, ņemot vērā šādus faktorus:</w:t>
      </w:r>
    </w:p>
    <w:p w14:paraId="175ECC7C" w14:textId="77777777" w:rsidR="00954F0C" w:rsidRPr="00A27896" w:rsidRDefault="00954F0C" w:rsidP="002A2F6E">
      <w:pPr>
        <w:pStyle w:val="Bullets"/>
      </w:pPr>
      <w:r w:rsidRPr="00A27896">
        <w:t>sadarbības partnerim konstatētas finansiālās grūtības;</w:t>
      </w:r>
    </w:p>
    <w:p w14:paraId="2AD771F0" w14:textId="77777777" w:rsidR="00954F0C" w:rsidRPr="00A27896" w:rsidRDefault="00954F0C" w:rsidP="002A2F6E">
      <w:pPr>
        <w:pStyle w:val="Bullets"/>
      </w:pPr>
      <w:r w:rsidRPr="00A27896">
        <w:t>sadarbības partneris neievēro līguma nosacījumus, piemēram, procentu vai pamatsummas atmaksāšanas nosacījumu neizpilde vai pārkāpšana;</w:t>
      </w:r>
    </w:p>
    <w:p w14:paraId="263AC334" w14:textId="77777777" w:rsidR="00954F0C" w:rsidRPr="00A27896" w:rsidRDefault="00954F0C" w:rsidP="002A2F6E">
      <w:pPr>
        <w:pStyle w:val="Bullets"/>
      </w:pPr>
      <w:r w:rsidRPr="00A27896">
        <w:t>aizdevējs ekonomisku vai juridisku iemeslu dēļ, kas saistīti ar aizņēmēja finansiālajām grūtībām, piešķīris aizņēmējam atlaidi vai atbrīvojumu, ko citos apstākļos aizdevējs nebūtu apsvēris;</w:t>
      </w:r>
    </w:p>
    <w:p w14:paraId="375F7284" w14:textId="77777777" w:rsidR="00954F0C" w:rsidRPr="00A27896" w:rsidRDefault="00954F0C" w:rsidP="002A2F6E">
      <w:pPr>
        <w:pStyle w:val="Bullets"/>
      </w:pPr>
      <w:r w:rsidRPr="00A27896">
        <w:t>ir ticams, ka aizņēmējs uzsāks maksātnespējas procedūru vai cita veida finansiālu reorganizāciju;</w:t>
      </w:r>
    </w:p>
    <w:p w14:paraId="63B8F683" w14:textId="77777777" w:rsidR="00954F0C" w:rsidRPr="00A27896" w:rsidRDefault="00954F0C" w:rsidP="002A2F6E">
      <w:pPr>
        <w:pStyle w:val="Bullets"/>
      </w:pPr>
      <w:r w:rsidRPr="00A27896">
        <w:t>konstatēta attiecīgā finanšu aktīva aktīvā tirgus zaudēšana finansiālu grūtību dēļ;</w:t>
      </w:r>
    </w:p>
    <w:p w14:paraId="49D5E125" w14:textId="77777777" w:rsidR="00954F0C" w:rsidRPr="00A27896" w:rsidRDefault="00954F0C" w:rsidP="002A2F6E">
      <w:pPr>
        <w:pStyle w:val="Bullets"/>
      </w:pPr>
      <w:r w:rsidRPr="00A27896">
        <w:t>pastāv novērtējams finanšu aktīvu grupas aplēsto nākotnes naudas plūsmu samazinājums kopš šo aktīvu sākotnējās atzīšanas, lai arī atsevišķiem finanšu aktīviem šis samazinājums vēl nav nosakāms, uz ko norāda:</w:t>
      </w:r>
    </w:p>
    <w:p w14:paraId="2D2B3550" w14:textId="77777777" w:rsidR="00954F0C" w:rsidRPr="00A27896" w:rsidRDefault="00954F0C" w:rsidP="002A2F6E">
      <w:pPr>
        <w:pStyle w:val="Bullets2"/>
      </w:pPr>
      <w:r w:rsidRPr="00A27896">
        <w:t>nelabvēlīgas izmaiņas aizņēmēju maksātspējā attiecīgajā grupā (piemēram, pieaugošs nokavēto maksājumu skaits),</w:t>
      </w:r>
    </w:p>
    <w:p w14:paraId="6DA914FA" w14:textId="77777777" w:rsidR="00954F0C" w:rsidRPr="00A27896" w:rsidRDefault="00954F0C" w:rsidP="002A2F6E">
      <w:pPr>
        <w:pStyle w:val="Bullets2"/>
      </w:pPr>
      <w:r w:rsidRPr="00A27896">
        <w:t>valsts vai pašvaldības ekonomiskie apstākļi, kas attiecīgi ietekmē saistību neizpildi aktīvu grupā (piemēram, ekonomiskās grūtības noteiktā ģeogrāfiskā apgabalā, nozīmīgas nelabvēlīgas izmaiņas kādas nozares apstākļos, kas ietekmē aizņēmējus attiecīgajā grupā);</w:t>
      </w:r>
    </w:p>
    <w:p w14:paraId="0A96AFA3" w14:textId="77777777" w:rsidR="00954F0C" w:rsidRPr="00A27896" w:rsidRDefault="00954F0C" w:rsidP="002A2F6E">
      <w:pPr>
        <w:pStyle w:val="Bullets"/>
      </w:pPr>
      <w:r w:rsidRPr="00A27896">
        <w:t xml:space="preserve">ieguldījumam pašu kapitāla instrumentā – nelabvēlīgas izmaiņas, kas notikušas tehnoloģiskajā, tirgus, ekonomiskajā vai juridiskajā vidē, kurā darbojas emitents, un kas </w:t>
      </w:r>
      <w:r w:rsidRPr="00A27896">
        <w:lastRenderedPageBreak/>
        <w:t>norāda, ka pašu kapitāla instrumenta izmaksas var nebūt atgūstamas, kā arī ieguldījuma vērtības samazināšanās zem tā izmaksu vērtības.</w:t>
      </w:r>
    </w:p>
    <w:p w14:paraId="51DCBA95" w14:textId="77777777" w:rsidR="00954F0C" w:rsidRPr="00A27896" w:rsidRDefault="00954F0C" w:rsidP="00BE768C">
      <w:pPr>
        <w:pStyle w:val="Pamatteksts1"/>
      </w:pPr>
      <w:r w:rsidRPr="00A27896">
        <w:t>Finanšu aktīvu izslēdz no uzskaites, ja budžeta iestāde nodod visus ar attiecīgā aktīva vai tā daļas īpašumtiesībām saistītos riskus, atlīdzības un aktīva vai tā daļas kontroli un tai beidzas līgumā noteiktās tiesības uz naudas plūsmām no attiecīgā finanšu aktīva vai tā daļas.</w:t>
      </w:r>
    </w:p>
    <w:p w14:paraId="1BEED314" w14:textId="77777777" w:rsidR="00954F0C" w:rsidRPr="00A27896" w:rsidRDefault="00954F0C" w:rsidP="00BE768C">
      <w:pPr>
        <w:pStyle w:val="Pamatteksts1"/>
      </w:pPr>
      <w:r w:rsidRPr="00A27896">
        <w:t>Finanšu saistības vai to daļu izslēdz no uzskaites tad, ja līgumā noteiktais pienākums ir izpildīts, darījuma partneris ir atteicies no prasības šā pienākuma izpildei, pienākums ir atcelts vai tā izpildes termiņš ir beidzies.</w:t>
      </w:r>
    </w:p>
    <w:p w14:paraId="34245DCA" w14:textId="2CDEAEF8" w:rsidR="00954F0C" w:rsidRPr="00A27896" w:rsidRDefault="00954F0C" w:rsidP="00BE768C">
      <w:pPr>
        <w:pStyle w:val="Pamatteksts1"/>
      </w:pPr>
      <w:r w:rsidRPr="00A27896">
        <w:t xml:space="preserve">Valsts budžeta finanšu uzskaitē pārskata perioda beigās veic aktīvu vērtības samazinājuma </w:t>
      </w:r>
      <w:proofErr w:type="spellStart"/>
      <w:r w:rsidRPr="00A27896">
        <w:t>izvērtējumu</w:t>
      </w:r>
      <w:proofErr w:type="spellEnd"/>
      <w:r w:rsidRPr="00A27896">
        <w:t xml:space="preserve"> Valsts kases iekšējos normatīvajos aktos noteiktajā kārtībā. </w:t>
      </w:r>
    </w:p>
    <w:p w14:paraId="722ED8B5" w14:textId="19AF7036" w:rsidR="00954F0C" w:rsidRPr="00A27896" w:rsidRDefault="00954F0C" w:rsidP="008515BB">
      <w:pPr>
        <w:pStyle w:val="Heading3"/>
      </w:pPr>
      <w:bookmarkStart w:id="53" w:name="_Toc42846522"/>
      <w:r w:rsidRPr="00A27896">
        <w:t>Atvasināto finanšu instrument</w:t>
      </w:r>
      <w:bookmarkEnd w:id="53"/>
      <w:r w:rsidR="002E74BE" w:rsidRPr="00A27896">
        <w:t>u uzskaite</w:t>
      </w:r>
    </w:p>
    <w:p w14:paraId="1FEDB40A" w14:textId="0E253C37" w:rsidR="009B4633" w:rsidRPr="00A27896" w:rsidRDefault="00D65E28" w:rsidP="00BE768C">
      <w:pPr>
        <w:pStyle w:val="Pamatteksts1"/>
      </w:pPr>
      <w:r w:rsidRPr="00A27896">
        <w:t>Rīgas pilsētas pašvaldības izmantotais atvasinātais finanšu instruments klasificēts</w:t>
      </w:r>
      <w:r w:rsidR="00954F0C" w:rsidRPr="00A27896">
        <w:t xml:space="preserve"> finanšu instrumentu kategorijā “Patiesajā vērtībā novērtētas finanšu saistības”</w:t>
      </w:r>
      <w:r w:rsidR="0001633D" w:rsidRPr="00A27896">
        <w:t>, valsts budžeta finanšu uzskaitē izmantot</w:t>
      </w:r>
      <w:r w:rsidR="00AA7198" w:rsidRPr="00A27896">
        <w:t>os</w:t>
      </w:r>
      <w:r w:rsidR="0001633D" w:rsidRPr="00A27896">
        <w:t xml:space="preserve"> a</w:t>
      </w:r>
      <w:r w:rsidR="009B4633" w:rsidRPr="00A27896">
        <w:t>tvasināt</w:t>
      </w:r>
      <w:r w:rsidR="00AA7198" w:rsidRPr="00A27896">
        <w:t>os</w:t>
      </w:r>
      <w:r w:rsidR="009B4633" w:rsidRPr="00A27896">
        <w:t xml:space="preserve"> finanšu instrument</w:t>
      </w:r>
      <w:r w:rsidR="00AA7198" w:rsidRPr="00A27896">
        <w:t>us</w:t>
      </w:r>
      <w:r w:rsidRPr="00A27896">
        <w:t xml:space="preserve"> klasificē</w:t>
      </w:r>
      <w:r w:rsidR="009B4633" w:rsidRPr="00A27896">
        <w:t xml:space="preserve"> kā</w:t>
      </w:r>
      <w:r w:rsidRPr="00A27896">
        <w:t xml:space="preserve"> riska ierobežošanas instrumentus</w:t>
      </w:r>
      <w:r w:rsidR="0001633D" w:rsidRPr="00A27896">
        <w:t>.</w:t>
      </w:r>
      <w:r w:rsidR="009B4633" w:rsidRPr="00A27896">
        <w:t xml:space="preserve"> </w:t>
      </w:r>
    </w:p>
    <w:p w14:paraId="1ECD529D" w14:textId="3F4BC151" w:rsidR="00954F0C" w:rsidRPr="00A27896" w:rsidRDefault="00AE497C" w:rsidP="008515BB">
      <w:pPr>
        <w:pStyle w:val="Heading3"/>
      </w:pPr>
      <w:bookmarkStart w:id="54" w:name="_Toc42846523"/>
      <w:r w:rsidRPr="00A27896">
        <w:t>Riska ierobežošanas uzskaite</w:t>
      </w:r>
      <w:r w:rsidR="006B6ED6" w:rsidRPr="00A27896">
        <w:t xml:space="preserve"> </w:t>
      </w:r>
      <w:bookmarkEnd w:id="54"/>
    </w:p>
    <w:p w14:paraId="10FDE455" w14:textId="40F30061" w:rsidR="00AA7198" w:rsidRPr="00A27896" w:rsidRDefault="006A64E6" w:rsidP="00957D18">
      <w:pPr>
        <w:pStyle w:val="Pamatteksts1"/>
        <w:rPr>
          <w:rFonts w:eastAsia="Times New Roman"/>
        </w:rPr>
      </w:pPr>
      <w:bookmarkStart w:id="55" w:name="_Ref87602521"/>
      <w:r w:rsidRPr="00A27896">
        <w:t xml:space="preserve">Valsts kase valsts budžeta finanšu uzskaitē noteiktiem atvasinātiem finanšu instrumentiem piemēro riska ierobežošanas uzskaiti atbilstoši </w:t>
      </w:r>
      <w:r w:rsidR="00AA7198" w:rsidRPr="00A27896">
        <w:t xml:space="preserve">finanšu ministra apstiprinātajā </w:t>
      </w:r>
      <w:r w:rsidRPr="00A27896">
        <w:t>Valsts parāda un nau</w:t>
      </w:r>
      <w:r w:rsidR="003667F8" w:rsidRPr="00A27896">
        <w:t xml:space="preserve">das līdzekļu vadības stratēģijā noteiktiem </w:t>
      </w:r>
      <w:r w:rsidRPr="00A27896">
        <w:t>mērķiem</w:t>
      </w:r>
      <w:bookmarkEnd w:id="55"/>
      <w:r w:rsidRPr="00A27896">
        <w:t xml:space="preserve"> un izstrādātai riska ierobežošanas dokumentācijai.</w:t>
      </w:r>
      <w:r w:rsidR="00536F4F" w:rsidRPr="00A27896">
        <w:t xml:space="preserve"> </w:t>
      </w:r>
      <w:r w:rsidR="003667F8" w:rsidRPr="00A27896">
        <w:rPr>
          <w:rFonts w:eastAsia="Times New Roman"/>
        </w:rPr>
        <w:t>Valsts kase</w:t>
      </w:r>
      <w:r w:rsidR="007C43F5" w:rsidRPr="00A27896">
        <w:rPr>
          <w:rFonts w:eastAsia="Times New Roman"/>
        </w:rPr>
        <w:t xml:space="preserve"> finanšu uzskaitē</w:t>
      </w:r>
      <w:r w:rsidR="003667F8" w:rsidRPr="00A27896">
        <w:rPr>
          <w:rFonts w:eastAsia="Times New Roman"/>
        </w:rPr>
        <w:t xml:space="preserve"> piemēro naudas plūsmas riska ierobežošan</w:t>
      </w:r>
      <w:r w:rsidR="00E321DB" w:rsidRPr="00A27896">
        <w:rPr>
          <w:rFonts w:eastAsia="Times New Roman"/>
        </w:rPr>
        <w:t>as uzskaiti</w:t>
      </w:r>
      <w:r w:rsidR="003667F8" w:rsidRPr="00A27896">
        <w:rPr>
          <w:rFonts w:eastAsia="Times New Roman"/>
        </w:rPr>
        <w:t>.</w:t>
      </w:r>
      <w:r w:rsidR="008B6424" w:rsidRPr="008B6424">
        <w:rPr>
          <w:rFonts w:eastAsia="Times New Roman"/>
        </w:rPr>
        <w:t xml:space="preserve"> </w:t>
      </w:r>
      <w:r w:rsidR="001B5EC2" w:rsidRPr="001B5EC2">
        <w:rPr>
          <w:rFonts w:eastAsia="Times New Roman"/>
        </w:rPr>
        <w:t>Valsts kase pārskata gadā noslēgusi jaunu valūtu un procentu likmju mijmaiņas darījumu</w:t>
      </w:r>
      <w:r w:rsidR="00957D18">
        <w:rPr>
          <w:rFonts w:eastAsia="Times New Roman"/>
        </w:rPr>
        <w:t xml:space="preserve"> (</w:t>
      </w:r>
      <w:r w:rsidR="00957D18" w:rsidRPr="001B5EC2">
        <w:rPr>
          <w:rFonts w:eastAsia="Times New Roman"/>
        </w:rPr>
        <w:t>CCIRS</w:t>
      </w:r>
      <w:r w:rsidR="00957D18">
        <w:rPr>
          <w:rFonts w:eastAsia="Times New Roman"/>
        </w:rPr>
        <w:t>)</w:t>
      </w:r>
      <w:r w:rsidR="001B5EC2" w:rsidRPr="001B5EC2">
        <w:rPr>
          <w:rFonts w:eastAsia="Times New Roman"/>
        </w:rPr>
        <w:t xml:space="preserve">, </w:t>
      </w:r>
      <w:r w:rsidR="00957D18">
        <w:rPr>
          <w:rFonts w:eastAsia="Times New Roman"/>
        </w:rPr>
        <w:t>kas</w:t>
      </w:r>
      <w:r w:rsidR="001B5EC2" w:rsidRPr="001B5EC2">
        <w:rPr>
          <w:rFonts w:eastAsia="Times New Roman"/>
        </w:rPr>
        <w:t xml:space="preserve"> tika noslēgts ar nodrošinājumu un iekļauts riska ierobežošanas uzskaitē.</w:t>
      </w:r>
    </w:p>
    <w:p w14:paraId="45E718BE" w14:textId="77777777" w:rsidR="00954F0C" w:rsidRPr="00A27896" w:rsidRDefault="00954F0C" w:rsidP="008515BB">
      <w:pPr>
        <w:pStyle w:val="Heading3"/>
      </w:pPr>
      <w:bookmarkStart w:id="56" w:name="_Toc42846524"/>
      <w:r w:rsidRPr="00A27896">
        <w:t>Uzskaites un novērtēšanas pamatprincipi</w:t>
      </w:r>
      <w:bookmarkEnd w:id="56"/>
    </w:p>
    <w:p w14:paraId="4EB270A2" w14:textId="6D978491" w:rsidR="007C43F5" w:rsidRPr="00A27896" w:rsidRDefault="007C43F5" w:rsidP="00BE768C">
      <w:pPr>
        <w:pStyle w:val="Pamatteksts1"/>
      </w:pPr>
      <w:r w:rsidRPr="00A27896">
        <w:t xml:space="preserve">Naudas plūsmas riska ierobežošanas uzskaitē sākotnēji nosaka riska ierobežošanas instrumenta un nodrošinātā posteņa nākotnes naudas plūsmu pašreizējo vērtību. </w:t>
      </w:r>
    </w:p>
    <w:p w14:paraId="4F48408F" w14:textId="77777777" w:rsidR="00E321DB" w:rsidRPr="00A27896" w:rsidRDefault="007C43F5" w:rsidP="00BE768C">
      <w:pPr>
        <w:pStyle w:val="Pamatteksts1"/>
      </w:pPr>
      <w:r w:rsidRPr="00A27896">
        <w:t>Turpmāk pārskata perioda beigās veicot nākotnes naudas plūsmu pašreizējās vērtības novērtēšanu, riska ierobežošanas instrumenta vērtības izmaiņas uzskaita</w:t>
      </w:r>
      <w:r w:rsidR="00E321DB" w:rsidRPr="00A27896">
        <w:t>:</w:t>
      </w:r>
    </w:p>
    <w:p w14:paraId="69153DC6" w14:textId="52F098CE" w:rsidR="00441B8B" w:rsidRPr="00A27896" w:rsidRDefault="00441B8B" w:rsidP="002A2F6E">
      <w:pPr>
        <w:pStyle w:val="Bullets"/>
      </w:pPr>
      <w:r w:rsidRPr="00A27896">
        <w:t xml:space="preserve">veicot atkārtotu nākotnes naudas plūsmu pašreizējās vērtības novērtēšanu, riska ierobežošanas instrumenta vērtības izmaiņas uzskaita atsevišķā postenī aktīva vai saistību sastāvā; </w:t>
      </w:r>
    </w:p>
    <w:p w14:paraId="6EEFBD01" w14:textId="77777777" w:rsidR="00441B8B" w:rsidRPr="00A27896" w:rsidRDefault="00441B8B" w:rsidP="002A2F6E">
      <w:pPr>
        <w:pStyle w:val="Bullets"/>
      </w:pPr>
      <w:r w:rsidRPr="00A27896">
        <w:t xml:space="preserve">riska ierobežošanas instrumenta vērtības izmaiņu daļu, kas noteikta kā efektīva riska ierobežošana, atzīst finanšu instrumentu patiesās vērtības rezervēs; </w:t>
      </w:r>
    </w:p>
    <w:p w14:paraId="7E32B4AA" w14:textId="38D41CFA" w:rsidR="00441B8B" w:rsidRPr="00A27896" w:rsidRDefault="00441B8B" w:rsidP="002A2F6E">
      <w:pPr>
        <w:pStyle w:val="Bullets"/>
      </w:pPr>
      <w:r w:rsidRPr="00A27896">
        <w:t>riska ierobežošanas instrumenta vērtības izmaiņu daļu, kas novērtēta kā neefektīva riska ierobežošana, atzīst pārskata perioda finanšu ieņēmumos vai izdevumos;</w:t>
      </w:r>
    </w:p>
    <w:p w14:paraId="7A49CDC6" w14:textId="15218262" w:rsidR="00441B8B" w:rsidRDefault="00441B8B" w:rsidP="002A2F6E">
      <w:pPr>
        <w:pStyle w:val="Bullets"/>
      </w:pPr>
      <w:r w:rsidRPr="00A27896">
        <w:t>finanšu instrumentu patiesās vērtības rezervēs uzskaitītās riska ierobežošanas instrumenta vērtības izmaiņas atzīst pārskata perioda finanšu ieņēmumos vai izdevumos vienlaicīgi ar nodrošinātā posteņa ieņēmumiem vai izdevumiem, uz kuriem attiecināma riska ierobežošana, saskaņojot ar šo ieņēmumu vai izdevumu summu</w:t>
      </w:r>
      <w:r w:rsidR="00936670">
        <w:t>;</w:t>
      </w:r>
    </w:p>
    <w:p w14:paraId="646312E6" w14:textId="54EC26F3" w:rsidR="00936670" w:rsidRPr="00A27896" w:rsidRDefault="00936670" w:rsidP="002A2F6E">
      <w:pPr>
        <w:pStyle w:val="Bullets"/>
      </w:pPr>
      <w:r w:rsidRPr="00936670">
        <w:t>ja par riska ierobežošanas instrumentu noteikts valūtu un procentu likmju mijmaiņas atvasinātais finanšu instruments, kura patiesās vērtības izmaiņu daļa, kas radusies ārvalstu valūtas bāzes starpības dēļ, nav attiecināma uz riska ierobežošanu, tad šo patiesās vērtības izmaiņu daļu uzskaita finanšu instrumentu patiesās vērtības rezervēs.</w:t>
      </w:r>
    </w:p>
    <w:p w14:paraId="203FFB2B" w14:textId="77777777" w:rsidR="002A2F6E" w:rsidRDefault="002A2F6E" w:rsidP="007479B2">
      <w:pPr>
        <w:pStyle w:val="Pamatteksts1"/>
      </w:pPr>
      <w:bookmarkStart w:id="57" w:name="_Toc42846525"/>
    </w:p>
    <w:p w14:paraId="05AC40E9" w14:textId="19B06C85" w:rsidR="00954F0C" w:rsidRPr="00A27896" w:rsidRDefault="00954F0C" w:rsidP="008515BB">
      <w:pPr>
        <w:pStyle w:val="Heading3"/>
      </w:pPr>
      <w:r w:rsidRPr="00A27896">
        <w:lastRenderedPageBreak/>
        <w:t>Izmantošanas veidi</w:t>
      </w:r>
      <w:bookmarkEnd w:id="57"/>
      <w:r w:rsidRPr="00A27896">
        <w:t xml:space="preserve"> </w:t>
      </w:r>
    </w:p>
    <w:p w14:paraId="5FA55805" w14:textId="58604409" w:rsidR="00954F0C" w:rsidRDefault="00954F0C" w:rsidP="00957D18">
      <w:pPr>
        <w:pStyle w:val="Pamatteksts1"/>
      </w:pPr>
      <w:r w:rsidRPr="00A27896">
        <w:t>Valsts kase izmanto atvasinātos finanšu instrumentus tikai finanšu risku vadībai atbilstoši Valsts parāda un naudas līdzekļu vadības stratēģijā izvirzītajiem mērķiem un uzdevumiem.</w:t>
      </w:r>
      <w:r w:rsidR="009B75DF" w:rsidRPr="00A27896">
        <w:t xml:space="preserve"> </w:t>
      </w:r>
    </w:p>
    <w:p w14:paraId="6E0B2AAF" w14:textId="1A29A703" w:rsidR="00957D18" w:rsidRPr="00C34FC5" w:rsidRDefault="00957D18" w:rsidP="00957D18">
      <w:pPr>
        <w:pStyle w:val="Pamatteksts1"/>
      </w:pPr>
      <w:r w:rsidRPr="00957D18">
        <w:t xml:space="preserve">Valsts kase pārskata gadā noslēgusi jaunu </w:t>
      </w:r>
      <w:r w:rsidR="005F535C" w:rsidRPr="00957D18">
        <w:t>CCIRS</w:t>
      </w:r>
      <w:r w:rsidR="005F535C">
        <w:t xml:space="preserve"> atvasināto finanšu instrumentu</w:t>
      </w:r>
      <w:r w:rsidRPr="00957D18">
        <w:t>, kura ietvaros notiek apmaiņa ar naudas plūsmām dažādās valūtās (procentu un pamatsummas maksājumiem).</w:t>
      </w:r>
    </w:p>
    <w:p w14:paraId="6831FEEC" w14:textId="6F422152" w:rsidR="00954F0C" w:rsidRPr="00A27896" w:rsidRDefault="00954F0C" w:rsidP="008515BB">
      <w:pPr>
        <w:pStyle w:val="Heading3"/>
      </w:pPr>
      <w:bookmarkStart w:id="58" w:name="_Toc42846526"/>
      <w:r w:rsidRPr="00A27896">
        <w:t xml:space="preserve">Izmantošanas mērķis </w:t>
      </w:r>
      <w:bookmarkEnd w:id="58"/>
    </w:p>
    <w:p w14:paraId="430D2231" w14:textId="6692056E" w:rsidR="00957D18" w:rsidRDefault="00957D18" w:rsidP="00957D18">
      <w:pPr>
        <w:pStyle w:val="Pamatteksts1"/>
        <w:rPr>
          <w:b/>
          <w:bCs/>
          <w:iCs/>
        </w:rPr>
      </w:pPr>
      <w:bookmarkStart w:id="59" w:name="_Toc42846529"/>
      <w:r w:rsidRPr="00957D18">
        <w:t xml:space="preserve">CCIRS darījums tika noslēgts, lai nodrošinātu tīrā parāda valūtu kompozīcijas ievērošanu pieļaujamās robežās, kā arī izslēgtu valūtu svārstību risku procentu maksājumiem par ne </w:t>
      </w:r>
      <w:r w:rsidRPr="005F535C">
        <w:rPr>
          <w:i/>
          <w:iCs/>
        </w:rPr>
        <w:t>euro</w:t>
      </w:r>
      <w:r w:rsidRPr="00957D18">
        <w:t xml:space="preserve"> valūtā emitētām obligācijām.</w:t>
      </w:r>
      <w:r w:rsidR="005F535C" w:rsidRPr="005F535C">
        <w:t xml:space="preserve"> Slēdzot attiecīgo atvasināto finanšu instrumenta darījumu vērtspapīru emisijas brīdī ne </w:t>
      </w:r>
      <w:r w:rsidR="005F535C" w:rsidRPr="005F535C">
        <w:rPr>
          <w:i/>
          <w:iCs/>
        </w:rPr>
        <w:t>euro</w:t>
      </w:r>
      <w:r w:rsidR="005F535C" w:rsidRPr="005F535C">
        <w:t xml:space="preserve"> valūtā, tiek fiksēts valūtas kurss, par kuru darījuma puses apmainās ar darījuma pamatsummām (attiecīgi emisijas brīdī un vēlāk emisijas dzēšanas brīdī), kā arī par kuru efektīvi tiek veikti un attiecīgi saņemti līdzekļi procentu maksājumu veikšanai – tādējādi izslēdzot valūtu svārstību risku procentu (kupona) maksājumiem.</w:t>
      </w:r>
    </w:p>
    <w:p w14:paraId="38B60EB7" w14:textId="4D1894B1" w:rsidR="00954F0C" w:rsidRPr="00A27896" w:rsidRDefault="00954F0C" w:rsidP="008515BB">
      <w:pPr>
        <w:pStyle w:val="Heading3"/>
      </w:pPr>
      <w:r w:rsidRPr="00A27896">
        <w:t>Zembilances aktīvi</w:t>
      </w:r>
      <w:bookmarkEnd w:id="59"/>
    </w:p>
    <w:p w14:paraId="3B5F6370" w14:textId="62C6B6B5" w:rsidR="00954F0C" w:rsidRPr="00A27896" w:rsidRDefault="00954F0C" w:rsidP="00BE768C">
      <w:pPr>
        <w:pStyle w:val="Pamatteksts1"/>
      </w:pPr>
      <w:r w:rsidRPr="00A27896">
        <w:t xml:space="preserve">Zembilances aktīvā uzskaita iespējamos aktīvus, kuri radušies pagātnes notikumu rezultātā un kuru pastāvēšana apstiprināsies tikai atkarībā no viena vai vairāku tādu nākotnes notikumu notikšanas vai nenotikšanas, kurus budžeta iestāde vai valsts budžeta finanšu uzskaitē pilnībā nevar kontrolēt. </w:t>
      </w:r>
    </w:p>
    <w:p w14:paraId="55769B2D" w14:textId="6643EC4C" w:rsidR="00954F0C" w:rsidRPr="00A27896" w:rsidRDefault="00954F0C" w:rsidP="00BE768C">
      <w:pPr>
        <w:pStyle w:val="Pamatteksts1"/>
      </w:pPr>
      <w:r w:rsidRPr="00A27896">
        <w:t>Zembilances aktīvu sastāvā uzskaitīti:</w:t>
      </w:r>
    </w:p>
    <w:p w14:paraId="422BDEDF" w14:textId="77777777" w:rsidR="00954F0C" w:rsidRPr="002A2F6E" w:rsidRDefault="00954F0C" w:rsidP="002A2F6E">
      <w:pPr>
        <w:pStyle w:val="Bullets"/>
      </w:pPr>
      <w:r w:rsidRPr="002A2F6E">
        <w:t>iespējamie aktīvi, kurus atzīst un uzrāda zembilancē, ja pastāv varbūtība ekonomisko labumu un/vai sniegto pakalpojumu pieaugumam iestādē. Pēc noteiktu apstākļu apstiprināšanās un dienā, kad aktīvu var ticami novērtēt, aktīvu un ar to saistītos ieņēmumu norāda bilancē, samazinot zembilancē norādīto iespējamo aktīvu vērtību;</w:t>
      </w:r>
    </w:p>
    <w:p w14:paraId="2811DC77" w14:textId="77777777" w:rsidR="00954F0C" w:rsidRPr="002A2F6E" w:rsidRDefault="00954F0C" w:rsidP="002A2F6E">
      <w:pPr>
        <w:pStyle w:val="Bullets"/>
      </w:pPr>
      <w:r w:rsidRPr="002A2F6E">
        <w:t>prasības par radniecīgo un asociēto kapitālsabiedrību paziņotajām dividendēm un saņemamiem maksājumiem par kapitāla daļu izmantošanu, kas ir apstiprināti pēc bilances datuma un par kuriem nav samazināts finanšu ieguldījums;</w:t>
      </w:r>
    </w:p>
    <w:p w14:paraId="504397B2" w14:textId="77777777" w:rsidR="00954F0C" w:rsidRPr="002A2F6E" w:rsidRDefault="00954F0C" w:rsidP="002A2F6E">
      <w:pPr>
        <w:pStyle w:val="Bullets"/>
      </w:pPr>
      <w:r w:rsidRPr="002A2F6E">
        <w:t>aprēķinātie līgumsodi, naudas sodi, soda naudas un kavējuma naudas, kas nav saņemtas līdz pārskata perioda beigām, un prasības, kuras nav uzskaitītas bilancē, no dienas, kad radušās likumīgas tiesības to saņemt;</w:t>
      </w:r>
    </w:p>
    <w:p w14:paraId="4C1F7908" w14:textId="77777777" w:rsidR="00954F0C" w:rsidRPr="002A2F6E" w:rsidRDefault="00954F0C" w:rsidP="002A2F6E">
      <w:pPr>
        <w:pStyle w:val="Bullets"/>
      </w:pPr>
      <w:r w:rsidRPr="002A2F6E">
        <w:t xml:space="preserve">budžeta iestāžu prasības par prettiesiskā ceļā atsavinātiem aktīviem atbilstoši prettiesiski atsavinātā aktīva vērtības </w:t>
      </w:r>
      <w:proofErr w:type="spellStart"/>
      <w:r w:rsidRPr="002A2F6E">
        <w:t>visticamākai</w:t>
      </w:r>
      <w:proofErr w:type="spellEnd"/>
      <w:r w:rsidRPr="002A2F6E">
        <w:t xml:space="preserve"> aplēsei; </w:t>
      </w:r>
    </w:p>
    <w:p w14:paraId="6E72FAED" w14:textId="77777777" w:rsidR="00954F0C" w:rsidRPr="002A2F6E" w:rsidRDefault="00954F0C" w:rsidP="002A2F6E">
      <w:pPr>
        <w:pStyle w:val="Bullets"/>
      </w:pPr>
      <w:r w:rsidRPr="002A2F6E">
        <w:t>iespējamās prasības par nākotnes finanšu darījumiem, valsts budžeta bezcerīgie (zaudētie) kredīti un pārējās zembilances prasības;</w:t>
      </w:r>
    </w:p>
    <w:p w14:paraId="4C1139D4" w14:textId="77777777" w:rsidR="00954F0C" w:rsidRPr="00A27896" w:rsidRDefault="00954F0C" w:rsidP="002A2F6E">
      <w:pPr>
        <w:pStyle w:val="Bullets"/>
      </w:pPr>
      <w:r w:rsidRPr="002A2F6E">
        <w:t>citi zembilances</w:t>
      </w:r>
      <w:r w:rsidRPr="00A27896">
        <w:t xml:space="preserve"> aktīvi.</w:t>
      </w:r>
    </w:p>
    <w:p w14:paraId="4BE44ADD" w14:textId="77777777" w:rsidR="00954F0C" w:rsidRPr="00A27896" w:rsidRDefault="00954F0C" w:rsidP="008515BB">
      <w:pPr>
        <w:pStyle w:val="Heading3"/>
      </w:pPr>
      <w:bookmarkStart w:id="60" w:name="_Toc42846530"/>
      <w:r w:rsidRPr="00A27896">
        <w:t>Zembilances pasīvi</w:t>
      </w:r>
      <w:bookmarkEnd w:id="60"/>
    </w:p>
    <w:p w14:paraId="1018D9C1" w14:textId="782FA0AE" w:rsidR="00954F0C" w:rsidRPr="00A27896" w:rsidRDefault="00954F0C" w:rsidP="00BE768C">
      <w:pPr>
        <w:pStyle w:val="Pamatteksts1"/>
      </w:pPr>
      <w:r w:rsidRPr="00A27896">
        <w:t>Zembilances pasīvā uzskaita budžeta iestāžu un valsts budžeta iespējamās saistības, kas radušās pagātnes notikumu rezultātā, bet to iestāšanās vai neiestāšanās atkarīga no viena vai vairāku tādu notikumu notikšanas vai nenotikšanas, kurus budžeta iestādes vai valsts budžeta finanšu uzskaitē pilnībā nevar kontrolēt. Zembilances saistībās norāda arī pašreizējās saistības, kurām nav pietiekams pamatojums saistību vērtības noteikšanai.</w:t>
      </w:r>
    </w:p>
    <w:p w14:paraId="24666FF2" w14:textId="77777777" w:rsidR="00954F0C" w:rsidRPr="00A27896" w:rsidRDefault="00954F0C" w:rsidP="00BE768C">
      <w:pPr>
        <w:pStyle w:val="Pamatteksts1"/>
      </w:pPr>
      <w:r w:rsidRPr="00A27896">
        <w:t>Zembilances pasīvu daļā ir norādīti:</w:t>
      </w:r>
    </w:p>
    <w:p w14:paraId="08E15E8D" w14:textId="77777777" w:rsidR="00954F0C" w:rsidRPr="00A27896" w:rsidRDefault="00954F0C" w:rsidP="000D2C39">
      <w:pPr>
        <w:pStyle w:val="Bullets"/>
      </w:pPr>
      <w:r w:rsidRPr="00A27896">
        <w:lastRenderedPageBreak/>
        <w:t>budžeta iestāžu nākotnes maksājumi saskaņā ar līgumiem, kas noslēgti par ārvalstu finanšu palīdzības un ES politiku instrumentu finansētajiem projektiem. Nākotnes saistību vērtība noteikta par noslēgtiem līgumiem neizpildīto darījumu apjomā bilances datumā;</w:t>
      </w:r>
    </w:p>
    <w:p w14:paraId="48F4ED36" w14:textId="77777777" w:rsidR="00954F0C" w:rsidRPr="00A27896" w:rsidRDefault="00954F0C" w:rsidP="000D2C39">
      <w:pPr>
        <w:pStyle w:val="Bullets"/>
      </w:pPr>
      <w:r w:rsidRPr="00A27896">
        <w:t xml:space="preserve">nākotnes saistības un maksājumi saskaņā ar līgumiem un vadības lēmumiem par ilgtermiņa ieguldījumu un militāro ilgtermiņa aktīvu iegādi un izveidošanu (izņemot tos, kas noslēgti par ārvalstu finanšu palīdzības un ES politiku instrumentu finansētajiem projektiem). Nākotnes saistību vērtība noteikta par noslēgtiem līgumiem neizpildīto darījumu apjomā bilances datumā; </w:t>
      </w:r>
    </w:p>
    <w:p w14:paraId="773D0DFA" w14:textId="77777777" w:rsidR="00954F0C" w:rsidRPr="00A27896" w:rsidRDefault="00954F0C" w:rsidP="000D2C39">
      <w:pPr>
        <w:pStyle w:val="Bullets"/>
      </w:pPr>
      <w:r w:rsidRPr="00A27896">
        <w:t>nākotnes saistības un maksājumi saskaņā ar līgumiem un vadības lēmumiem par preču un pakalpojumu iegādi, izņemot tos, kas noslēgti par ārvalstu finanšu palīdzības un ES politiku instrumentu finansētajiem projektiem. Nākotnes saistības un maksājumus norāda bilances datumā iespējamo maksājumu apjomā, kas rastos, ja līgumi tiktu lauzti;</w:t>
      </w:r>
    </w:p>
    <w:p w14:paraId="7C4E1618" w14:textId="77777777" w:rsidR="00954F0C" w:rsidRPr="00A27896" w:rsidRDefault="00954F0C" w:rsidP="000D2C39">
      <w:pPr>
        <w:pStyle w:val="Bullets"/>
      </w:pPr>
      <w:r w:rsidRPr="00A27896">
        <w:t>saņemtie, bet neapmaksātie avansa attaisnojuma dokumenti, nākotnes nomas maksājumi;</w:t>
      </w:r>
    </w:p>
    <w:p w14:paraId="5AB294AC" w14:textId="77777777" w:rsidR="00954F0C" w:rsidRPr="00A27896" w:rsidRDefault="00954F0C" w:rsidP="000D2C39">
      <w:pPr>
        <w:pStyle w:val="Bullets"/>
      </w:pPr>
      <w:r w:rsidRPr="00A27896">
        <w:t>iespējamie nākotnes finanšu darījumi, izsniegtie galvojumi, valsts budžeta piešķirtie, bet vēl neizmaksātie aizdevumi, un citas zembilances saistības.</w:t>
      </w:r>
    </w:p>
    <w:p w14:paraId="0FFE715D" w14:textId="3A952A5A" w:rsidR="00954F0C" w:rsidRPr="00A27896" w:rsidRDefault="00954F0C" w:rsidP="008515BB">
      <w:pPr>
        <w:pStyle w:val="Heading3"/>
      </w:pPr>
      <w:bookmarkStart w:id="61" w:name="_Toc42846531"/>
      <w:r w:rsidRPr="00A27896">
        <w:t>Galvojumi</w:t>
      </w:r>
      <w:bookmarkEnd w:id="61"/>
    </w:p>
    <w:p w14:paraId="2F4FBF53" w14:textId="474C4868" w:rsidR="00954F0C" w:rsidRPr="00A27896" w:rsidRDefault="00954F0C" w:rsidP="00BE768C">
      <w:pPr>
        <w:pStyle w:val="Pamatteksts1"/>
      </w:pPr>
      <w:r w:rsidRPr="00A27896">
        <w:t xml:space="preserve">Zembilancē uzskaitīta </w:t>
      </w:r>
      <w:r w:rsidR="00975616" w:rsidRPr="00A27896">
        <w:t>pašvaldību</w:t>
      </w:r>
      <w:r w:rsidRPr="00A27896">
        <w:t xml:space="preserve"> un valsts budžeta sniegto galvojumu iespējamo saistību summa bilances datumā, kas būtu jāmaksā par galvoto aizņēmumu, ja galvojuma ņēmējs to neatmaksātu. </w:t>
      </w:r>
    </w:p>
    <w:p w14:paraId="216B9205" w14:textId="77777777" w:rsidR="00954F0C" w:rsidRPr="00A27896" w:rsidRDefault="00954F0C" w:rsidP="00BE768C">
      <w:pPr>
        <w:pStyle w:val="Pamatteksts1"/>
      </w:pPr>
      <w:r w:rsidRPr="00A27896">
        <w:t xml:space="preserve">Valsts budžeta sniegtos galvojumus zembilancē uzskaita atbilstoši iespējamo saistību atzīšanas kritērijiem: </w:t>
      </w:r>
    </w:p>
    <w:p w14:paraId="36CD8C81" w14:textId="77777777" w:rsidR="00954F0C" w:rsidRPr="00A27896" w:rsidRDefault="00954F0C" w:rsidP="000D2C39">
      <w:pPr>
        <w:pStyle w:val="Bullets"/>
      </w:pPr>
      <w:r w:rsidRPr="00A27896">
        <w:t>resursu izlietojuma varbūtība ir iespējama (≥5%&lt;50%);</w:t>
      </w:r>
    </w:p>
    <w:p w14:paraId="0693FDAB" w14:textId="77777777" w:rsidR="00954F0C" w:rsidRPr="00A27896" w:rsidRDefault="00954F0C" w:rsidP="000D2C39">
      <w:pPr>
        <w:pStyle w:val="Bullets"/>
      </w:pPr>
      <w:r w:rsidRPr="00A27896">
        <w:t xml:space="preserve">nav precīzi zināma vērtība vai konkrētu saistību rašanās vai segšanas datums. </w:t>
      </w:r>
    </w:p>
    <w:p w14:paraId="76774390" w14:textId="0EEDA9BD" w:rsidR="00954F0C" w:rsidRPr="00A27896" w:rsidRDefault="00954F0C" w:rsidP="00BE768C">
      <w:pPr>
        <w:pStyle w:val="Pamatteksts1"/>
      </w:pPr>
      <w:r w:rsidRPr="00A27896">
        <w:t>Valsts budžeta sniegto galvojumu iespējamo saistību vērtība atbilst iespējami precīzākajai pašreizējās vērtības aplēsei.</w:t>
      </w:r>
    </w:p>
    <w:p w14:paraId="5867DF3A" w14:textId="77777777" w:rsidR="00954F0C" w:rsidRPr="00A27896" w:rsidRDefault="00954F0C" w:rsidP="008515BB">
      <w:pPr>
        <w:pStyle w:val="Heading3"/>
      </w:pPr>
      <w:bookmarkStart w:id="62" w:name="_Toc42846532"/>
      <w:r w:rsidRPr="00A27896">
        <w:t>Ieņēmumi un izdevumi</w:t>
      </w:r>
      <w:bookmarkEnd w:id="62"/>
    </w:p>
    <w:p w14:paraId="23EB8DE9" w14:textId="011FF8D8" w:rsidR="00954F0C" w:rsidRPr="00A27896" w:rsidRDefault="00954F0C" w:rsidP="00BE768C">
      <w:pPr>
        <w:pStyle w:val="Pamatteksts1"/>
      </w:pPr>
      <w:r w:rsidRPr="00A27896">
        <w:t>Ieņēmumus un izdevumus, kas radušies iestādes darbības rezultātā,</w:t>
      </w:r>
      <w:r w:rsidR="004B7690" w:rsidRPr="00A27896">
        <w:t xml:space="preserve"> kā </w:t>
      </w:r>
      <w:r w:rsidR="007D5CA7" w:rsidRPr="00A27896">
        <w:t xml:space="preserve">arī </w:t>
      </w:r>
      <w:r w:rsidR="00CF0CED">
        <w:t xml:space="preserve">nekustamā īpašuma nodokļa ieņēmumus un </w:t>
      </w:r>
      <w:r w:rsidR="006B4511" w:rsidRPr="00A27896">
        <w:t>VID</w:t>
      </w:r>
      <w:r w:rsidR="004B7690" w:rsidRPr="00A27896">
        <w:t xml:space="preserve"> administrētos valsts budžeta ieņēmumus </w:t>
      </w:r>
      <w:r w:rsidRPr="00A27896">
        <w:t>atzīst saskaņā ar uzkrāšanas principu periodā, kad tie radušies, neatkarīgi no naudas saņemšanas vai samaksas, izņemot atsevišķus ieņēmumus un izdevumus, kurus uzskaita saskaņā ar naudas plūsmas principu</w:t>
      </w:r>
      <w:r w:rsidR="005844BA" w:rsidRPr="00A27896">
        <w:t>:</w:t>
      </w:r>
    </w:p>
    <w:p w14:paraId="40B15011" w14:textId="77957905" w:rsidR="005844BA" w:rsidRPr="00A27896" w:rsidRDefault="005844BA" w:rsidP="000D2C39">
      <w:pPr>
        <w:pStyle w:val="Bullets"/>
      </w:pPr>
      <w:r w:rsidRPr="00A27896">
        <w:t>valsts akciju sabiedrības “Ceļu satiksmes drošības direkcija” administrēto nodokļu un nodevu ieņēmumi;</w:t>
      </w:r>
    </w:p>
    <w:p w14:paraId="7DD38027" w14:textId="768249D9" w:rsidR="005844BA" w:rsidRPr="00A27896" w:rsidRDefault="005844BA" w:rsidP="000D2C39">
      <w:pPr>
        <w:pStyle w:val="Bullets"/>
      </w:pPr>
      <w:r w:rsidRPr="00A27896">
        <w:t>valsts un pašvaldību administrēto nodevu ieņēmum</w:t>
      </w:r>
      <w:r w:rsidR="009A2A25">
        <w:t>i</w:t>
      </w:r>
      <w:r w:rsidRPr="00A27896">
        <w:t xml:space="preserve"> un valsts budžet</w:t>
      </w:r>
      <w:r w:rsidR="00943D81">
        <w:t>a</w:t>
      </w:r>
      <w:r w:rsidRPr="00A27896">
        <w:t xml:space="preserve"> ieņēmumi</w:t>
      </w:r>
      <w:r w:rsidR="00943D81">
        <w:t xml:space="preserve"> no naudas sodiem</w:t>
      </w:r>
      <w:r w:rsidRPr="00A27896">
        <w:t>.</w:t>
      </w:r>
    </w:p>
    <w:p w14:paraId="1EAFF552" w14:textId="77777777" w:rsidR="00954F0C" w:rsidRDefault="00954F0C" w:rsidP="00BE768C">
      <w:pPr>
        <w:pStyle w:val="Pamatteksts1"/>
      </w:pPr>
      <w:r w:rsidRPr="00A27896">
        <w:t>Ieņēmumu un izdevumu klasificēšanā piemēro Ministru kabineta 2005. gada 27. decembra noteikumus Nr. 1032 “Noteikumi par budžetu ieņēmumu klasifikāciju” un Nr. 1031 “Noteikumi par budžetu izdevumu klasifikāciju atbilstoši ekonomiskajām kategorijām”.</w:t>
      </w:r>
    </w:p>
    <w:p w14:paraId="5C1A3956" w14:textId="0F463E7B" w:rsidR="006F27B1" w:rsidRPr="00A27896" w:rsidRDefault="006F27B1" w:rsidP="00BE768C">
      <w:pPr>
        <w:pStyle w:val="Pamatteksts1"/>
      </w:pPr>
      <w:r>
        <w:t xml:space="preserve">Ieņēmumus no nekustamā īpašuma nodokļa atzīst </w:t>
      </w:r>
      <w:r w:rsidR="00517CB4" w:rsidRPr="00517CB4">
        <w:t>pārskata periodā, kurā veikts nodokļa aprēķins par pārskata periodu un par iepriekšējiem pārskata periodiem saskaņā ar normatīvajiem aktiem nekustamā īpašuma nodokļa jomā</w:t>
      </w:r>
      <w:r>
        <w:t>.</w:t>
      </w:r>
    </w:p>
    <w:p w14:paraId="5F62FDD0" w14:textId="09F80AAB" w:rsidR="00954F0C" w:rsidRDefault="006B4511" w:rsidP="00BE768C">
      <w:pPr>
        <w:pStyle w:val="Pamatteksts1"/>
      </w:pPr>
      <w:r w:rsidRPr="00A27896">
        <w:t>VID</w:t>
      </w:r>
      <w:r w:rsidR="004B7690" w:rsidRPr="00A27896">
        <w:t xml:space="preserve"> administrēto n</w:t>
      </w:r>
      <w:r w:rsidR="00954F0C" w:rsidRPr="00A27896">
        <w:t xml:space="preserve">odokļu ieņēmumus atzīst </w:t>
      </w:r>
      <w:r w:rsidR="004B7690" w:rsidRPr="00A27896">
        <w:t>saskaņā ar uzkrāšanas principu pārskata periodā, kurā noticis apliekamais notikums.</w:t>
      </w:r>
      <w:r w:rsidR="00954F0C" w:rsidRPr="00A27896">
        <w:t xml:space="preserve">  </w:t>
      </w:r>
    </w:p>
    <w:p w14:paraId="258F9363" w14:textId="1184745E" w:rsidR="008D6534" w:rsidRPr="00A27896" w:rsidRDefault="008D6534" w:rsidP="00BE768C">
      <w:pPr>
        <w:pStyle w:val="Pamatteksts1"/>
      </w:pPr>
      <w:proofErr w:type="spellStart"/>
      <w:r w:rsidRPr="008D6534">
        <w:lastRenderedPageBreak/>
        <w:t>Nenodokļu</w:t>
      </w:r>
      <w:proofErr w:type="spellEnd"/>
      <w:r w:rsidRPr="008D6534">
        <w:t xml:space="preserve"> ieņēmumus, kas saņemti valsts budžeta maksājumus administrējošās institūcijas kontā, atzīst saistībās pret maksātāju. Pēc to atpazīšanas par valsts budžetam piekritīgiem ieņēmumiem veic pārskaitījumu valsts pamatbudžeta kontā vai pārmaksātās, kļūdaini saņemtās un neatpazītās summas atmaksā iemaksu veicējam un atzīst saistību samazinājumu. Saņemot </w:t>
      </w:r>
      <w:proofErr w:type="spellStart"/>
      <w:r w:rsidRPr="008D6534">
        <w:t>nenodokļu</w:t>
      </w:r>
      <w:proofErr w:type="spellEnd"/>
      <w:r w:rsidRPr="008D6534">
        <w:t xml:space="preserve"> ieņēmumu maksājumus no valsts budžeta maksājumus administrējošās institūcijas valsts pamatbudžeta kontā, Valsts kase atzīst </w:t>
      </w:r>
      <w:proofErr w:type="spellStart"/>
      <w:r w:rsidRPr="008D6534">
        <w:t>nenodokļu</w:t>
      </w:r>
      <w:proofErr w:type="spellEnd"/>
      <w:r w:rsidRPr="008D6534">
        <w:t xml:space="preserve"> ieņēmumus.</w:t>
      </w:r>
    </w:p>
    <w:p w14:paraId="73B00926" w14:textId="0BBDE556" w:rsidR="00954F0C" w:rsidRPr="00A27896" w:rsidRDefault="00954F0C" w:rsidP="00BE768C">
      <w:pPr>
        <w:pStyle w:val="Pamatteksts1"/>
        <w:rPr>
          <w:szCs w:val="24"/>
        </w:rPr>
      </w:pPr>
      <w:proofErr w:type="spellStart"/>
      <w:r w:rsidRPr="00A27896">
        <w:rPr>
          <w:szCs w:val="24"/>
        </w:rPr>
        <w:t>Nenodokļu</w:t>
      </w:r>
      <w:proofErr w:type="spellEnd"/>
      <w:r w:rsidRPr="00A27896">
        <w:rPr>
          <w:szCs w:val="24"/>
        </w:rPr>
        <w:t xml:space="preserve"> ieņēmumus – valsts nodevas, soda naudu, līgumsodu un nokavējuma naudas ieņēmumus</w:t>
      </w:r>
      <w:r w:rsidR="009A2A25">
        <w:rPr>
          <w:szCs w:val="24"/>
        </w:rPr>
        <w:t xml:space="preserve"> </w:t>
      </w:r>
      <w:r w:rsidRPr="00A27896">
        <w:rPr>
          <w:szCs w:val="24"/>
        </w:rPr>
        <w:t>– atzīst saskaņā ar naudas plūsmas principu</w:t>
      </w:r>
      <w:r w:rsidR="004B7690" w:rsidRPr="00A27896">
        <w:rPr>
          <w:szCs w:val="24"/>
        </w:rPr>
        <w:t xml:space="preserve">, izņemot </w:t>
      </w:r>
      <w:r w:rsidR="006B4511" w:rsidRPr="00A27896">
        <w:t>VID</w:t>
      </w:r>
      <w:r w:rsidR="004B7690" w:rsidRPr="00A27896">
        <w:t xml:space="preserve"> administrēto nodevu un citu maksājumu valsts budžetā ieņēmumus, kurus atzīst dienā, kad to saņemšana ir droši ticama</w:t>
      </w:r>
      <w:r w:rsidRPr="00A27896">
        <w:rPr>
          <w:szCs w:val="24"/>
        </w:rPr>
        <w:t xml:space="preserve">. </w:t>
      </w:r>
      <w:r w:rsidR="006B4511" w:rsidRPr="00A27896">
        <w:rPr>
          <w:szCs w:val="24"/>
        </w:rPr>
        <w:t xml:space="preserve">Detalizēta valsts budžeta ieņēmumu atzīšanas kārtība noteikta VID iekšējos normatīvos aktos un </w:t>
      </w:r>
      <w:r w:rsidR="00281811" w:rsidRPr="00A27896">
        <w:rPr>
          <w:szCs w:val="24"/>
        </w:rPr>
        <w:t>VID ikgadējā pārskata pielikumā “Grāmatvedības uzskaites principu apraksts”.</w:t>
      </w:r>
    </w:p>
    <w:p w14:paraId="6D3918E3" w14:textId="13B0B625" w:rsidR="00281811" w:rsidRPr="00A27896" w:rsidRDefault="00281811" w:rsidP="00BE768C">
      <w:pPr>
        <w:pStyle w:val="Pamatteksts1"/>
        <w:rPr>
          <w:szCs w:val="24"/>
        </w:rPr>
      </w:pPr>
      <w:r w:rsidRPr="00A27896">
        <w:rPr>
          <w:szCs w:val="24"/>
        </w:rPr>
        <w:t>Pārskata gada beigās nodokļu un nodevu ieņēmumi, par kuriem normatīvos aktos noteiktajā kārtībā veicami maksājumi valsts budžetā izmantojot tiešsaistes maksājumu pakalpojumus, atzīti par saņemtiem valsts budžetā pārskata gadā, bet valsts budžeta kontā Valsts kasē ieskaitīti nākamajā pārskata gadā.</w:t>
      </w:r>
    </w:p>
    <w:p w14:paraId="773113DE" w14:textId="77777777" w:rsidR="00954F0C" w:rsidRPr="00A27896" w:rsidRDefault="00954F0C" w:rsidP="00BE768C">
      <w:pPr>
        <w:pStyle w:val="Pamatteksts1"/>
        <w:rPr>
          <w:szCs w:val="24"/>
          <w:highlight w:val="cyan"/>
        </w:rPr>
      </w:pPr>
      <w:r w:rsidRPr="00A27896">
        <w:rPr>
          <w:szCs w:val="24"/>
        </w:rPr>
        <w:t>Maksas pakalpojumus un citus pašu ieņēmumus – ieņēmumus par izglītības pakalpojumiem, ieņēmumus no lauksaimnieciskās darbības, ieņēmumus par dokumentu izsniegšanu un kancelejas pakalpojumiem, ieņēmumus par nomu un īri, maksu par personu uzturēšanos sociālās aprūpes iestādēs, ieņēmumus par dzīvokļu un komunālajiem pakalpojumiem, atlīdzību no apdrošināšanas sabiedrībām par bojātu nekustamo īpašumu un kustamo mantu un citus budžeta iestāžu pašu ieņēmumus – atzīst atbilstoši uzkrāšanas principam.</w:t>
      </w:r>
      <w:r w:rsidRPr="00A27896">
        <w:t xml:space="preserve"> </w:t>
      </w:r>
      <w:r w:rsidRPr="00A27896">
        <w:rPr>
          <w:szCs w:val="24"/>
        </w:rPr>
        <w:t>Saņemtos avansus par pakalpojumiem un precēm atzīst ieņēmumos dienā, kad ir sniegts pakalpojums vai piegādātas darījumā paredzētās preces. Ja pakalpojuma sniegšana pārskata perioda beigās nav pabeigta, ieņēmumus atzīst atbilstoši darījuma izpildes pakāpei pārskata perioda beigās.</w:t>
      </w:r>
    </w:p>
    <w:p w14:paraId="310CB615" w14:textId="057F05C1" w:rsidR="005B7D42" w:rsidRPr="00A27896" w:rsidRDefault="00954F0C" w:rsidP="00BE768C">
      <w:pPr>
        <w:pStyle w:val="Pamatteksts1"/>
        <w:rPr>
          <w:szCs w:val="24"/>
        </w:rPr>
      </w:pPr>
      <w:r w:rsidRPr="00A27896">
        <w:rPr>
          <w:szCs w:val="24"/>
        </w:rPr>
        <w:t xml:space="preserve">Ārvalstu finanšu palīdzības līdzekļus, kuri veido ārvalstu finanšu palīdzību valsts budžetam, uzskaita Valsts kase kā maksājumu iestāde. Saņemtos līdzekļus atzīst </w:t>
      </w:r>
      <w:r w:rsidR="00834DA1" w:rsidRPr="00A27896">
        <w:rPr>
          <w:szCs w:val="24"/>
        </w:rPr>
        <w:t>nākamo period</w:t>
      </w:r>
      <w:r w:rsidR="00ED32DB" w:rsidRPr="00A27896">
        <w:rPr>
          <w:szCs w:val="24"/>
        </w:rPr>
        <w:t>u</w:t>
      </w:r>
      <w:r w:rsidR="00834DA1" w:rsidRPr="00A27896">
        <w:rPr>
          <w:szCs w:val="24"/>
        </w:rPr>
        <w:t xml:space="preserve"> ieņēmumu sastāvā </w:t>
      </w:r>
      <w:r w:rsidRPr="00A27896">
        <w:rPr>
          <w:szCs w:val="24"/>
        </w:rPr>
        <w:t>kā saistības pret ES politiku instrumentu vai citiem ārvalstu finanšu palīdzības fondiem. Pārskata perioda ieņēmumus atzīst vienlaikus ar izdevumiem, norakstot saistības pret ES politiku instrumentu vai citiem ārvalstu finanšu palīdzības fondiem</w:t>
      </w:r>
    </w:p>
    <w:p w14:paraId="45E6B041" w14:textId="5BABECF2" w:rsidR="005B7D42" w:rsidRPr="00A27896" w:rsidRDefault="005B7D42" w:rsidP="00BE768C">
      <w:pPr>
        <w:pStyle w:val="Pamatteksts1"/>
        <w:rPr>
          <w:szCs w:val="24"/>
        </w:rPr>
      </w:pPr>
      <w:r w:rsidRPr="008D6534">
        <w:rPr>
          <w:szCs w:val="24"/>
        </w:rPr>
        <w:t>E</w:t>
      </w:r>
      <w:r w:rsidR="00460497" w:rsidRPr="008D6534">
        <w:rPr>
          <w:szCs w:val="24"/>
        </w:rPr>
        <w:t>S</w:t>
      </w:r>
      <w:r w:rsidRPr="008D6534">
        <w:rPr>
          <w:szCs w:val="24"/>
        </w:rPr>
        <w:t xml:space="preserve"> budžeta programmas Eiropas Atveseļošanas un noturības mehānisma īstenošanai, lai veicinātu E</w:t>
      </w:r>
      <w:r w:rsidR="00460497" w:rsidRPr="008D6534">
        <w:rPr>
          <w:szCs w:val="24"/>
        </w:rPr>
        <w:t xml:space="preserve">S </w:t>
      </w:r>
      <w:r w:rsidRPr="008D6534">
        <w:rPr>
          <w:szCs w:val="24"/>
        </w:rPr>
        <w:t xml:space="preserve">ekonomisko, sociālo un teritoriālo kohēziju, stiprinot dalībvalstu noturības un pielāgošanās spējas nolūkā mazināt </w:t>
      </w:r>
      <w:r w:rsidR="003F12DE" w:rsidRPr="008D6534">
        <w:rPr>
          <w:szCs w:val="24"/>
        </w:rPr>
        <w:t>Covid–19</w:t>
      </w:r>
      <w:r w:rsidRPr="008D6534">
        <w:rPr>
          <w:szCs w:val="24"/>
        </w:rPr>
        <w:t xml:space="preserve"> krīzes radīto sociālo un ekonomisko ietekmi, un atbalstītu pāreju uz zaļo un digitālo ekonomiku, veicinātu ES ekonomikas izaugsmes potenciālu un darba vietu radīšanu, kā arī ES</w:t>
      </w:r>
      <w:r w:rsidR="00460497" w:rsidRPr="008D6534">
        <w:rPr>
          <w:szCs w:val="24"/>
        </w:rPr>
        <w:t xml:space="preserve"> </w:t>
      </w:r>
      <w:r w:rsidRPr="008D6534">
        <w:rPr>
          <w:szCs w:val="24"/>
        </w:rPr>
        <w:t>2030.</w:t>
      </w:r>
      <w:r w:rsidR="00245866" w:rsidRPr="008D6534">
        <w:rPr>
          <w:szCs w:val="24"/>
        </w:rPr>
        <w:t> </w:t>
      </w:r>
      <w:r w:rsidRPr="008D6534">
        <w:rPr>
          <w:szCs w:val="24"/>
        </w:rPr>
        <w:t>gadam izvirzīto kli</w:t>
      </w:r>
      <w:r w:rsidR="00A9006C" w:rsidRPr="008D6534">
        <w:rPr>
          <w:szCs w:val="24"/>
        </w:rPr>
        <w:t>mata mērķu sasniegšanu un 2050. </w:t>
      </w:r>
      <w:r w:rsidRPr="008D6534">
        <w:rPr>
          <w:szCs w:val="24"/>
        </w:rPr>
        <w:t xml:space="preserve">gadam izvirzīto klimata neitralitātes mērķu sasniegšanai Latvijai piešķirot finansējumu gan </w:t>
      </w:r>
      <w:proofErr w:type="spellStart"/>
      <w:r w:rsidRPr="008D6534">
        <w:rPr>
          <w:szCs w:val="24"/>
        </w:rPr>
        <w:t>grantu</w:t>
      </w:r>
      <w:proofErr w:type="spellEnd"/>
      <w:r w:rsidRPr="008D6534">
        <w:rPr>
          <w:szCs w:val="24"/>
        </w:rPr>
        <w:t>, gan aizdevumu veidā.</w:t>
      </w:r>
    </w:p>
    <w:p w14:paraId="30D42269" w14:textId="6EA87BA1" w:rsidR="00954F0C" w:rsidRPr="00A27896" w:rsidRDefault="005B7D42" w:rsidP="00BE768C">
      <w:pPr>
        <w:pStyle w:val="Pamatteksts1"/>
        <w:rPr>
          <w:szCs w:val="24"/>
        </w:rPr>
      </w:pPr>
      <w:r w:rsidRPr="00A27896">
        <w:rPr>
          <w:szCs w:val="24"/>
        </w:rPr>
        <w:t xml:space="preserve">Valsts kase </w:t>
      </w:r>
      <w:r w:rsidR="007D4F66" w:rsidRPr="00A27896">
        <w:rPr>
          <w:szCs w:val="24"/>
        </w:rPr>
        <w:t>E</w:t>
      </w:r>
      <w:r w:rsidR="007D4F66" w:rsidRPr="00A27896">
        <w:t>iropas Atveseļošanas un noturības mehānisma finanšu līdzekļu ietvaros saņemto finans</w:t>
      </w:r>
      <w:r w:rsidR="000851EE" w:rsidRPr="00A27896">
        <w:t xml:space="preserve">ējumu </w:t>
      </w:r>
      <w:r w:rsidR="00F22355" w:rsidRPr="00A27896">
        <w:t>saņemšanas dienā</w:t>
      </w:r>
      <w:r w:rsidR="007D4F66" w:rsidRPr="00A27896">
        <w:t xml:space="preserve"> atz</w:t>
      </w:r>
      <w:r w:rsidR="00322DAE" w:rsidRPr="00A27896">
        <w:t>īs</w:t>
      </w:r>
      <w:r w:rsidR="00130909" w:rsidRPr="00A27896">
        <w:t>t</w:t>
      </w:r>
      <w:r w:rsidR="000851EE" w:rsidRPr="00A27896">
        <w:t xml:space="preserve"> </w:t>
      </w:r>
      <w:r w:rsidR="007D4F66" w:rsidRPr="00A27896">
        <w:t>valsts budžeta ieņēmumos.</w:t>
      </w:r>
    </w:p>
    <w:p w14:paraId="5538EC3C" w14:textId="03300574" w:rsidR="00954F0C" w:rsidRPr="00A27896" w:rsidRDefault="00954F0C" w:rsidP="00BE768C">
      <w:pPr>
        <w:pStyle w:val="Pamatteksts1"/>
        <w:rPr>
          <w:szCs w:val="24"/>
        </w:rPr>
      </w:pPr>
      <w:r w:rsidRPr="00A27896">
        <w:rPr>
          <w:szCs w:val="24"/>
        </w:rPr>
        <w:t>Ieņēmumus no ārvalstu finanšu palīdzības, ko budžeta iestādes saņēmušas no darījuma partnera</w:t>
      </w:r>
      <w:r w:rsidR="00640256" w:rsidRPr="00A27896">
        <w:rPr>
          <w:szCs w:val="24"/>
        </w:rPr>
        <w:t xml:space="preserve"> </w:t>
      </w:r>
      <w:r w:rsidRPr="00A27896">
        <w:rPr>
          <w:szCs w:val="24"/>
        </w:rPr>
        <w:t xml:space="preserve">– nerezidenta, atzīst saskaņā ar uzkrāšanas principu pārskata periodā, kurā izpildīti ar šo līdzekļu saņemšanu saistītajos tiesību aktos minētie nosacījumi to izlietošanai. </w:t>
      </w:r>
    </w:p>
    <w:p w14:paraId="03CBAEB0" w14:textId="77777777" w:rsidR="00954F0C" w:rsidRPr="00A27896" w:rsidRDefault="00954F0C" w:rsidP="00BE768C">
      <w:pPr>
        <w:pStyle w:val="Pamatteksts1"/>
        <w:rPr>
          <w:szCs w:val="24"/>
        </w:rPr>
      </w:pPr>
      <w:r w:rsidRPr="00A27896">
        <w:rPr>
          <w:szCs w:val="24"/>
        </w:rPr>
        <w:t xml:space="preserve">Budžeta iestādes </w:t>
      </w:r>
      <w:proofErr w:type="spellStart"/>
      <w:r w:rsidRPr="00A27896">
        <w:rPr>
          <w:szCs w:val="24"/>
        </w:rPr>
        <w:t>transfertu</w:t>
      </w:r>
      <w:proofErr w:type="spellEnd"/>
      <w:r w:rsidRPr="00A27896">
        <w:rPr>
          <w:szCs w:val="24"/>
        </w:rPr>
        <w:t xml:space="preserve"> ieņēmumus uzskaita saskaņā ar uzkrāšanas principu, atbilstoši saņemtam apstiprinājumam no citas budžeta iestādes par attaisnotiem (atzītiem) izdevumiem, atzīstot ieņēmumus un prasības pret budžeta iestādi vai samazinot avansā saņemtos </w:t>
      </w:r>
      <w:proofErr w:type="spellStart"/>
      <w:r w:rsidRPr="00A27896">
        <w:rPr>
          <w:szCs w:val="24"/>
        </w:rPr>
        <w:t>transfertus</w:t>
      </w:r>
      <w:proofErr w:type="spellEnd"/>
      <w:r w:rsidRPr="00A27896">
        <w:rPr>
          <w:szCs w:val="24"/>
        </w:rPr>
        <w:t xml:space="preserve"> (saistības). </w:t>
      </w:r>
      <w:proofErr w:type="spellStart"/>
      <w:r w:rsidRPr="00A27896">
        <w:rPr>
          <w:szCs w:val="24"/>
        </w:rPr>
        <w:t>Transfertu</w:t>
      </w:r>
      <w:proofErr w:type="spellEnd"/>
      <w:r w:rsidRPr="00A27896">
        <w:rPr>
          <w:szCs w:val="24"/>
        </w:rPr>
        <w:t xml:space="preserve"> ieņēmumos iestādes atzīst arī bez atlīdzības saņemtos aktīvus vai nodotos pasīvus starp vispārējās valdības sektora struktūrām, izņemot valsts vai pašvaldību kontrolētus un finansētus komersantus, ostu un brīvostu pārvaldes, vispārējā valdības sektora sarakstā pie valsts vai pašvaldību struktūrām ietvertās speciālās ekonomiskās zonas.</w:t>
      </w:r>
    </w:p>
    <w:p w14:paraId="37F95733" w14:textId="77777777" w:rsidR="00954F0C" w:rsidRPr="00A27896" w:rsidRDefault="00954F0C" w:rsidP="00BE768C">
      <w:pPr>
        <w:pStyle w:val="Pamatteksts1"/>
        <w:rPr>
          <w:szCs w:val="24"/>
        </w:rPr>
      </w:pPr>
      <w:r w:rsidRPr="00A27896">
        <w:rPr>
          <w:szCs w:val="24"/>
        </w:rPr>
        <w:lastRenderedPageBreak/>
        <w:t>Ziedojumus un dāvinājumus uzskaita attiecīgajā aktīvu grupā, atzīstot pārskata perioda ieņēmumus vai nākamo periodu ieņēmumus dāvinājumu un ziedojumu novērtētajā vērtībā. Nākamo periodu ieņēmumos uzskaitītos ziedojumus un dāvinājumus pārskata perioda ieņēmumos atzīst saskaņā ar uzkrāšanas principu pārskata periodā, kurā izpildīti ar šo līdzekļu saņemšanu saistītajos tiesību aktos minētie nosacījumi to izlietošanai.</w:t>
      </w:r>
    </w:p>
    <w:p w14:paraId="73932162" w14:textId="77777777" w:rsidR="00954F0C" w:rsidRPr="00A27896" w:rsidRDefault="00954F0C" w:rsidP="00BE768C">
      <w:pPr>
        <w:pStyle w:val="Pamatteksts1"/>
        <w:rPr>
          <w:szCs w:val="24"/>
        </w:rPr>
      </w:pPr>
      <w:r w:rsidRPr="00A27896">
        <w:rPr>
          <w:szCs w:val="24"/>
        </w:rPr>
        <w:t xml:space="preserve">Dotāciju no vispārējiem ieņēmumiem atzīst pamatbudžeta ieņēmumos dotācijas saņemšanas dienā un gada beigās samazina par slēgtajiem valsts pamatbudžeta asignējumiem. </w:t>
      </w:r>
    </w:p>
    <w:p w14:paraId="6E748EFB" w14:textId="77777777" w:rsidR="00954F0C" w:rsidRPr="00A27896" w:rsidRDefault="00954F0C" w:rsidP="00BE768C">
      <w:pPr>
        <w:pStyle w:val="Pamatteksts1"/>
        <w:rPr>
          <w:szCs w:val="24"/>
        </w:rPr>
      </w:pPr>
      <w:r w:rsidRPr="00A27896">
        <w:rPr>
          <w:szCs w:val="24"/>
        </w:rPr>
        <w:t>Procentu ieņēmumus uzskaita saskaņā ar uzkrāšanas principu un tos veido ieņēmumi par kontu atlikumiem un naudas līdzekļu ekvivalentiem, kuri noguldīti uz konkrētu termiņu un kuru sākotnējais termiņš nepārsniedz 90 dienas, kā arī procentu ieņēmumus no finanšu instrumentiem, izņemot patiesajā vērtībā novērtētu finanšu aktīvu un finanšu saistību finanšu instrumentu kategorijās klasificētos finanšu aktīvus un finanšu saistības, un citi procentu ieņēmumi.</w:t>
      </w:r>
    </w:p>
    <w:p w14:paraId="089E200F" w14:textId="77777777" w:rsidR="00954F0C" w:rsidRPr="00A27896" w:rsidRDefault="00954F0C" w:rsidP="00BE768C">
      <w:pPr>
        <w:pStyle w:val="Pamatteksts1"/>
        <w:rPr>
          <w:szCs w:val="24"/>
        </w:rPr>
      </w:pPr>
      <w:r w:rsidRPr="00A27896">
        <w:rPr>
          <w:szCs w:val="24"/>
        </w:rPr>
        <w:t xml:space="preserve">Pārējos ieņēmumus, kas rodas no </w:t>
      </w:r>
      <w:proofErr w:type="spellStart"/>
      <w:r w:rsidRPr="00A27896">
        <w:rPr>
          <w:szCs w:val="24"/>
        </w:rPr>
        <w:t>nefinanšu</w:t>
      </w:r>
      <w:proofErr w:type="spellEnd"/>
      <w:r w:rsidRPr="00A27896">
        <w:rPr>
          <w:szCs w:val="24"/>
        </w:rPr>
        <w:t xml:space="preserve"> aktīvu (nemateriālo ieguldījumu, pamatlīdzekļu, ieguldījumu īpašumu, bioloģisko aktīvu, krājumu) sākotnējās atzīšanas, inventarizācijā konstatētā pārpalikuma, saistību dzēšanas, vērtības samazinājuma norakstīšanas prasībām, avansa maksājumiem un finanšu instrumentiem, rezervju izslēgšanas un citiem </w:t>
      </w:r>
      <w:proofErr w:type="spellStart"/>
      <w:r w:rsidRPr="00A27896">
        <w:rPr>
          <w:szCs w:val="24"/>
        </w:rPr>
        <w:t>nenaudas</w:t>
      </w:r>
      <w:proofErr w:type="spellEnd"/>
      <w:r w:rsidRPr="00A27896">
        <w:rPr>
          <w:szCs w:val="24"/>
        </w:rPr>
        <w:t xml:space="preserve"> darījumiem, uzskaita saskaņā ar uzkrāšanas principu.</w:t>
      </w:r>
    </w:p>
    <w:p w14:paraId="35409014" w14:textId="77777777" w:rsidR="00954F0C" w:rsidRPr="00A27896" w:rsidRDefault="00954F0C" w:rsidP="00BE768C">
      <w:pPr>
        <w:pStyle w:val="Pamatteksts1"/>
        <w:rPr>
          <w:szCs w:val="24"/>
        </w:rPr>
      </w:pPr>
      <w:r w:rsidRPr="00A27896">
        <w:rPr>
          <w:szCs w:val="24"/>
        </w:rPr>
        <w:t>Izdevumus atalgojumam, darba devēju sociālās apdrošināšanas iemaksām, pabalstiem un kompensācijām, mācību, darba un dienesta komandējumiem, darba braucieniem, pakalpojumiem, krājumiem, materiāliem, energoresursiem, biroja precēm un inventāram, periodikai, nodokļu, nodevu un naudas sodu maksājumiem, subsīdijām, dotācijām un sociāliem pabalstiem, kārtējiem maksājumiem ES budžetā un starptautiskai sadarbībai uzskaita saskaņā ar uzkrāšanas principu.</w:t>
      </w:r>
    </w:p>
    <w:p w14:paraId="08E424B0" w14:textId="77777777" w:rsidR="00954F0C" w:rsidRPr="00A27896" w:rsidRDefault="00954F0C" w:rsidP="00BE768C">
      <w:pPr>
        <w:pStyle w:val="Pamatteksts1"/>
        <w:rPr>
          <w:szCs w:val="24"/>
        </w:rPr>
      </w:pPr>
      <w:r w:rsidRPr="00A27896">
        <w:rPr>
          <w:szCs w:val="24"/>
        </w:rPr>
        <w:t>Maksājamie līgumsodi un naudas sodi uzskaitīti budžeta iestāžu pamatdarbības izdevumos dienā, kad darījuma partnerim radušās likumīgas tiesības iekasēt līgumsodu un naudas sodu.</w:t>
      </w:r>
    </w:p>
    <w:p w14:paraId="33602A1D" w14:textId="77777777" w:rsidR="00954F0C" w:rsidRPr="00A27896" w:rsidRDefault="00954F0C" w:rsidP="00BE768C">
      <w:pPr>
        <w:pStyle w:val="Pamatteksts1"/>
        <w:rPr>
          <w:szCs w:val="24"/>
        </w:rPr>
      </w:pPr>
      <w:r w:rsidRPr="00A27896">
        <w:rPr>
          <w:szCs w:val="24"/>
        </w:rPr>
        <w:t xml:space="preserve">Budžeta iestādes </w:t>
      </w:r>
      <w:proofErr w:type="spellStart"/>
      <w:r w:rsidRPr="00A27896">
        <w:rPr>
          <w:szCs w:val="24"/>
        </w:rPr>
        <w:t>transfertu</w:t>
      </w:r>
      <w:proofErr w:type="spellEnd"/>
      <w:r w:rsidRPr="00A27896">
        <w:rPr>
          <w:szCs w:val="24"/>
        </w:rPr>
        <w:t xml:space="preserve"> izdevumus uzskaita saskaņā ar uzkrāšanas principu, apstiprinot citas budžeta iestādes iesniegto dokumentu, kas apliecina izdevumu rašanos, un atzīst saistības pret attiecīgo iestādi vai samazina avansa maksājumu (prasības). </w:t>
      </w:r>
      <w:proofErr w:type="spellStart"/>
      <w:r w:rsidRPr="00A27896">
        <w:rPr>
          <w:szCs w:val="24"/>
        </w:rPr>
        <w:t>Transfertu</w:t>
      </w:r>
      <w:proofErr w:type="spellEnd"/>
      <w:r w:rsidRPr="00A27896">
        <w:rPr>
          <w:szCs w:val="24"/>
        </w:rPr>
        <w:t xml:space="preserve"> izdevumos iestādes atzīst arī bez atlīdzības nodotos aktīvus vai saņemtos pasīvus starp vispārējās valdības sektora struktūrām, izņemot valsts vai pašvaldību kontrolētus un finansētus komersantus, ostu un brīvostu pārvaldes, vispārējā valdības sektora sarakstā pie valsts vai pašvaldību struktūrām ietvertās speciālās ekonomiskās zonas.</w:t>
      </w:r>
    </w:p>
    <w:p w14:paraId="0B3C5A87" w14:textId="77777777" w:rsidR="00954F0C" w:rsidRPr="00A27896" w:rsidRDefault="00954F0C" w:rsidP="00BE768C">
      <w:pPr>
        <w:pStyle w:val="Pamatteksts1"/>
        <w:rPr>
          <w:szCs w:val="24"/>
        </w:rPr>
      </w:pPr>
      <w:r w:rsidRPr="00A27896">
        <w:rPr>
          <w:szCs w:val="24"/>
        </w:rPr>
        <w:t>Procentu izdevumus uzskaita saskaņā ar uzkrāšanas principu un tos veido izdevumi par kontu atlikumiem un naudas līdzekļu ekvivalentiem, izdevumiem par privātā partnera nodrošinātajiem pakalpojumiem, izdevumus no finanšu instrumentiem, izņemot patiesajā vērtībā novērtētu finanšu aktīvu un finanšu saistību finanšu instrumentu kategorijās klasificētos finanšu aktīvus un finanšu saistības un citi procentu izdevumi.</w:t>
      </w:r>
    </w:p>
    <w:p w14:paraId="44CDB4F7" w14:textId="1689AE47" w:rsidR="004C46B4" w:rsidRPr="00A27896" w:rsidRDefault="00954F0C" w:rsidP="00BE768C">
      <w:pPr>
        <w:pStyle w:val="Pamatteksts1"/>
        <w:rPr>
          <w:rFonts w:eastAsiaTheme="majorEastAsia"/>
          <w:b/>
          <w:bCs/>
          <w:szCs w:val="26"/>
          <w:u w:val="single"/>
        </w:rPr>
      </w:pPr>
      <w:r w:rsidRPr="00A27896">
        <w:rPr>
          <w:szCs w:val="24"/>
        </w:rPr>
        <w:t xml:space="preserve">Pārējos izdevumus, kas rodas no </w:t>
      </w:r>
      <w:proofErr w:type="spellStart"/>
      <w:r w:rsidRPr="00A27896">
        <w:rPr>
          <w:szCs w:val="24"/>
        </w:rPr>
        <w:t>nefinanšu</w:t>
      </w:r>
      <w:proofErr w:type="spellEnd"/>
      <w:r w:rsidRPr="00A27896">
        <w:rPr>
          <w:szCs w:val="24"/>
        </w:rPr>
        <w:t xml:space="preserve"> aktīvu (nemateriālo ieguldījumu, pamatlīdzekļu, ieguldījumu īpašumu bioloģisko aktīvu, krājumu) vērtības norakstīšanas, aktīvu izslēgšanas no uzskaites, inventarizācijās konstatētiem iztrūkumiem, vērtības samazinājuma atzīšanas prasībām, avansiem, uzkrājumu veidošanas saistībām un citiem </w:t>
      </w:r>
      <w:proofErr w:type="spellStart"/>
      <w:r w:rsidRPr="00A27896">
        <w:rPr>
          <w:szCs w:val="24"/>
        </w:rPr>
        <w:t>nenaudas</w:t>
      </w:r>
      <w:proofErr w:type="spellEnd"/>
      <w:r w:rsidRPr="00A27896">
        <w:rPr>
          <w:szCs w:val="24"/>
        </w:rPr>
        <w:t xml:space="preserve"> darījumiem, uzskaita saskaņā ar uzkrāšanas principu.</w:t>
      </w:r>
      <w:bookmarkStart w:id="63" w:name="_Toc37757068"/>
      <w:r w:rsidR="004C46B4" w:rsidRPr="00A27896">
        <w:br w:type="page"/>
      </w:r>
    </w:p>
    <w:p w14:paraId="1E137FDE" w14:textId="614590B7" w:rsidR="00954F0C" w:rsidRPr="00A27896" w:rsidRDefault="00686079" w:rsidP="008515BB">
      <w:pPr>
        <w:pStyle w:val="Heading2"/>
      </w:pPr>
      <w:r w:rsidRPr="00A27896">
        <w:lastRenderedPageBreak/>
        <w:t>P</w:t>
      </w:r>
      <w:r w:rsidR="00954F0C" w:rsidRPr="00A27896">
        <w:t>ārskata sagatavošanas principu apraksts</w:t>
      </w:r>
      <w:bookmarkEnd w:id="63"/>
    </w:p>
    <w:p w14:paraId="1269B7FF" w14:textId="01DCACC5" w:rsidR="00954F0C" w:rsidRPr="00A27896" w:rsidRDefault="0047653F" w:rsidP="008515BB">
      <w:pPr>
        <w:pStyle w:val="Heading3"/>
      </w:pPr>
      <w:r>
        <w:t>K</w:t>
      </w:r>
      <w:r w:rsidR="00954F0C" w:rsidRPr="00A27896">
        <w:t>onsolidētā grāmatvedības bilance</w:t>
      </w:r>
    </w:p>
    <w:p w14:paraId="7CC469E8" w14:textId="0F13CE55" w:rsidR="00954F0C" w:rsidRPr="00A27896" w:rsidRDefault="00233164" w:rsidP="00BE768C">
      <w:pPr>
        <w:pStyle w:val="Pamatteksts1"/>
      </w:pPr>
      <w:r>
        <w:t>K</w:t>
      </w:r>
      <w:r w:rsidR="00954F0C" w:rsidRPr="00A27896">
        <w:t>onsolidētā grāmatvedības bilance ietver finanšu informāciju par ministriju, centrālo valsts iestāžu, pašvaldību</w:t>
      </w:r>
      <w:r w:rsidR="00141376" w:rsidRPr="00A27896">
        <w:t>, kā arī</w:t>
      </w:r>
      <w:r w:rsidR="00954F0C" w:rsidRPr="00A27896">
        <w:t xml:space="preserve"> valsts budžeta finanšu uzskaites </w:t>
      </w:r>
      <w:r w:rsidR="00141376" w:rsidRPr="00A27896">
        <w:t xml:space="preserve">un VID administrēto valsts budžeta ieņēmumu </w:t>
      </w:r>
      <w:r w:rsidR="00954F0C" w:rsidRPr="00A27896">
        <w:t>aktīviem un saistībām 20</w:t>
      </w:r>
      <w:r w:rsidR="004B6226" w:rsidRPr="00A27896">
        <w:t>2</w:t>
      </w:r>
      <w:r>
        <w:t>4</w:t>
      </w:r>
      <w:r w:rsidR="00954F0C" w:rsidRPr="00A27896">
        <w:t>. gada 31. decembrī, kā arī sniedz salīdzinājumu ar 20</w:t>
      </w:r>
      <w:r w:rsidR="001C23FC" w:rsidRPr="00A27896">
        <w:t>2</w:t>
      </w:r>
      <w:r>
        <w:t>3</w:t>
      </w:r>
      <w:r w:rsidR="00954F0C" w:rsidRPr="00A27896">
        <w:t xml:space="preserve">. gada 31. decembra datiem. </w:t>
      </w:r>
    </w:p>
    <w:p w14:paraId="161FD2EF" w14:textId="77777777" w:rsidR="00954F0C" w:rsidRPr="00A27896" w:rsidRDefault="00954F0C" w:rsidP="00BE768C">
      <w:pPr>
        <w:pStyle w:val="Pamatteksts1"/>
      </w:pPr>
      <w:r w:rsidRPr="00A27896">
        <w:t>Nemateriālie ieguldījumi, pamatlīdzekļi un ieguldījuma īpašumi uzrādīti atlikušajā vērtībā, no sākotnējās vērtības atskaitot nolietojumu (amortizāciju) un vērtības samazinājumu.</w:t>
      </w:r>
    </w:p>
    <w:p w14:paraId="5DEBD2CB" w14:textId="77777777" w:rsidR="00954F0C" w:rsidRPr="00A27896" w:rsidRDefault="00954F0C" w:rsidP="00BE768C">
      <w:pPr>
        <w:pStyle w:val="Pamatteksts1"/>
      </w:pPr>
      <w:r w:rsidRPr="00A27896">
        <w:t>Bioloģiskie aktīvi, kurus paredzēts izmantot lauksaimnieciskajā darbībā, uzrādīti patiesajā vai Meža valsts reģistrā norādītajā pilnajā vērtībā.</w:t>
      </w:r>
    </w:p>
    <w:p w14:paraId="3B02A9E3" w14:textId="18ED4DCE" w:rsidR="00954F0C" w:rsidRPr="00A27896" w:rsidRDefault="00954F0C" w:rsidP="00BE768C">
      <w:pPr>
        <w:pStyle w:val="Pamatteksts1"/>
      </w:pPr>
      <w:r w:rsidRPr="00A27896">
        <w:t xml:space="preserve">Ilgtermiņa un īstermiņa prasības, finanšu ieguldījumi, kas nav klasificēti kā finanšu instrumenti, samaksātie avansi un nākamo periodu izdevumi uzrādīti neto vērtībā no uzskaites vērtības atskaitot vērtības samazinājumu. </w:t>
      </w:r>
    </w:p>
    <w:p w14:paraId="703C31C5" w14:textId="1AD4E144" w:rsidR="00954F0C" w:rsidRPr="00A27896" w:rsidRDefault="00954F0C" w:rsidP="00BE768C">
      <w:pPr>
        <w:pStyle w:val="Pamatteksts1"/>
      </w:pPr>
      <w:r w:rsidRPr="00A27896">
        <w:t xml:space="preserve">Prasību atlikumi pārskata gada beigās ir saskaņoti ar </w:t>
      </w:r>
      <w:r w:rsidR="00AB5EC5" w:rsidRPr="00A27896">
        <w:t xml:space="preserve">darījumu partneriem </w:t>
      </w:r>
      <w:r w:rsidRPr="00A27896">
        <w:t>atbilstoši aktam par savstarpējo norēķinu salīdzināšanu. Prasību apmērus pret valsts un pašvaldību budžeta iestādēm saskaņo elektroniski, ievērojot MK noteikumos Nr. </w:t>
      </w:r>
      <w:r w:rsidR="00245866">
        <w:t>652</w:t>
      </w:r>
      <w:r w:rsidR="00245866" w:rsidRPr="00A27896">
        <w:t xml:space="preserve"> </w:t>
      </w:r>
      <w:r w:rsidRPr="00A27896">
        <w:t>noteikto. Prasības par ES fondu līdzekļiem saskaņotas izdevumu sertificēšanas procesā saskaņā ar šo jomu regulējošiem normatīvajiem aktiem.</w:t>
      </w:r>
      <w:r w:rsidR="00A06A08" w:rsidRPr="00A27896">
        <w:t xml:space="preserve"> </w:t>
      </w:r>
      <w:r w:rsidR="00141376" w:rsidRPr="00A27896">
        <w:t>VID</w:t>
      </w:r>
      <w:r w:rsidR="009F6897" w:rsidRPr="00A27896">
        <w:t xml:space="preserve"> ar tā administrētajiem valsts budžeta ieņēmumiem saistīto prasījumu</w:t>
      </w:r>
      <w:r w:rsidR="00785427" w:rsidRPr="00A27896">
        <w:t xml:space="preserve"> inventarizāciju</w:t>
      </w:r>
      <w:r w:rsidR="009F6897" w:rsidRPr="00A27896">
        <w:t xml:space="preserve"> var veikt izlases kārtībā pēc būtiskuma principa, ievērojot Ministru kabineta 20</w:t>
      </w:r>
      <w:r w:rsidR="00CE6C9F" w:rsidRPr="00A27896">
        <w:t>21</w:t>
      </w:r>
      <w:r w:rsidR="009F6897" w:rsidRPr="00A27896">
        <w:t>. gada 21. </w:t>
      </w:r>
      <w:r w:rsidR="00CE6C9F" w:rsidRPr="00A27896">
        <w:t>decembra</w:t>
      </w:r>
      <w:r w:rsidR="009F6897" w:rsidRPr="00A27896">
        <w:t xml:space="preserve"> noteikumus Nr. </w:t>
      </w:r>
      <w:r w:rsidR="00CE6C9F" w:rsidRPr="00A27896">
        <w:t>877</w:t>
      </w:r>
      <w:r w:rsidR="009F6897" w:rsidRPr="00A27896">
        <w:t xml:space="preserve"> </w:t>
      </w:r>
      <w:r w:rsidR="00861106">
        <w:t>“</w:t>
      </w:r>
      <w:r w:rsidR="00CE6C9F" w:rsidRPr="00A27896">
        <w:t>Grāmatvedības kārtošanas noteikumi</w:t>
      </w:r>
      <w:r w:rsidR="00861106">
        <w:t>”</w:t>
      </w:r>
      <w:r w:rsidR="009F6897" w:rsidRPr="00A27896">
        <w:t>.</w:t>
      </w:r>
      <w:r w:rsidR="00BC1F5C">
        <w:t xml:space="preserve"> </w:t>
      </w:r>
    </w:p>
    <w:p w14:paraId="504E3745" w14:textId="7F621C5C" w:rsidR="00954F0C" w:rsidRPr="00A27896" w:rsidRDefault="00954F0C" w:rsidP="00BE768C">
      <w:pPr>
        <w:pStyle w:val="Pamatteksts1"/>
      </w:pPr>
      <w:r w:rsidRPr="00A27896">
        <w:t>Finanšu ieguldījumi (aktīvi), kas klasificēti kā finanšu instrumenti, norādīti šādā vērtībā:</w:t>
      </w:r>
      <w:r w:rsidR="00D50D19" w:rsidRPr="00A27896">
        <w:t xml:space="preserve"> </w:t>
      </w:r>
    </w:p>
    <w:p w14:paraId="63AB30B3" w14:textId="77777777" w:rsidR="00954F0C" w:rsidRPr="00A27896" w:rsidRDefault="00954F0C" w:rsidP="000D2C39">
      <w:pPr>
        <w:pStyle w:val="Bullets"/>
      </w:pPr>
      <w:r w:rsidRPr="00A27896">
        <w:t>aizdevumi un prasības, kā arī līdz termiņa beigām turētie ieguldījumi – neto vērtībā, no amortizētās vērtības atskaitot vērtības samazinājumu;</w:t>
      </w:r>
    </w:p>
    <w:p w14:paraId="39782CAD" w14:textId="370B3E54" w:rsidR="00954F0C" w:rsidRPr="00A27896" w:rsidRDefault="00954F0C" w:rsidP="000D2C39">
      <w:pPr>
        <w:pStyle w:val="Bullets"/>
      </w:pPr>
      <w:r w:rsidRPr="00A27896">
        <w:t>patiesajā vērtībā novērtēti finanšu aktīvi – patiesajā vērtībā;</w:t>
      </w:r>
    </w:p>
    <w:p w14:paraId="6E4473D3" w14:textId="1481C4BB" w:rsidR="00226E9F" w:rsidRPr="00A27896" w:rsidRDefault="00226E9F" w:rsidP="000D2C39">
      <w:pPr>
        <w:pStyle w:val="Bullets"/>
        <w:rPr>
          <w:rFonts w:eastAsiaTheme="minorHAnsi"/>
          <w:lang w:eastAsia="en-US"/>
        </w:rPr>
      </w:pPr>
      <w:r w:rsidRPr="00A27896">
        <w:rPr>
          <w:rFonts w:eastAsiaTheme="minorHAnsi"/>
          <w:lang w:eastAsia="en-US"/>
        </w:rPr>
        <w:t>finanšu aktīvi, kas noteikti kā riska ierobežošanas instrumenti – patiesajā vērtībā;</w:t>
      </w:r>
    </w:p>
    <w:p w14:paraId="5256C708" w14:textId="77777777" w:rsidR="00954F0C" w:rsidRPr="00A27896" w:rsidRDefault="00954F0C" w:rsidP="000D2C39">
      <w:pPr>
        <w:pStyle w:val="Bullets"/>
      </w:pPr>
      <w:r w:rsidRPr="00A27896">
        <w:t>patiesajā vērtībā novērtēti pārdošanai pieejamie finanšu aktīvu – patiesajā vērtībā;</w:t>
      </w:r>
    </w:p>
    <w:p w14:paraId="661E641B" w14:textId="77777777" w:rsidR="00954F0C" w:rsidRPr="00A27896" w:rsidRDefault="00954F0C" w:rsidP="000D2C39">
      <w:pPr>
        <w:pStyle w:val="Bullets"/>
      </w:pPr>
      <w:r w:rsidRPr="00A27896">
        <w:t>izmaksu vērtībā novērtēti pārdošanai pieejami finanšu instrumenti – neto vērtībā, no izmaksu vērtības atskaitot vērtības samazinājumu.</w:t>
      </w:r>
    </w:p>
    <w:p w14:paraId="36F356B8" w14:textId="4AF9A8DD" w:rsidR="00954F0C" w:rsidRPr="00A27896" w:rsidRDefault="00954F0C" w:rsidP="00BE768C">
      <w:pPr>
        <w:pStyle w:val="Pamatteksts1"/>
      </w:pPr>
      <w:r w:rsidRPr="00A27896">
        <w:t xml:space="preserve">Krājumi, kuri paredzēti budžeta iestāžu funkciju veikšanai ilgāk par vienu gadu, norādīti atlikušajā vērtībā, no sākotnējās vērtības atskaitot vērtības samazinājumu. Pārējie krājumi norādīti iegādes izmaksu vērtībā vai pārskata perioda beigās noteiktā aizstāšanas izmaksu vai neto pārdošanas vērtībā, ja iegādes izmaksu vērtība ir augstāka. </w:t>
      </w:r>
      <w:r w:rsidR="00A06A08" w:rsidRPr="00A27896">
        <w:t>Valstij piekritīgā manta (nekustamais īpašums) norādīts kadastrālajā vērtībā, ja tā ir zināma.</w:t>
      </w:r>
    </w:p>
    <w:p w14:paraId="3052B4CD" w14:textId="530B94E4" w:rsidR="00954F0C" w:rsidRPr="00A27896" w:rsidRDefault="00954F0C" w:rsidP="00BE768C">
      <w:pPr>
        <w:pStyle w:val="Pamatteksts1"/>
      </w:pPr>
      <w:r w:rsidRPr="00A27896">
        <w:t xml:space="preserve">Naudas līdzekļu sastāvā </w:t>
      </w:r>
      <w:r w:rsidR="007F068B" w:rsidRPr="00A27896">
        <w:t>uzrādīti</w:t>
      </w:r>
      <w:r w:rsidRPr="00A27896">
        <w:t xml:space="preserve"> budžeta iestāžu naudas līdzekļi</w:t>
      </w:r>
      <w:r w:rsidR="00A5150E" w:rsidRPr="00A27896">
        <w:t xml:space="preserve"> kredītiestādēs</w:t>
      </w:r>
      <w:r w:rsidRPr="00A27896">
        <w:t>, kā arī Valsts kases kontu atlikumi Latvijas Bankā, kredītiestādēs un ārvalstu finanšu sabiedrībās.</w:t>
      </w:r>
    </w:p>
    <w:p w14:paraId="6FEEDBC9" w14:textId="52A95963" w:rsidR="00954F0C" w:rsidRPr="00A27896" w:rsidRDefault="00954F0C" w:rsidP="00BE768C">
      <w:pPr>
        <w:pStyle w:val="Pamatteksts1"/>
      </w:pPr>
      <w:r w:rsidRPr="00A27896">
        <w:t>Budžeta iestādes, kurām ir norēķinu konti Valsts kasē, savos pārskatos uzrāda arī naudas līdzekļus norēķinu kontos Valsts kasē, kurus konsolidētajā grāmatvedības bilancē konsolidē.</w:t>
      </w:r>
    </w:p>
    <w:p w14:paraId="39729A84" w14:textId="77777777" w:rsidR="00954F0C" w:rsidRPr="00A27896" w:rsidRDefault="00954F0C" w:rsidP="00BE768C">
      <w:pPr>
        <w:pStyle w:val="Pamatteksts1"/>
      </w:pPr>
      <w:r w:rsidRPr="00A27896">
        <w:t xml:space="preserve">Naudas līdzekļu atlikumi pārskata gada beigās saskaņoti. </w:t>
      </w:r>
    </w:p>
    <w:p w14:paraId="7C9E9463" w14:textId="1E894DBF" w:rsidR="00954F0C" w:rsidRPr="00A27896" w:rsidRDefault="00954F0C" w:rsidP="00BE768C">
      <w:pPr>
        <w:pStyle w:val="Pamatteksts1"/>
      </w:pPr>
      <w:r w:rsidRPr="00A27896">
        <w:t>Uzkrājumi konsolidēt</w:t>
      </w:r>
      <w:r w:rsidR="00D74468">
        <w:t>a</w:t>
      </w:r>
      <w:r w:rsidRPr="00A27896">
        <w:t>jā grāmatvedības bilancē uzrādīti pienākuma izpildei nepieciešamo resursu visticamākās aplēses pašreizējā vērtībā.</w:t>
      </w:r>
    </w:p>
    <w:p w14:paraId="6AAFA362" w14:textId="4B2C9B62" w:rsidR="00954F0C" w:rsidRPr="00A27896" w:rsidRDefault="00954F0C" w:rsidP="00BE768C">
      <w:pPr>
        <w:pStyle w:val="Pamatteksts1"/>
      </w:pPr>
      <w:r w:rsidRPr="00A27896">
        <w:t>Saistības (izņemot finanšu instrumentus) konsolidēt</w:t>
      </w:r>
      <w:r w:rsidR="00D74468">
        <w:t>a</w:t>
      </w:r>
      <w:r w:rsidRPr="00A27896">
        <w:t>jā grāmatvedības bilancē norādītas amortizētajā vērtībā.</w:t>
      </w:r>
    </w:p>
    <w:p w14:paraId="1A2C429B" w14:textId="77777777" w:rsidR="002A2F6E" w:rsidRDefault="002A2F6E" w:rsidP="00BE768C">
      <w:pPr>
        <w:pStyle w:val="Pamatteksts1"/>
      </w:pPr>
    </w:p>
    <w:p w14:paraId="6F1BC588" w14:textId="239B5C2F" w:rsidR="00954F0C" w:rsidRPr="00A27896" w:rsidRDefault="00954F0C" w:rsidP="00BE768C">
      <w:pPr>
        <w:pStyle w:val="Pamatteksts1"/>
      </w:pPr>
      <w:r w:rsidRPr="00A27896">
        <w:lastRenderedPageBreak/>
        <w:t>Finanšu saistības, kas klasificētas kā finanšu instrumenti, norādītas šādā vērtībā:</w:t>
      </w:r>
      <w:r w:rsidR="00D50D19" w:rsidRPr="00A27896">
        <w:t xml:space="preserve"> </w:t>
      </w:r>
    </w:p>
    <w:p w14:paraId="53C876D2" w14:textId="0F067DF1" w:rsidR="00D70E8B" w:rsidRPr="00A27896" w:rsidRDefault="00954F0C" w:rsidP="000D2C39">
      <w:pPr>
        <w:pStyle w:val="Bullets"/>
      </w:pPr>
      <w:r w:rsidRPr="00A27896">
        <w:t>patiesajā vērtībā novērtētas finanšu saistības, izņemot finanšu garantiju līgumus – patiesajā vērtībā;</w:t>
      </w:r>
    </w:p>
    <w:p w14:paraId="14471FE7" w14:textId="6B34B008" w:rsidR="00C05ED3" w:rsidRPr="00A27896" w:rsidRDefault="00C05ED3" w:rsidP="000D2C39">
      <w:pPr>
        <w:pStyle w:val="Bullets"/>
        <w:rPr>
          <w:rFonts w:eastAsiaTheme="minorHAnsi"/>
          <w:lang w:eastAsia="en-US"/>
        </w:rPr>
      </w:pPr>
      <w:r w:rsidRPr="00A27896">
        <w:rPr>
          <w:rFonts w:eastAsiaTheme="minorHAnsi"/>
          <w:lang w:eastAsia="en-US"/>
        </w:rPr>
        <w:t>finanšu saistības, kas noteiktas kā riska ierobežošanas instrumenti – patiesajā vērtībā;</w:t>
      </w:r>
    </w:p>
    <w:p w14:paraId="23B53350" w14:textId="0112ED6A" w:rsidR="00954F0C" w:rsidRPr="00A27896" w:rsidRDefault="00954F0C" w:rsidP="000D2C39">
      <w:pPr>
        <w:pStyle w:val="Bullets"/>
      </w:pPr>
      <w:r w:rsidRPr="00A27896">
        <w:t xml:space="preserve">pārējās finanšu saistības – amortizētajā vērtībā; </w:t>
      </w:r>
    </w:p>
    <w:p w14:paraId="797E5355" w14:textId="69BE05AB" w:rsidR="00954F0C" w:rsidRPr="00A27896" w:rsidRDefault="00954F0C" w:rsidP="000D2C39">
      <w:pPr>
        <w:pStyle w:val="Bullets"/>
      </w:pPr>
      <w:r w:rsidRPr="00A27896">
        <w:t>finanšu garantiju līgumi – visticamākās aplēses pašreizējā vērtībā.</w:t>
      </w:r>
    </w:p>
    <w:p w14:paraId="7E4FEAD2" w14:textId="3E6CCBC7" w:rsidR="00954F0C" w:rsidRPr="00A27896" w:rsidRDefault="00954F0C" w:rsidP="00BE768C">
      <w:pPr>
        <w:pStyle w:val="Pamatteksts1"/>
      </w:pPr>
      <w:r w:rsidRPr="00A27896">
        <w:t xml:space="preserve">Saistību </w:t>
      </w:r>
      <w:r w:rsidRPr="00BE768C">
        <w:t xml:space="preserve">atlikumi gada beigās saskaņoti ar </w:t>
      </w:r>
      <w:r w:rsidR="00AB5EC5" w:rsidRPr="00BE768C">
        <w:t xml:space="preserve">darījuma partneriem </w:t>
      </w:r>
      <w:r w:rsidRPr="00BE768C">
        <w:t xml:space="preserve">atbilstoši savstarpējo norēķinu salīdzināšanas aktiem. Saistību atlikumi pret valsts un pašvaldību budžeta iestādēm, no valsts budžeta daļēji finansētām atvasinātām publiskām personām, budžeta nefinansētām iestādēm saskaņoti elektroniski </w:t>
      </w:r>
      <w:proofErr w:type="spellStart"/>
      <w:r w:rsidR="00AB5EC5" w:rsidRPr="00BE768C">
        <w:t>ePārskatos</w:t>
      </w:r>
      <w:proofErr w:type="spellEnd"/>
      <w:r w:rsidRPr="00BE768C">
        <w:t xml:space="preserve"> atbilstoši MK noteikumos Nr.</w:t>
      </w:r>
      <w:r w:rsidR="003B558A" w:rsidRPr="00BE768C">
        <w:t> </w:t>
      </w:r>
      <w:r w:rsidR="00245866" w:rsidRPr="00BE768C">
        <w:t xml:space="preserve">652 </w:t>
      </w:r>
      <w:r w:rsidRPr="00BE768C">
        <w:t xml:space="preserve">noteiktajam. </w:t>
      </w:r>
      <w:r w:rsidR="00141376" w:rsidRPr="00BE768C">
        <w:t>VID</w:t>
      </w:r>
      <w:r w:rsidR="009F6897" w:rsidRPr="00BE768C">
        <w:t xml:space="preserve"> </w:t>
      </w:r>
      <w:r w:rsidR="00785427" w:rsidRPr="00BE768C">
        <w:t xml:space="preserve">inventarizāciju </w:t>
      </w:r>
      <w:r w:rsidR="009042E6" w:rsidRPr="00BE768C">
        <w:t>p</w:t>
      </w:r>
      <w:r w:rsidR="009F6897" w:rsidRPr="00BE768C">
        <w:t xml:space="preserve">ar </w:t>
      </w:r>
      <w:r w:rsidR="00785427" w:rsidRPr="00BE768C">
        <w:t xml:space="preserve">saistībām, kas izriet no </w:t>
      </w:r>
      <w:r w:rsidR="009F6897" w:rsidRPr="00BE768C">
        <w:t>tā administrētajiem valsts budžeta ieņēmumiem</w:t>
      </w:r>
      <w:r w:rsidR="00785427" w:rsidRPr="00BE768C">
        <w:t>,</w:t>
      </w:r>
      <w:r w:rsidR="009F6897" w:rsidRPr="00BE768C">
        <w:t xml:space="preserve"> var veikt izlases kārtībā pēc būtiskuma principa, ievērojot Ministru kabineta 20</w:t>
      </w:r>
      <w:r w:rsidR="00E61B3D" w:rsidRPr="00BE768C">
        <w:t>21</w:t>
      </w:r>
      <w:r w:rsidR="009F6897" w:rsidRPr="00BE768C">
        <w:t xml:space="preserve">. gada </w:t>
      </w:r>
      <w:r w:rsidR="007B7C14" w:rsidRPr="00BE768C">
        <w:t>21. </w:t>
      </w:r>
      <w:r w:rsidR="00E61B3D" w:rsidRPr="00BE768C">
        <w:t>decembra</w:t>
      </w:r>
      <w:r w:rsidR="007B7C14" w:rsidRPr="00BE768C">
        <w:t xml:space="preserve"> noteikumus Nr. </w:t>
      </w:r>
      <w:r w:rsidR="00E61B3D" w:rsidRPr="00BE768C">
        <w:t>877</w:t>
      </w:r>
      <w:r w:rsidR="007B7C14" w:rsidRPr="00BE768C">
        <w:t xml:space="preserve"> “</w:t>
      </w:r>
      <w:r w:rsidR="00E61B3D" w:rsidRPr="00BE768C">
        <w:t>Grāmatvedības kārtošanas noteikumi</w:t>
      </w:r>
      <w:r w:rsidR="007B7C14" w:rsidRPr="00BE768C">
        <w:t>”</w:t>
      </w:r>
      <w:r w:rsidR="009F6897" w:rsidRPr="00BE768C">
        <w:t>.</w:t>
      </w:r>
      <w:r w:rsidR="000257E2">
        <w:t xml:space="preserve"> </w:t>
      </w:r>
    </w:p>
    <w:p w14:paraId="5AF07FBC" w14:textId="77777777" w:rsidR="00954F0C" w:rsidRPr="00A27896" w:rsidRDefault="00954F0C" w:rsidP="008515BB">
      <w:pPr>
        <w:pStyle w:val="Heading3"/>
      </w:pPr>
      <w:r w:rsidRPr="00A27896">
        <w:t>Konsolidētais pārskats par darbības finansiālajiem rezultātiem</w:t>
      </w:r>
    </w:p>
    <w:p w14:paraId="57613C77" w14:textId="584A32D2" w:rsidR="00954F0C" w:rsidRPr="00A27896" w:rsidRDefault="00954F0C" w:rsidP="00BE768C">
      <w:pPr>
        <w:pStyle w:val="Pamatteksts1"/>
      </w:pPr>
      <w:r w:rsidRPr="00A27896">
        <w:t>Konsolidētajā pārskatā par darbības finansiālajiem rezultātiem uzrādīta finanšu informācija par ministriju, centrālo valsts iestāžu, pašvaldību</w:t>
      </w:r>
      <w:r w:rsidR="00273ECF" w:rsidRPr="00A27896">
        <w:t>,</w:t>
      </w:r>
      <w:r w:rsidRPr="00A27896">
        <w:t xml:space="preserve"> valsts budžeta finanšu uzskaites </w:t>
      </w:r>
      <w:r w:rsidR="00273ECF" w:rsidRPr="00A27896">
        <w:t xml:space="preserve">un </w:t>
      </w:r>
      <w:r w:rsidR="00785427" w:rsidRPr="00A27896">
        <w:t>VID</w:t>
      </w:r>
      <w:r w:rsidR="00273ECF" w:rsidRPr="00A27896">
        <w:t xml:space="preserve"> administrētiem valsts budžeta </w:t>
      </w:r>
      <w:r w:rsidRPr="00A27896">
        <w:t xml:space="preserve">ieņēmumiem un izdevumiem </w:t>
      </w:r>
      <w:r w:rsidR="00980EC2" w:rsidRPr="00A27896">
        <w:t>202</w:t>
      </w:r>
      <w:r w:rsidR="000531FE">
        <w:t>4</w:t>
      </w:r>
      <w:r w:rsidRPr="00A27896">
        <w:t xml:space="preserve">. gadā, kā arī salīdzinošā informācija par </w:t>
      </w:r>
      <w:r w:rsidR="00980EC2" w:rsidRPr="00A27896">
        <w:t>20</w:t>
      </w:r>
      <w:r w:rsidR="001C23FC" w:rsidRPr="00A27896">
        <w:t>2</w:t>
      </w:r>
      <w:r w:rsidR="000531FE">
        <w:t>3</w:t>
      </w:r>
      <w:r w:rsidRPr="00A27896">
        <w:t>. gadu.</w:t>
      </w:r>
      <w:r w:rsidR="00ED32DB" w:rsidRPr="00A27896">
        <w:rPr>
          <w:rStyle w:val="CommentReference"/>
        </w:rPr>
        <w:t xml:space="preserve"> </w:t>
      </w:r>
    </w:p>
    <w:p w14:paraId="48599405" w14:textId="00013C40" w:rsidR="00954F0C" w:rsidRPr="00A27896" w:rsidRDefault="00954F0C" w:rsidP="00BE768C">
      <w:pPr>
        <w:pStyle w:val="Pamatteksts1"/>
      </w:pPr>
      <w:r w:rsidRPr="00A27896">
        <w:t>Konsolidētajā pārskatā par darbības finansiālajiem rezultātiem iepriekšējo pārskata periodu kļūdu labojumi iekļauti pārskata gada ieņēmumu un izdevumu sastāvā, izņemot būtisku kļūdu labojumus, kas uzrādīti</w:t>
      </w:r>
      <w:r w:rsidR="00F048F2" w:rsidRPr="00A27896">
        <w:t>, koriģējot</w:t>
      </w:r>
      <w:r w:rsidRPr="00A27896">
        <w:t xml:space="preserve"> </w:t>
      </w:r>
      <w:r w:rsidR="00F048F2" w:rsidRPr="00A27896">
        <w:t xml:space="preserve">salīdzināmo informāciju tādā </w:t>
      </w:r>
      <w:r w:rsidR="00D31685" w:rsidRPr="00A27896">
        <w:t>vērtībā</w:t>
      </w:r>
      <w:r w:rsidR="00F048F2" w:rsidRPr="00A27896">
        <w:t>, kād</w:t>
      </w:r>
      <w:r w:rsidR="00D31685" w:rsidRPr="00A27896">
        <w:t>a</w:t>
      </w:r>
      <w:r w:rsidR="00F048F2" w:rsidRPr="00A27896">
        <w:t xml:space="preserve"> attiecas uz </w:t>
      </w:r>
      <w:r w:rsidR="00D31685" w:rsidRPr="00A27896">
        <w:t>iepriekšējo pārskata</w:t>
      </w:r>
      <w:r w:rsidR="00F048F2" w:rsidRPr="00A27896">
        <w:t xml:space="preserve"> periodu</w:t>
      </w:r>
      <w:r w:rsidRPr="00A27896">
        <w:t>. Iepriekšējā pārskata perioda darījumi uzrādīti atbilstoši pārskata gadam noteiktai pārskata struktūrai.</w:t>
      </w:r>
    </w:p>
    <w:p w14:paraId="2F906826" w14:textId="77777777" w:rsidR="00954F0C" w:rsidRPr="00A27896" w:rsidRDefault="00954F0C" w:rsidP="00BE768C">
      <w:pPr>
        <w:pStyle w:val="Pamatteksts1"/>
      </w:pPr>
      <w:r w:rsidRPr="00A27896">
        <w:t>Ieņēmumus un izdevumus konsolidētajā pārskatā par darbības finansiālajiem rezultātiem uzrāda pa ieņēmumu un izdevumu grupām, izņemot ieņēmumus un izdevumus, kurus norāda atsevišķā pozīcijā, savstarpēji izslēdzot, un kas radušies sakarā ar:</w:t>
      </w:r>
    </w:p>
    <w:p w14:paraId="51F83599" w14:textId="77777777" w:rsidR="00954F0C" w:rsidRPr="00A27896" w:rsidRDefault="00954F0C" w:rsidP="000D2C39">
      <w:pPr>
        <w:pStyle w:val="Bullets"/>
      </w:pPr>
      <w:r w:rsidRPr="00A27896">
        <w:t xml:space="preserve">finanšu instrumentu patiesās vērtības izmaiņām, ārvalstu valūtas kursa svārstībām, atsavināšanu un izslēgšanu no uzskaites, kā arī sakarā ar pārdošanai pieejamu finanšu instrumentu </w:t>
      </w:r>
      <w:proofErr w:type="spellStart"/>
      <w:r w:rsidRPr="00A27896">
        <w:t>pārklasifikāciju</w:t>
      </w:r>
      <w:proofErr w:type="spellEnd"/>
      <w:r w:rsidRPr="00A27896">
        <w:t xml:space="preserve"> uz citu finanšu instrumentu kategoriju. Ieņēmumus vai izdevumus no finanšu instrumentiem konsolidētajā pārskatā par darbības finansiālajiem rezultātiem uzrāda neto vērtībā;</w:t>
      </w:r>
    </w:p>
    <w:p w14:paraId="3A2D0679" w14:textId="4F9C1DD8" w:rsidR="00954F0C" w:rsidRPr="00A27896" w:rsidRDefault="00954F0C" w:rsidP="000D2C39">
      <w:pPr>
        <w:pStyle w:val="Bullets"/>
      </w:pPr>
      <w:proofErr w:type="spellStart"/>
      <w:r w:rsidRPr="00A27896">
        <w:t>nefinanšu</w:t>
      </w:r>
      <w:proofErr w:type="spellEnd"/>
      <w:r w:rsidRPr="00A27896">
        <w:t xml:space="preserve"> aktīvu atsavināšanu. Konsolidētajā pārskatā par darbības finansiālajiem</w:t>
      </w:r>
      <w:r w:rsidR="00D50D19" w:rsidRPr="00A27896">
        <w:t xml:space="preserve"> </w:t>
      </w:r>
      <w:r w:rsidRPr="00A27896">
        <w:t xml:space="preserve">rezultātiem uzrāda neto vērtību – ieņēmumus (+) vai zaudējumus (–) no ilgtermiņa ieguldījumu objektu atsavināšanas, kuru aprēķina kā starpību starp izslēgtā objekta uzskaites vērtību un tā atsavināšanas ieņēmumiem un izdevumiem. </w:t>
      </w:r>
    </w:p>
    <w:p w14:paraId="6C5E2C44" w14:textId="77777777" w:rsidR="00954F0C" w:rsidRPr="00A27896" w:rsidRDefault="00954F0C" w:rsidP="008515BB">
      <w:pPr>
        <w:pStyle w:val="Heading3"/>
      </w:pPr>
      <w:r w:rsidRPr="00A27896">
        <w:t>Konsolidētais pašu kapitāla izmaiņu pārskats</w:t>
      </w:r>
    </w:p>
    <w:p w14:paraId="73D52483" w14:textId="77777777" w:rsidR="00954F0C" w:rsidRPr="00A27896" w:rsidRDefault="00954F0C" w:rsidP="00F53AD9">
      <w:pPr>
        <w:pStyle w:val="Pamatteksts1"/>
      </w:pPr>
      <w:r w:rsidRPr="00A27896">
        <w:t>Konsolidētajā pašu kapitāla izmaiņu pārskatā uzrāda neto aktīvu pieaugumu vai samazinājumu pārskata periodā un iepriekšējā pārskata periodā. Neto aktīvi ir starpība starp budžeta iestādes kopējiem aktīviem un kopējām saistībām un uzkrājumiem. Pašu kapitāls var būt gan pozitīvs, gan negatīvs.</w:t>
      </w:r>
    </w:p>
    <w:p w14:paraId="52E6A083" w14:textId="497BDEFA" w:rsidR="00954F0C" w:rsidRDefault="00954F0C" w:rsidP="00F53AD9">
      <w:pPr>
        <w:pStyle w:val="Pamatteksts1"/>
      </w:pPr>
      <w:r w:rsidRPr="00A27896">
        <w:t>Pārskata periodā veiktie būtisku iepriekšējo pārskata periodu kļūdu labojumi uzrādīti</w:t>
      </w:r>
      <w:r w:rsidR="004B6226" w:rsidRPr="00A27896">
        <w:t xml:space="preserve">, koriģējot salīdzināmo informāciju </w:t>
      </w:r>
      <w:r w:rsidRPr="00A27896">
        <w:t>tādā vērtībā, kāda attiecas uz iepriekšējiem pārskata periodiem.</w:t>
      </w:r>
    </w:p>
    <w:p w14:paraId="3025EFD8" w14:textId="77777777" w:rsidR="00406E4B" w:rsidRDefault="00406E4B" w:rsidP="00F53AD9">
      <w:pPr>
        <w:pStyle w:val="Pamatteksts1"/>
      </w:pPr>
    </w:p>
    <w:p w14:paraId="64DD3531" w14:textId="77777777" w:rsidR="00673435" w:rsidRDefault="00673435" w:rsidP="00F53AD9">
      <w:pPr>
        <w:pStyle w:val="Pamatteksts1"/>
      </w:pPr>
    </w:p>
    <w:p w14:paraId="74A8A338" w14:textId="77777777" w:rsidR="00954F0C" w:rsidRPr="00A27896" w:rsidRDefault="00954F0C" w:rsidP="008515BB">
      <w:pPr>
        <w:pStyle w:val="Heading3"/>
      </w:pPr>
      <w:r w:rsidRPr="00A27896">
        <w:lastRenderedPageBreak/>
        <w:t>Konsolidētais naudas plūsmas pārskats</w:t>
      </w:r>
    </w:p>
    <w:p w14:paraId="048A8F30" w14:textId="17D73CA2" w:rsidR="00954F0C" w:rsidRPr="00A27896" w:rsidRDefault="00954F0C" w:rsidP="00F53AD9">
      <w:pPr>
        <w:pStyle w:val="Pamatteksts1"/>
      </w:pPr>
      <w:r w:rsidRPr="00A27896">
        <w:t>Konsolidētajā naudas plūsmas pārskatā uzrādīta finanšu informācija par ministriju, centrālo valsts iestāžu, pašvaldību</w:t>
      </w:r>
      <w:r w:rsidR="005406D4" w:rsidRPr="00A27896">
        <w:t>,</w:t>
      </w:r>
      <w:r w:rsidRPr="00A27896">
        <w:t xml:space="preserve"> valsts budžeta finanšu uzskaites</w:t>
      </w:r>
      <w:r w:rsidR="005406D4" w:rsidRPr="00A27896">
        <w:t xml:space="preserve"> </w:t>
      </w:r>
      <w:r w:rsidR="005406D4" w:rsidRPr="00A27896">
        <w:rPr>
          <w:rFonts w:eastAsia="Calibri"/>
        </w:rPr>
        <w:t xml:space="preserve">un </w:t>
      </w:r>
      <w:r w:rsidR="00785427" w:rsidRPr="00A27896">
        <w:rPr>
          <w:rFonts w:eastAsia="Calibri"/>
        </w:rPr>
        <w:t>VID</w:t>
      </w:r>
      <w:r w:rsidR="005406D4" w:rsidRPr="00A27896">
        <w:rPr>
          <w:rFonts w:eastAsia="Calibri"/>
        </w:rPr>
        <w:t xml:space="preserve"> administrētiem valsts budžeta</w:t>
      </w:r>
      <w:r w:rsidR="005406D4" w:rsidRPr="00A27896">
        <w:t xml:space="preserve"> </w:t>
      </w:r>
      <w:r w:rsidRPr="00A27896">
        <w:t xml:space="preserve">ieņēmumiem, izdevumiem un finansēšanas kategorijām </w:t>
      </w:r>
      <w:r w:rsidR="00980EC2" w:rsidRPr="00A27896">
        <w:t>202</w:t>
      </w:r>
      <w:r w:rsidR="00883B28">
        <w:t>4</w:t>
      </w:r>
      <w:r w:rsidRPr="00A27896">
        <w:t>.</w:t>
      </w:r>
      <w:r w:rsidR="00203DA3" w:rsidRPr="00A27896">
        <w:t> </w:t>
      </w:r>
      <w:r w:rsidRPr="00A27896">
        <w:t xml:space="preserve">gadā, ievērojot naudas plūsmas principu, kā arī salīdzinošā informācija par </w:t>
      </w:r>
      <w:r w:rsidR="00980EC2" w:rsidRPr="00A27896">
        <w:t>20</w:t>
      </w:r>
      <w:r w:rsidR="001C23FC" w:rsidRPr="00A27896">
        <w:t>2</w:t>
      </w:r>
      <w:r w:rsidR="00883B28">
        <w:t>3</w:t>
      </w:r>
      <w:r w:rsidRPr="00A27896">
        <w:t xml:space="preserve">. gadu. </w:t>
      </w:r>
    </w:p>
    <w:p w14:paraId="52A3D105" w14:textId="77777777" w:rsidR="00954F0C" w:rsidRPr="00A27896" w:rsidRDefault="00954F0C" w:rsidP="00BE768C">
      <w:pPr>
        <w:pStyle w:val="Pamatteksts1"/>
      </w:pPr>
      <w:r w:rsidRPr="00A27896">
        <w:t>Konsolidētais naudas plūsmas pārskats sagatavots pēc tiešās metodes. Pārskatā ieņēmumi un izdevumi uzrādīti atbilstoši pamatdarbībai, ieguldījumu un finansēšanas darbībai.</w:t>
      </w:r>
    </w:p>
    <w:p w14:paraId="71968993" w14:textId="77777777" w:rsidR="00954F0C" w:rsidRPr="00A27896" w:rsidRDefault="00954F0C" w:rsidP="00BE768C">
      <w:pPr>
        <w:pStyle w:val="Pamatteksts1"/>
      </w:pPr>
      <w:r w:rsidRPr="00A27896">
        <w:t>Konsolidētajā naudas plūsmas pārskatā atsevišķi uzrādītas naudas līdzekļu un naudas ekvivalentu savstarpējās izmaiņas, kas nav uzskatāmas par naudas plūsmu.</w:t>
      </w:r>
    </w:p>
    <w:p w14:paraId="3728C7A9" w14:textId="77777777" w:rsidR="00954F0C" w:rsidRPr="00A27896" w:rsidRDefault="00954F0C" w:rsidP="005A3758">
      <w:pPr>
        <w:pStyle w:val="Heading4"/>
        <w:rPr>
          <w:rFonts w:cs="Times New Roman"/>
        </w:rPr>
      </w:pPr>
      <w:r w:rsidRPr="00A27896">
        <w:rPr>
          <w:rFonts w:cs="Times New Roman"/>
        </w:rPr>
        <w:t>Pamatdarbība (ieņēmumi un izdevumi)</w:t>
      </w:r>
    </w:p>
    <w:p w14:paraId="32807098" w14:textId="53FBACA6" w:rsidR="00954F0C" w:rsidRPr="00A27896" w:rsidRDefault="00954F0C" w:rsidP="00BE768C">
      <w:pPr>
        <w:pStyle w:val="Pamatteksts1"/>
      </w:pPr>
      <w:r w:rsidRPr="00A27896">
        <w:t>Pamatdarbība ir darbība, kas nodrošina nozīmīgākās ienākumu daļas gūšanu, un citas darbības, kas nav saistītas ar ieguldīšanu un finansēšanu. Pamatdarbības ieņēmumi un izdevumi veikti, lai sasniegtu budžeta iestādes primāros mērķus, kas noteikti likumā par valsts budžetu saimnieciskajam gadam</w:t>
      </w:r>
      <w:r w:rsidR="00CC768E">
        <w:t xml:space="preserve"> un </w:t>
      </w:r>
      <w:r w:rsidR="00CC768E" w:rsidRPr="00CC768E">
        <w:t>vidēja termiņa budžeta ietvaru</w:t>
      </w:r>
      <w:r w:rsidRPr="00A27896">
        <w:t xml:space="preserve"> vai saistošajos noteikumos par pašvaldības budžetu, tie ietver ziedojumus un dāvinājumus, kā arī citos budžetos uzskaitītos līdzekļus. </w:t>
      </w:r>
    </w:p>
    <w:p w14:paraId="046C34AA" w14:textId="77777777" w:rsidR="00954F0C" w:rsidRPr="00A27896" w:rsidRDefault="00954F0C" w:rsidP="00BE768C">
      <w:pPr>
        <w:pStyle w:val="Pamatteksts1"/>
      </w:pPr>
      <w:r w:rsidRPr="00A27896">
        <w:t>Pamatdarbības naudas plūsmā ieņēmumus un izdevumus veido darījumi, kas saistīti ar:</w:t>
      </w:r>
    </w:p>
    <w:p w14:paraId="462D0F23" w14:textId="77777777" w:rsidR="00954F0C" w:rsidRPr="00A27896" w:rsidRDefault="00954F0C" w:rsidP="000D2C39">
      <w:pPr>
        <w:pStyle w:val="Bullets"/>
      </w:pPr>
      <w:r w:rsidRPr="00A27896">
        <w:t>budžeta iestādes sniegtajiem pakalpojumiem un piegādātajām precēm, kā arī saņemtajiem pakalpojumiem un iegādātajām precēm;</w:t>
      </w:r>
    </w:p>
    <w:p w14:paraId="49AA8017" w14:textId="77777777" w:rsidR="00954F0C" w:rsidRPr="00A27896" w:rsidRDefault="00954F0C" w:rsidP="000D2C39">
      <w:pPr>
        <w:pStyle w:val="Bullets"/>
      </w:pPr>
      <w:r w:rsidRPr="00A27896">
        <w:t>saņemto ārvalstu finanšu palīdzību, ziedojumiem un dāvinājumiem;</w:t>
      </w:r>
    </w:p>
    <w:p w14:paraId="2D00CC0C" w14:textId="77777777" w:rsidR="00954F0C" w:rsidRPr="00A27896" w:rsidRDefault="00954F0C" w:rsidP="000D2C39">
      <w:pPr>
        <w:pStyle w:val="Bullets"/>
      </w:pPr>
      <w:r w:rsidRPr="00A27896">
        <w:t>atlīdzību nodarbinātajiem;</w:t>
      </w:r>
    </w:p>
    <w:p w14:paraId="12A0AC19" w14:textId="77777777" w:rsidR="00954F0C" w:rsidRPr="00A27896" w:rsidRDefault="00954F0C" w:rsidP="000D2C39">
      <w:pPr>
        <w:pStyle w:val="Bullets"/>
      </w:pPr>
      <w:r w:rsidRPr="00A27896">
        <w:t xml:space="preserve">saņemtajiem un veiktajiem nodokļu un nodevu maksājumiem, citiem maksājumiem budžetos un </w:t>
      </w:r>
      <w:proofErr w:type="spellStart"/>
      <w:r w:rsidRPr="00A27896">
        <w:t>transfertu</w:t>
      </w:r>
      <w:proofErr w:type="spellEnd"/>
      <w:r w:rsidRPr="00A27896">
        <w:t xml:space="preserve"> maksājumiem;</w:t>
      </w:r>
    </w:p>
    <w:p w14:paraId="38F6F65A" w14:textId="77777777" w:rsidR="00954F0C" w:rsidRPr="00A27896" w:rsidRDefault="00954F0C" w:rsidP="000D2C39">
      <w:pPr>
        <w:pStyle w:val="Bullets"/>
      </w:pPr>
      <w:r w:rsidRPr="00A27896">
        <w:t>tiesvedību;</w:t>
      </w:r>
    </w:p>
    <w:p w14:paraId="7555A82B" w14:textId="77777777" w:rsidR="00954F0C" w:rsidRPr="00A27896" w:rsidRDefault="00954F0C" w:rsidP="000D2C39">
      <w:pPr>
        <w:pStyle w:val="Bullets"/>
      </w:pPr>
      <w:r w:rsidRPr="00A27896">
        <w:t>aizdevumiem;</w:t>
      </w:r>
    </w:p>
    <w:p w14:paraId="722172C7" w14:textId="77777777" w:rsidR="00954F0C" w:rsidRPr="00A27896" w:rsidRDefault="00954F0C" w:rsidP="000D2C39">
      <w:pPr>
        <w:pStyle w:val="Bullets"/>
      </w:pPr>
      <w:r w:rsidRPr="00A27896">
        <w:t>atvasinātajiem finanšu instrumentiem, ja tie ir piesaistīti pamatdarbībā iekļautajiem finanšu instrumentiem;</w:t>
      </w:r>
    </w:p>
    <w:p w14:paraId="083D318F" w14:textId="77777777" w:rsidR="00954F0C" w:rsidRPr="00A27896" w:rsidRDefault="00954F0C" w:rsidP="000D2C39">
      <w:pPr>
        <w:pStyle w:val="Bullets"/>
      </w:pPr>
      <w:r w:rsidRPr="00A27896">
        <w:t>ieguldījuma īpašumu iegādi, izveidošanu, iznomāšanu un atsavināšanu;</w:t>
      </w:r>
    </w:p>
    <w:p w14:paraId="2EA2F8C4" w14:textId="77777777" w:rsidR="00954F0C" w:rsidRPr="00A27896" w:rsidRDefault="00954F0C" w:rsidP="000D2C39">
      <w:pPr>
        <w:pStyle w:val="Bullets"/>
      </w:pPr>
      <w:r w:rsidRPr="00A27896">
        <w:t>saņemtajiem maksājumiem publiskās un privātās partnerības līgumu ietvaros;</w:t>
      </w:r>
    </w:p>
    <w:p w14:paraId="3D2E4B6C" w14:textId="77777777" w:rsidR="00954F0C" w:rsidRPr="00A27896" w:rsidRDefault="00954F0C" w:rsidP="000D2C39">
      <w:pPr>
        <w:pStyle w:val="Bullets"/>
      </w:pPr>
      <w:r w:rsidRPr="00A27896">
        <w:t>citiem uz pamatdarbību attiecināmiem saņemtajiem un veiktajiem maksājumiem.</w:t>
      </w:r>
    </w:p>
    <w:p w14:paraId="34104E5E" w14:textId="787EEECA" w:rsidR="00954F0C" w:rsidRPr="00A27896" w:rsidRDefault="00954F0C" w:rsidP="00BE768C">
      <w:pPr>
        <w:pStyle w:val="Pamatteksts1"/>
      </w:pPr>
      <w:r w:rsidRPr="00A27896">
        <w:t>Valsts budžeta finanšu uzskaites pamatdarbība ir valsts pamatbudžeta izpildes un valsts budžeta finanšu uzskaites organizēšana. Valsts budžeta finanšu uzskaites nodrošināšanai iegādāto vērtspapīru, kā arī aizdevumu izsniegšanas un aizdevumu atmaksas naudas plūsma konsolidētajā pārskatā uzrādīta kā pamatdarbības naudas plūsma.</w:t>
      </w:r>
    </w:p>
    <w:p w14:paraId="709B47B5" w14:textId="77777777" w:rsidR="00954F0C" w:rsidRPr="00A27896" w:rsidRDefault="00954F0C" w:rsidP="00BE768C">
      <w:pPr>
        <w:pStyle w:val="Pamatteksts1"/>
      </w:pPr>
      <w:r w:rsidRPr="00A27896">
        <w:t>Procentu ieņēmumus un izdevumus no pamatdarbības klasificē šādi:</w:t>
      </w:r>
    </w:p>
    <w:p w14:paraId="101AE99C" w14:textId="77777777" w:rsidR="00954F0C" w:rsidRPr="00A27896" w:rsidRDefault="00954F0C" w:rsidP="000D2C39">
      <w:pPr>
        <w:pStyle w:val="Bullets"/>
      </w:pPr>
      <w:r w:rsidRPr="00A27896">
        <w:t xml:space="preserve">valsts un pašvaldību budžeta iestādes procentu ieņēmumi vai izdevumi par kontu atlikumiem, </w:t>
      </w:r>
      <w:proofErr w:type="spellStart"/>
      <w:r w:rsidRPr="00A27896">
        <w:t>overdraftiem</w:t>
      </w:r>
      <w:proofErr w:type="spellEnd"/>
      <w:r w:rsidRPr="00A27896">
        <w:t xml:space="preserve"> un aizdevumiem;</w:t>
      </w:r>
    </w:p>
    <w:p w14:paraId="7380CD13" w14:textId="77777777" w:rsidR="00954F0C" w:rsidRPr="00A27896" w:rsidRDefault="00954F0C" w:rsidP="000D2C39">
      <w:pPr>
        <w:pStyle w:val="Bullets"/>
      </w:pPr>
      <w:r w:rsidRPr="00A27896">
        <w:t xml:space="preserve">valsts budžeta finanšu uzskaites procentu izdevumi vai ieņēmumi (negatīva procentu likme) par Valsts kases klientu kontu atlikumiem un </w:t>
      </w:r>
      <w:proofErr w:type="spellStart"/>
      <w:r w:rsidRPr="00A27896">
        <w:t>overdraftiem</w:t>
      </w:r>
      <w:proofErr w:type="spellEnd"/>
      <w:r w:rsidRPr="00A27896">
        <w:t xml:space="preserve">, procentu ieņēmumi un izdevumi (negatīva procentu likme) par Valsts kases kontu atlikumiem, </w:t>
      </w:r>
      <w:proofErr w:type="spellStart"/>
      <w:r w:rsidRPr="00A27896">
        <w:t>overdraftiem</w:t>
      </w:r>
      <w:proofErr w:type="spellEnd"/>
      <w:r w:rsidRPr="00A27896">
        <w:t xml:space="preserve"> Latvijas Bankā vai kredītiestādēs, kā arī procentu ieņēmumi par izsniegtajiem aizdevumiem.</w:t>
      </w:r>
    </w:p>
    <w:p w14:paraId="2F485614" w14:textId="77777777" w:rsidR="00954F0C" w:rsidRPr="00A27896" w:rsidRDefault="00954F0C" w:rsidP="00BE768C">
      <w:pPr>
        <w:pStyle w:val="Pamatteksts1"/>
      </w:pPr>
      <w:r w:rsidRPr="00A27896">
        <w:lastRenderedPageBreak/>
        <w:t>Citos ieņēmumos un izdevumos no pamatdarbības uzskaitīti pārējie ieņēmumi un izdevumi, kas nav uzskaitīti citos pamatdarbības posteņos, kā arī citu budžetu līdzekļi, kas uz laiku ir iestādes glabājumā (konkursa vai drošības nauda, vēlēšanu drošības nauda, pansionātos dzīvojošo pensijas, atsavinātie līdzekļi no aizturētām personām un ieņēmumi par mantas realizāciju no krimināllietām un administratīvo pārkāpumu lietām līdz tiesas lēmumam, ieslodzīto un citu personu personīgā nauda, drošības nauda par kasācijas sūdzību). Citu budžetu līdzekļus pamatdarbības ieņēmumos norāda neto vērtībā, t.i., no pārskata periodā saņemtiem līdzekļiem atskaitot pārskata periodā atmaksātos līdzekļus.</w:t>
      </w:r>
    </w:p>
    <w:p w14:paraId="051B00A1" w14:textId="77777777" w:rsidR="00954F0C" w:rsidRPr="00A27896" w:rsidRDefault="00954F0C" w:rsidP="005A3758">
      <w:pPr>
        <w:pStyle w:val="Heading4"/>
        <w:rPr>
          <w:rFonts w:cs="Times New Roman"/>
        </w:rPr>
      </w:pPr>
      <w:r w:rsidRPr="00A27896">
        <w:rPr>
          <w:rFonts w:cs="Times New Roman"/>
        </w:rPr>
        <w:t>Ieguldījumu darbība (ieņēmumi un izdevumi)</w:t>
      </w:r>
    </w:p>
    <w:p w14:paraId="77F3DF46" w14:textId="77777777" w:rsidR="00954F0C" w:rsidRPr="00A27896" w:rsidRDefault="00954F0C" w:rsidP="00BE768C">
      <w:pPr>
        <w:pStyle w:val="Pamatteksts1"/>
      </w:pPr>
      <w:r w:rsidRPr="00A27896">
        <w:t>Ieguldījumu darbības naudas plūsma veidojas no aktīvu iegādes, kas paredzēti budžeta iestāžu funkciju nodrošināšanai, ienākumu gūšanai un naudas plūsmas radīšanai nākotnē, un no šādu aktīvu pārdošanas.</w:t>
      </w:r>
    </w:p>
    <w:p w14:paraId="61C988DF" w14:textId="77777777" w:rsidR="00954F0C" w:rsidRPr="00A27896" w:rsidRDefault="00954F0C" w:rsidP="00BE768C">
      <w:pPr>
        <w:pStyle w:val="Pamatteksts1"/>
      </w:pPr>
      <w:r w:rsidRPr="00A27896">
        <w:t>Ieguldījumu darbības naudas plūsmā ieņēmumus un izdevumus veido šādi darījumi:</w:t>
      </w:r>
    </w:p>
    <w:p w14:paraId="0B94CA60" w14:textId="77777777" w:rsidR="00954F0C" w:rsidRPr="00A27896" w:rsidRDefault="00954F0C" w:rsidP="000D2C39">
      <w:pPr>
        <w:pStyle w:val="Bullets"/>
      </w:pPr>
      <w:r w:rsidRPr="00A27896">
        <w:t xml:space="preserve">ilgtermiņa </w:t>
      </w:r>
      <w:proofErr w:type="spellStart"/>
      <w:r w:rsidRPr="00A27896">
        <w:t>nefinanšu</w:t>
      </w:r>
      <w:proofErr w:type="spellEnd"/>
      <w:r w:rsidRPr="00A27896">
        <w:t xml:space="preserve"> aktīvu (izņemot ieguldījuma īpašumus) iegāde (tai skaitā veiktie maksājumi par kapitalizētām attīstības izmaksām un </w:t>
      </w:r>
      <w:proofErr w:type="spellStart"/>
      <w:r w:rsidRPr="00A27896">
        <w:t>pašradītiem</w:t>
      </w:r>
      <w:proofErr w:type="spellEnd"/>
      <w:r w:rsidRPr="00A27896">
        <w:t xml:space="preserve"> ilgtermiņa ieguldījumiem), avanss par šiem aktīviem un šādu aktīvu atsavināšana;</w:t>
      </w:r>
    </w:p>
    <w:p w14:paraId="662485E9" w14:textId="77777777" w:rsidR="00954F0C" w:rsidRPr="00A27896" w:rsidRDefault="00954F0C" w:rsidP="000D2C39">
      <w:pPr>
        <w:pStyle w:val="Bullets"/>
      </w:pPr>
      <w:r w:rsidRPr="00A27896">
        <w:t xml:space="preserve">ilgtermiņa finanšu aktīvu (piemēram, līdzdalība kapitālā un iegādātie parāda vērtspapīri) iegāde, avanss par šiem aktīviem un šādu aktīvu atsavināšana; </w:t>
      </w:r>
    </w:p>
    <w:p w14:paraId="7A405BBF" w14:textId="77777777" w:rsidR="00954F0C" w:rsidRPr="00A27896" w:rsidRDefault="00954F0C" w:rsidP="000D2C39">
      <w:pPr>
        <w:pStyle w:val="Bullets"/>
      </w:pPr>
      <w:r w:rsidRPr="00A27896">
        <w:t>saņemtie maksājumi finanšu nomas līgumu ietvaros un veiktie maksājumi partnerības līgumu ietvaros;</w:t>
      </w:r>
    </w:p>
    <w:p w14:paraId="120C9A10" w14:textId="77777777" w:rsidR="00954F0C" w:rsidRPr="00A27896" w:rsidRDefault="00954F0C" w:rsidP="000D2C39">
      <w:pPr>
        <w:pStyle w:val="Bullets"/>
      </w:pPr>
      <w:r w:rsidRPr="00A27896">
        <w:t>citi uz ieguldījumu darbību attiecināmi saņemti un veikti maksājumi;</w:t>
      </w:r>
    </w:p>
    <w:p w14:paraId="087F0C0B" w14:textId="51A60E1B" w:rsidR="00954F0C" w:rsidRPr="00A27896" w:rsidRDefault="00954F0C" w:rsidP="000D2C39">
      <w:pPr>
        <w:pStyle w:val="Bullets"/>
      </w:pPr>
      <w:r w:rsidRPr="00A27896">
        <w:t xml:space="preserve">valsts budžeta finanšu uzskaites ieņēmumi vai izdevumi no parāda vērtspapīru pārdošanas un ieguldījuma vērtspapīru iegādes. </w:t>
      </w:r>
    </w:p>
    <w:p w14:paraId="0CFDA644" w14:textId="77777777" w:rsidR="00954F0C" w:rsidRPr="00A27896" w:rsidRDefault="00954F0C" w:rsidP="00BE768C">
      <w:pPr>
        <w:pStyle w:val="Pamatteksts1"/>
      </w:pPr>
      <w:r w:rsidRPr="00A27896">
        <w:t>Procentu ieņēmumus vai izdevumus no ieguldījumu darbības klasificē šādi:</w:t>
      </w:r>
    </w:p>
    <w:p w14:paraId="79E02EE1" w14:textId="77777777" w:rsidR="00954F0C" w:rsidRPr="00A27896" w:rsidRDefault="00954F0C" w:rsidP="000D2C39">
      <w:pPr>
        <w:pStyle w:val="Bullets"/>
      </w:pPr>
      <w:r w:rsidRPr="00A27896">
        <w:t>valsts un pašvaldību budžeta iestādes procentu ieņēmumi vai izdevumi, ja ieguldījuma mērķis ir gūt atdevi (termiņnoguldījumi, ieguldījumi kapitālsabiedrībās, finanšu noma (iznomātājam), ieguldījumi vērtspapīros);</w:t>
      </w:r>
    </w:p>
    <w:p w14:paraId="28736613" w14:textId="77777777" w:rsidR="00954F0C" w:rsidRPr="00A27896" w:rsidRDefault="00954F0C" w:rsidP="000D2C39">
      <w:pPr>
        <w:pStyle w:val="Bullets"/>
      </w:pPr>
      <w:r w:rsidRPr="00A27896">
        <w:t xml:space="preserve">valsts budžeta finanšu uzskaites procentu izdevumi par pieņemtajiem noguldījumiem, procentu ieņēmumi par ieguldījuma vērtspapīriem un procentu izdevumi par emitētajiem parāda vērtspapīriem. </w:t>
      </w:r>
    </w:p>
    <w:p w14:paraId="6E1FB5F3" w14:textId="77777777" w:rsidR="00954F0C" w:rsidRPr="00A27896" w:rsidRDefault="00954F0C" w:rsidP="005A3758">
      <w:pPr>
        <w:pStyle w:val="Heading4"/>
        <w:rPr>
          <w:rFonts w:cs="Times New Roman"/>
        </w:rPr>
      </w:pPr>
      <w:r w:rsidRPr="00A27896">
        <w:rPr>
          <w:rFonts w:cs="Times New Roman"/>
        </w:rPr>
        <w:t>Finansēšanas darbība (ieņēmumi un izdevumi)</w:t>
      </w:r>
    </w:p>
    <w:p w14:paraId="51941D51" w14:textId="56684AAE" w:rsidR="00954F0C" w:rsidRPr="00A27896" w:rsidRDefault="00954F0C" w:rsidP="00BE768C">
      <w:pPr>
        <w:pStyle w:val="Pamatteksts1"/>
      </w:pPr>
      <w:r w:rsidRPr="00A27896">
        <w:t>Par finansēšanas darbību uzskata darbību, kas rada izmaiņas aizņēmumu (piemēram, emitētie parāda vērtspapīri, aizņēmumi, izņemot pārsnieguma kredītus (</w:t>
      </w:r>
      <w:proofErr w:type="spellStart"/>
      <w:r w:rsidRPr="00A27896">
        <w:t>overdraftus</w:t>
      </w:r>
      <w:proofErr w:type="spellEnd"/>
      <w:r w:rsidRPr="00A27896">
        <w:t xml:space="preserve">)) apmērā un sastāvā, kā arī darījumus ar atvasinātiem finanšu instrumentiem, </w:t>
      </w:r>
      <w:r w:rsidR="00A23002" w:rsidRPr="00A27896">
        <w:t xml:space="preserve">tai skaitā, </w:t>
      </w:r>
      <w:r w:rsidR="00A8298C" w:rsidRPr="00A27896">
        <w:t xml:space="preserve">kas noteikti kā riska ierobežošanas instrumenti, </w:t>
      </w:r>
      <w:r w:rsidRPr="00A27896">
        <w:t>ja tie piesaistīti finansēšanas darbībā iekļautajiem finanšu instrumentiem, un veiktos maksājumus finanšu nomas līguma ietvaros.</w:t>
      </w:r>
    </w:p>
    <w:p w14:paraId="3A3597F3" w14:textId="1F0C20D5" w:rsidR="00954F0C" w:rsidRPr="00A27896" w:rsidRDefault="00954F0C" w:rsidP="00BE768C">
      <w:pPr>
        <w:pStyle w:val="Pamatteksts1"/>
      </w:pPr>
      <w:r w:rsidRPr="00A27896">
        <w:t>Ieņēmumos vai izdevumos no finansēšanas darbības uzskaita nauda</w:t>
      </w:r>
      <w:r w:rsidR="00FF4433" w:rsidRPr="00A27896">
        <w:t>s līdzekļus un tās ekvivalentus.</w:t>
      </w:r>
      <w:r w:rsidRPr="00A27896">
        <w:t xml:space="preserve"> </w:t>
      </w:r>
    </w:p>
    <w:p w14:paraId="351311DB" w14:textId="2A89FD92" w:rsidR="00954F0C" w:rsidRPr="00A27896" w:rsidRDefault="00954F0C" w:rsidP="00BE768C">
      <w:pPr>
        <w:pStyle w:val="Pamatteksts1"/>
      </w:pPr>
      <w:r w:rsidRPr="00A27896">
        <w:t>Par finansēšanas darbību uzskata:</w:t>
      </w:r>
    </w:p>
    <w:p w14:paraId="37A0CA76" w14:textId="77777777" w:rsidR="00954F0C" w:rsidRPr="00A27896" w:rsidRDefault="00954F0C" w:rsidP="000D2C39">
      <w:pPr>
        <w:pStyle w:val="Bullets"/>
      </w:pPr>
      <w:r w:rsidRPr="00A27896">
        <w:t>valsts un pašvaldību budžeta iestāžu ieņēmumus, kas saņemti par aizdevumu atmaksām vai saņemtiem aizņēmumiem, vai izdevumus, kas samaksāti par aizdevumu izsniegšanu vai aizņēmumu atmaksu;</w:t>
      </w:r>
    </w:p>
    <w:p w14:paraId="2E83EAC8" w14:textId="77777777" w:rsidR="00954F0C" w:rsidRPr="00A27896" w:rsidRDefault="00954F0C" w:rsidP="000D2C39">
      <w:pPr>
        <w:pStyle w:val="Bullets"/>
      </w:pPr>
      <w:r w:rsidRPr="00A27896">
        <w:lastRenderedPageBreak/>
        <w:t>valsts budžeta finanšu vadībā – naudas līdzekļus, kas saņemti par pašu emitēto vērtspapīru pārdošanu vai samaksāti par emitēto vērtspapīru dzēšanu.</w:t>
      </w:r>
    </w:p>
    <w:p w14:paraId="15D2D34D" w14:textId="794BDC86"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Procentu ieņēmumus vai izdevumus no finansēšanas darbības klasificē šādi:</w:t>
      </w:r>
    </w:p>
    <w:p w14:paraId="5400DFE0" w14:textId="77777777" w:rsidR="00954F0C" w:rsidRPr="00A27896" w:rsidRDefault="00954F0C" w:rsidP="000D2C39">
      <w:pPr>
        <w:pStyle w:val="Bullets"/>
      </w:pPr>
      <w:r w:rsidRPr="00A27896">
        <w:t xml:space="preserve">valsts un pašvaldību budžeta iestāžu procentu ieņēmumi vai izdevumi par aizņēmumiem, finanšu nomu (nomniekam) un citiem darījumiem atbilstoši </w:t>
      </w:r>
      <w:proofErr w:type="spellStart"/>
      <w:r w:rsidRPr="00A27896">
        <w:t>izvērtējumam</w:t>
      </w:r>
      <w:proofErr w:type="spellEnd"/>
      <w:r w:rsidRPr="00A27896">
        <w:t>;</w:t>
      </w:r>
    </w:p>
    <w:p w14:paraId="40998957" w14:textId="17E5B8F5" w:rsidR="00954F0C" w:rsidRPr="00A27896" w:rsidRDefault="00954F0C" w:rsidP="000D2C39">
      <w:pPr>
        <w:pStyle w:val="Bullets"/>
      </w:pPr>
      <w:r w:rsidRPr="00A27896">
        <w:t>valsts budžeta finanšu uzskaites procentu ieņēmumi, kas samaksāti par aizņēmumiem un</w:t>
      </w:r>
      <w:r w:rsidR="00D50D19" w:rsidRPr="00A27896">
        <w:t xml:space="preserve"> </w:t>
      </w:r>
      <w:r w:rsidRPr="00A27896">
        <w:t>emitētajiem parāda vērtspapīriem.</w:t>
      </w:r>
    </w:p>
    <w:p w14:paraId="5D3696D6" w14:textId="13B99758" w:rsidR="00954F0C" w:rsidRPr="00A27896" w:rsidRDefault="00954F0C" w:rsidP="00686079">
      <w:pPr>
        <w:spacing w:after="120" w:line="240" w:lineRule="auto"/>
        <w:ind w:firstLine="284"/>
        <w:jc w:val="both"/>
        <w:rPr>
          <w:rFonts w:eastAsia="Times New Roman" w:cs="Times New Roman"/>
          <w:b/>
          <w:bCs/>
          <w:i/>
          <w:color w:val="17365D"/>
          <w:szCs w:val="24"/>
        </w:rPr>
      </w:pPr>
      <w:r w:rsidRPr="00A27896">
        <w:rPr>
          <w:rFonts w:eastAsia="Times New Roman" w:cs="Times New Roman"/>
          <w:b/>
          <w:bCs/>
          <w:i/>
          <w:color w:val="17365D"/>
          <w:szCs w:val="24"/>
        </w:rPr>
        <w:t xml:space="preserve">Naudas līdzekļu </w:t>
      </w:r>
      <w:r w:rsidR="00EE17D8" w:rsidRPr="00A27896">
        <w:rPr>
          <w:rFonts w:eastAsia="Times New Roman" w:cs="Times New Roman"/>
          <w:b/>
          <w:bCs/>
          <w:i/>
          <w:color w:val="17365D"/>
          <w:szCs w:val="24"/>
        </w:rPr>
        <w:t>plūsma no</w:t>
      </w:r>
      <w:r w:rsidRPr="00A27896">
        <w:rPr>
          <w:rFonts w:eastAsia="Times New Roman" w:cs="Times New Roman"/>
          <w:b/>
          <w:bCs/>
          <w:i/>
          <w:color w:val="17365D"/>
          <w:szCs w:val="24"/>
        </w:rPr>
        <w:t xml:space="preserve"> piesaistītajiem līdzekļiem</w:t>
      </w:r>
    </w:p>
    <w:p w14:paraId="12456D7B" w14:textId="746458DA" w:rsidR="00954F0C" w:rsidRPr="00A27896" w:rsidRDefault="00954F0C" w:rsidP="00BE768C">
      <w:pPr>
        <w:pStyle w:val="Pamatteksts1"/>
      </w:pPr>
      <w:r w:rsidRPr="00A27896">
        <w:t xml:space="preserve">Naudas līdzekļu </w:t>
      </w:r>
      <w:r w:rsidR="00EE17D8" w:rsidRPr="00A27896">
        <w:rPr>
          <w:rFonts w:eastAsia="Times New Roman"/>
          <w:bCs/>
        </w:rPr>
        <w:t>plūsma no</w:t>
      </w:r>
      <w:r w:rsidR="00EE17D8" w:rsidRPr="00A27896">
        <w:rPr>
          <w:rFonts w:eastAsia="Times New Roman"/>
          <w:b/>
          <w:bCs/>
          <w:i/>
        </w:rPr>
        <w:t xml:space="preserve"> </w:t>
      </w:r>
      <w:r w:rsidRPr="00A27896">
        <w:t xml:space="preserve">piesaistītajiem līdzekļiem ir naudas plūsma, kas veidojas no naudas saņemšanas vai izmaksāšanas Valsts kases klientu kontos, kā arī no naudas </w:t>
      </w:r>
      <w:proofErr w:type="spellStart"/>
      <w:r w:rsidRPr="00A27896">
        <w:t>pārskaitījumiem</w:t>
      </w:r>
      <w:proofErr w:type="spellEnd"/>
      <w:r w:rsidRPr="00A27896">
        <w:t xml:space="preserve"> starp Valsts kases kontiem un ieguldījumiem depozītos Valsts kases kontos.</w:t>
      </w:r>
    </w:p>
    <w:p w14:paraId="0C85C414" w14:textId="77777777" w:rsidR="00954F0C" w:rsidRPr="00A27896" w:rsidRDefault="00954F0C" w:rsidP="005A3758">
      <w:pPr>
        <w:pStyle w:val="Heading4"/>
        <w:rPr>
          <w:rFonts w:cs="Times New Roman"/>
        </w:rPr>
      </w:pPr>
      <w:r w:rsidRPr="00A27896">
        <w:rPr>
          <w:rFonts w:cs="Times New Roman"/>
        </w:rPr>
        <w:t>Ārvalstu valūtu kursu svārstību rezultāts</w:t>
      </w:r>
    </w:p>
    <w:p w14:paraId="02BFF62E" w14:textId="1E556C8D" w:rsidR="00954F0C" w:rsidRPr="00A27896" w:rsidRDefault="00954F0C" w:rsidP="00BE768C">
      <w:pPr>
        <w:pStyle w:val="Pamatteksts1"/>
      </w:pPr>
      <w:r w:rsidRPr="00A27896">
        <w:t>Peļņa vai zaudējumi, kas rodas ārvalstu valūtas kursa svārstību rezultātā, nav uzskatāmi par naudas plūsmu. Tomēr, lai salīdzinātu naudas līdzekļu un naudas ekvivalentu (tai skaitā noguldījumu, kuru termiņš nepārsniedz 90 dienas) atlikumu perioda sākumā un beigās, naudas plūsmas pārskatā uzrāda ārvalstu valūtas kursa svārstību ietekmi uz naudas līdzekļu atlikumiem un to ekvivalentiem ārvalstu valūtā. Šo ietekmi uzrāda atsevišķi no pamatdarbības, ieguldījumu darbības un finansēšanas darbības.</w:t>
      </w:r>
    </w:p>
    <w:p w14:paraId="3A239018" w14:textId="77777777" w:rsidR="004C46B4" w:rsidRPr="00A27896" w:rsidRDefault="004C46B4">
      <w:pPr>
        <w:rPr>
          <w:rFonts w:eastAsiaTheme="majorEastAsia" w:cs="Times New Roman"/>
          <w:b/>
          <w:bCs/>
          <w:color w:val="17365D"/>
          <w:szCs w:val="26"/>
          <w:u w:val="single"/>
        </w:rPr>
      </w:pPr>
      <w:r w:rsidRPr="00A27896">
        <w:rPr>
          <w:rFonts w:cs="Times New Roman"/>
          <w:color w:val="17365D"/>
        </w:rPr>
        <w:br w:type="page"/>
      </w:r>
    </w:p>
    <w:p w14:paraId="4E5C567F" w14:textId="4019D595" w:rsidR="00AB2439" w:rsidRPr="00A27896" w:rsidRDefault="00AB2439" w:rsidP="008515BB">
      <w:pPr>
        <w:pStyle w:val="Heading2"/>
      </w:pPr>
      <w:r w:rsidRPr="00A27896">
        <w:lastRenderedPageBreak/>
        <w:t>Finanšu instrumentu risku pārvaldīšanas apraksts</w:t>
      </w:r>
    </w:p>
    <w:p w14:paraId="476F2A3E" w14:textId="77777777" w:rsidR="00AB2439" w:rsidRPr="00A27896" w:rsidRDefault="00AB2439" w:rsidP="00BE768C">
      <w:pPr>
        <w:pStyle w:val="Pamatteksts1"/>
      </w:pPr>
      <w:r w:rsidRPr="00A27896">
        <w:t xml:space="preserve">Ministrijas un pašvaldības konsolidētā gada pārskata pielikumā pievieno tās īstenoto finanšu instrumentu risku pārvaldīšanas aprakstu. </w:t>
      </w:r>
    </w:p>
    <w:p w14:paraId="0EB459C7" w14:textId="3A7E1EDB" w:rsidR="00AB2439" w:rsidRPr="00A27896" w:rsidRDefault="00AB2439" w:rsidP="00BE768C">
      <w:pPr>
        <w:pStyle w:val="Pamatteksts1"/>
      </w:pPr>
      <w:r w:rsidRPr="00A27896">
        <w:t xml:space="preserve">Būtiskākos skaidrojumus par finanšu instrumentu risku pārvaldību sniegusi Valsts kase un Rīgas </w:t>
      </w:r>
      <w:proofErr w:type="spellStart"/>
      <w:r w:rsidR="00FA4C96" w:rsidRPr="00A27896">
        <w:t>valsts</w:t>
      </w:r>
      <w:r w:rsidRPr="00A27896">
        <w:t>pilsētas</w:t>
      </w:r>
      <w:proofErr w:type="spellEnd"/>
      <w:r w:rsidRPr="00A27896">
        <w:t xml:space="preserve"> pašvaldība.</w:t>
      </w:r>
    </w:p>
    <w:p w14:paraId="37E4E52F" w14:textId="0C92FFDA" w:rsidR="00AB2439" w:rsidRPr="00A27896" w:rsidRDefault="00AB2439" w:rsidP="008515BB">
      <w:pPr>
        <w:pStyle w:val="Heading3"/>
      </w:pPr>
      <w:r w:rsidRPr="00A27896">
        <w:t>Valsts budžeta finanšu uzskaites finanšu instrumentu risku pārvaldīšana</w:t>
      </w:r>
    </w:p>
    <w:p w14:paraId="63391743" w14:textId="406E64CB" w:rsidR="00AB2439" w:rsidRPr="00A27896" w:rsidRDefault="00AB2439" w:rsidP="00BE768C">
      <w:pPr>
        <w:pStyle w:val="Pamatteksts1"/>
      </w:pPr>
      <w:r w:rsidRPr="00A27896">
        <w:t>Valsts budžeta finanšu uzskaitē esošo parāda finanšu instrumentu risku pārvaldību īsteno Valsts kase saskaņā ar Valsts parāda un naudas līdzekļu vadības stratēģijā</w:t>
      </w:r>
      <w:r w:rsidRPr="00A27896">
        <w:rPr>
          <w:rStyle w:val="FootnoteReference"/>
        </w:rPr>
        <w:footnoteReference w:id="5"/>
      </w:r>
      <w:r w:rsidRPr="00A27896">
        <w:t xml:space="preserve"> (turpmāk</w:t>
      </w:r>
      <w:r w:rsidR="007425AD" w:rsidRPr="00A27896">
        <w:t xml:space="preserve"> –</w:t>
      </w:r>
      <w:r w:rsidRPr="00A27896">
        <w:t xml:space="preserve"> VK stratēģija) noteiktiem finanšu risku vadības pamatprincipiem. </w:t>
      </w:r>
    </w:p>
    <w:p w14:paraId="203E415B" w14:textId="77777777" w:rsidR="00AB2439" w:rsidRPr="00A27896" w:rsidRDefault="00AB2439" w:rsidP="00BE768C">
      <w:pPr>
        <w:pStyle w:val="Pamatteksts1"/>
      </w:pPr>
      <w:r w:rsidRPr="00A27896">
        <w:t>Finanšu risku vadības mērķis ir nepieļaut valsts parāda apkalpošanas izmaksu nekontrolētu palielināšanos un ierobežot saistību neizpildes risku VK stratēģijas ietvaros noslēgtajos darījumos.</w:t>
      </w:r>
    </w:p>
    <w:p w14:paraId="0F5DF5A3" w14:textId="77777777" w:rsidR="00AB2439" w:rsidRPr="00A27896" w:rsidRDefault="00AB2439" w:rsidP="00BE768C">
      <w:pPr>
        <w:pStyle w:val="Pamatteksts1"/>
        <w:rPr>
          <w:szCs w:val="24"/>
        </w:rPr>
      </w:pPr>
      <w:r w:rsidRPr="00A27896">
        <w:rPr>
          <w:szCs w:val="24"/>
        </w:rPr>
        <w:t>Valsts kase saskaņā ar VK stratēģijā noteiktajiem pamatprincipiem vada sekojošus finanšu riskus:</w:t>
      </w:r>
      <w:r w:rsidRPr="00A27896" w:rsidDel="00BE11A6">
        <w:rPr>
          <w:szCs w:val="24"/>
        </w:rPr>
        <w:t xml:space="preserve"> </w:t>
      </w:r>
    </w:p>
    <w:p w14:paraId="22A51CD3" w14:textId="77777777" w:rsidR="00AB2439" w:rsidRPr="000D2C39" w:rsidRDefault="00AB2439" w:rsidP="000D2C39">
      <w:pPr>
        <w:pStyle w:val="Bullets"/>
      </w:pPr>
      <w:r w:rsidRPr="000D2C39">
        <w:t xml:space="preserve">kredītrisku – iespēju, ka </w:t>
      </w:r>
      <w:proofErr w:type="spellStart"/>
      <w:r w:rsidRPr="000D2C39">
        <w:t>partnerpuse</w:t>
      </w:r>
      <w:proofErr w:type="spellEnd"/>
      <w:r w:rsidRPr="000D2C39">
        <w:t>, finanšu instrumenta emitents un/vai tā galvinieks nespēs noteiktā laikā un pilnā apmērā pildīt savas saistības;</w:t>
      </w:r>
    </w:p>
    <w:p w14:paraId="334F7D61" w14:textId="77777777" w:rsidR="00AB2439" w:rsidRPr="000D2C39" w:rsidRDefault="00AB2439" w:rsidP="000D2C39">
      <w:pPr>
        <w:pStyle w:val="Bullets"/>
      </w:pPr>
      <w:r w:rsidRPr="000D2C39">
        <w:t>likviditātes risku – finansējuma nepietiekamības risku Valsts kases naudas līdzekļu kontos valsts finansiālo saistību savlaicīgai izpildei pilnā apmērā nākamo 12 mēnešu laikā;</w:t>
      </w:r>
    </w:p>
    <w:p w14:paraId="0B89CAF5" w14:textId="77777777" w:rsidR="00AB2439" w:rsidRPr="000D2C39" w:rsidRDefault="00AB2439" w:rsidP="000D2C39">
      <w:pPr>
        <w:pStyle w:val="Bullets"/>
      </w:pPr>
      <w:r w:rsidRPr="000D2C39">
        <w:t>pārfinansēšanas risku – nespēja pārfinansēt valsts parāda saistības vidējā termiņā ar pieņemamiem nosacījumiem;</w:t>
      </w:r>
    </w:p>
    <w:p w14:paraId="403BCEE1" w14:textId="77777777" w:rsidR="00AB2439" w:rsidRPr="000D2C39" w:rsidRDefault="00AB2439" w:rsidP="000D2C39">
      <w:pPr>
        <w:pStyle w:val="Bullets"/>
      </w:pPr>
      <w:r w:rsidRPr="000D2C39">
        <w:t>procentu likmju risku – iespēju, ka procentu likmju izmaiņas nelabvēlīgi ietekmēs ieņēmumus/ izdevumus. Risks rodas, ja pastāv ievērojama starpība starp aktīvu un pasīvu, kas jūtīgi reaģē uz procentu likmju izmaiņām;</w:t>
      </w:r>
    </w:p>
    <w:p w14:paraId="517C5837" w14:textId="77777777" w:rsidR="00AB2439" w:rsidRPr="00A27896" w:rsidRDefault="00AB2439" w:rsidP="000D2C39">
      <w:pPr>
        <w:pStyle w:val="Bullets"/>
      </w:pPr>
      <w:r w:rsidRPr="000D2C39">
        <w:t xml:space="preserve">valūtu risku – iespēju, ka valūtas kursa svārstību rezultātā ārvalstu valūtā </w:t>
      </w:r>
      <w:proofErr w:type="spellStart"/>
      <w:r w:rsidRPr="000D2C39">
        <w:t>denominēto</w:t>
      </w:r>
      <w:proofErr w:type="spellEnd"/>
      <w:r w:rsidRPr="000D2C39">
        <w:t xml:space="preserve"> aktīvu/</w:t>
      </w:r>
      <w:r w:rsidRPr="00A27896">
        <w:t xml:space="preserve"> saistību vērtība euro izteiksmē mainīsies negatīvā virzienā. Valūtas risks rodas, ja pastāv nesaskaņotība prasību un saistību summās ārvalstu valūtās.</w:t>
      </w:r>
    </w:p>
    <w:p w14:paraId="04A2623A" w14:textId="1268DEF0" w:rsidR="00340325" w:rsidRPr="00A27896" w:rsidRDefault="00AB2439" w:rsidP="00BE768C">
      <w:pPr>
        <w:pStyle w:val="Pamatteksts1"/>
      </w:pPr>
      <w:r w:rsidRPr="00A27896">
        <w:t xml:space="preserve">Detalizēta informācija par parāda vadības rādītājiem </w:t>
      </w:r>
      <w:r w:rsidR="000C1009" w:rsidRPr="00A27896">
        <w:t>202</w:t>
      </w:r>
      <w:r w:rsidR="0002516F">
        <w:t>4</w:t>
      </w:r>
      <w:r w:rsidR="000C1009" w:rsidRPr="00A27896">
        <w:t>.</w:t>
      </w:r>
      <w:r w:rsidR="00245866">
        <w:t> </w:t>
      </w:r>
      <w:r w:rsidR="000C1009" w:rsidRPr="00A27896">
        <w:t>gad</w:t>
      </w:r>
      <w:r w:rsidRPr="00A27896">
        <w:t>ā pieejama Valsts kases sagatavotajā 20</w:t>
      </w:r>
      <w:r w:rsidR="00B0423E" w:rsidRPr="00A27896">
        <w:t>2</w:t>
      </w:r>
      <w:r w:rsidR="0002516F">
        <w:t>4</w:t>
      </w:r>
      <w:r w:rsidRPr="00A27896">
        <w:t>.</w:t>
      </w:r>
      <w:r w:rsidR="0035073E" w:rsidRPr="00A27896">
        <w:t xml:space="preserve"> </w:t>
      </w:r>
      <w:r w:rsidRPr="00A27896">
        <w:t>gada parāda vadības pārskatā, kas ir publicēts Valsts kases</w:t>
      </w:r>
      <w:r w:rsidR="00D76DAA" w:rsidRPr="00A27896">
        <w:t xml:space="preserve"> tīmekļa vietnē</w:t>
      </w:r>
      <w:r w:rsidRPr="00A27896">
        <w:t>:</w:t>
      </w:r>
    </w:p>
    <w:p w14:paraId="2A5124F3" w14:textId="5C3D4EDD" w:rsidR="00AB2439" w:rsidRPr="00A27896" w:rsidRDefault="00340325" w:rsidP="00BE768C">
      <w:pPr>
        <w:pStyle w:val="Pamatteksts1"/>
      </w:pPr>
      <w:r w:rsidRPr="00A27896">
        <w:t>www.kase.gov.lv/Pārskati un tāmes/Valsts parāda vadības pārskati/Gada pārskati/202</w:t>
      </w:r>
      <w:r w:rsidR="0002516F">
        <w:t>4</w:t>
      </w:r>
    </w:p>
    <w:p w14:paraId="2AFA0E2B" w14:textId="7EB57049" w:rsidR="00B0423E" w:rsidRPr="00A27896" w:rsidRDefault="00AB2439" w:rsidP="00BE768C">
      <w:pPr>
        <w:pStyle w:val="Pamatteksts1"/>
      </w:pPr>
      <w:r w:rsidRPr="00A27896">
        <w:t>Valsts budžeta finanšu uzskaitē finanšu aktīvu vērtības samazinājumu regulāri pārskata un izvērtē, vai ir objektīvi pierādījumi, kas liecina par iespējamo aplēsto nākotnes naudas plūsmu samazināšanos</w:t>
      </w:r>
      <w:r w:rsidR="005528D1" w:rsidRPr="00A27896">
        <w:t>,</w:t>
      </w:r>
      <w:r w:rsidRPr="00A27896">
        <w:t xml:space="preserve"> un vai šo apmēru var ticami novērtēt.</w:t>
      </w:r>
    </w:p>
    <w:p w14:paraId="4966A7EC" w14:textId="2FF81C0D" w:rsidR="00AB2439" w:rsidRPr="00A27896" w:rsidRDefault="00AB2439" w:rsidP="00BE768C">
      <w:pPr>
        <w:pStyle w:val="Pamatteksts1"/>
      </w:pPr>
      <w:r w:rsidRPr="00A27896">
        <w:t>Valsts kase ne retāk kā reizi ceturksnī vērtē, vai nav iestājies kredīta ņēmēja kredītriska notikums, tas ir</w:t>
      </w:r>
      <w:r w:rsidR="005528D1" w:rsidRPr="00A27896">
        <w:t>,</w:t>
      </w:r>
      <w:r w:rsidRPr="00A27896">
        <w:t xml:space="preserve"> ja tiek konstatēta viena no zemāk minētajām pazīmēm:</w:t>
      </w:r>
    </w:p>
    <w:p w14:paraId="0244F3E3" w14:textId="77777777" w:rsidR="00AB2439" w:rsidRPr="00A27896" w:rsidRDefault="00AB2439" w:rsidP="000D2C39">
      <w:pPr>
        <w:pStyle w:val="Bullets"/>
      </w:pPr>
      <w:r w:rsidRPr="00A27896">
        <w:t>vāja vai slikta kredītspēja;</w:t>
      </w:r>
    </w:p>
    <w:p w14:paraId="2A4CF534" w14:textId="24BDD646" w:rsidR="00AB2439" w:rsidRPr="00A27896" w:rsidRDefault="00AB2439" w:rsidP="000D2C39">
      <w:pPr>
        <w:pStyle w:val="Bullets"/>
      </w:pPr>
      <w:r w:rsidRPr="00A27896">
        <w:t>parāds (</w:t>
      </w:r>
      <w:proofErr w:type="spellStart"/>
      <w:r w:rsidRPr="00A27896">
        <w:t>kredītmaksājumiem</w:t>
      </w:r>
      <w:proofErr w:type="spellEnd"/>
      <w:r w:rsidRPr="00A27896">
        <w:t xml:space="preserve"> nokavēti termiņi vairāk par 5 dienām</w:t>
      </w:r>
      <w:r w:rsidR="007D5CA7" w:rsidRPr="00A27896">
        <w:t>,</w:t>
      </w:r>
      <w:r w:rsidRPr="00A27896">
        <w:t xml:space="preserve"> vai no iepriekšējiem mēnešiem uzkrāti nodokļu parādi</w:t>
      </w:r>
      <w:r w:rsidR="00350384" w:rsidRPr="00A27896">
        <w:t xml:space="preserve"> vai saņemta informācija par kredītu ņēmēju nespēju segt saistības</w:t>
      </w:r>
      <w:r w:rsidRPr="00A27896">
        <w:t>);</w:t>
      </w:r>
    </w:p>
    <w:p w14:paraId="65678609" w14:textId="77777777" w:rsidR="00AB2439" w:rsidRPr="00A27896" w:rsidRDefault="00AB2439" w:rsidP="000D2C39">
      <w:pPr>
        <w:pStyle w:val="Bullets"/>
      </w:pPr>
      <w:r w:rsidRPr="00A27896">
        <w:t>pēdējo divu gadu laikā ir veikta valsts aizdevuma restrukturizācija (atvieglojumu piešķiršana, kuri netiktu izskatīti citos apstākļos);</w:t>
      </w:r>
    </w:p>
    <w:p w14:paraId="4F8DF650" w14:textId="77777777" w:rsidR="00AB2439" w:rsidRPr="00A27896" w:rsidRDefault="00AB2439" w:rsidP="000D2C39">
      <w:pPr>
        <w:pStyle w:val="Bullets"/>
      </w:pPr>
      <w:r w:rsidRPr="00A27896">
        <w:t>pret kredīta ņēmēju uzsākts Maksātnespējas likumā noteiktais tiesiskās aizsardzības vai maksātnespējas process.</w:t>
      </w:r>
    </w:p>
    <w:p w14:paraId="142F3C3F" w14:textId="70134717" w:rsidR="00AB2439" w:rsidRPr="00A27896" w:rsidRDefault="00AB2439" w:rsidP="00BE768C">
      <w:pPr>
        <w:pStyle w:val="Pamatteksts1"/>
      </w:pPr>
      <w:r w:rsidRPr="00A27896">
        <w:lastRenderedPageBreak/>
        <w:t>Valsts aizdevumiem Valsts kase analizē kredītrisku un nosaka atbilstošu vērtības samazinājumu gan noteiktām aizņēmēju grupām, gan katram aizņēmējam individuāli (individuāli vērtējamo aizņēmēju grupā), izvērtējot kredītriska notikumu un nākotnē sagaidāmo naudas plūsmu no valsts aizdevuma</w:t>
      </w:r>
      <w:r w:rsidR="00350384" w:rsidRPr="00A27896">
        <w:t>, un nepieciešamību veidot uzkrājumus, iespējamās saistības vai uzkrātās saistības valsts aizdevuma un valsts galvotā aizdevuma nemaksāšanas gadījumiem.</w:t>
      </w:r>
    </w:p>
    <w:p w14:paraId="732706EA" w14:textId="77777777" w:rsidR="00AB2439" w:rsidRPr="00A27896" w:rsidRDefault="00AB2439" w:rsidP="00BE768C">
      <w:pPr>
        <w:pStyle w:val="Pamatteksts1"/>
      </w:pPr>
      <w:r w:rsidRPr="00A27896">
        <w:t>Valsts aizdevuma vai debitora prasības naudas plūsmas tagadnes vērtību Valsts kase aprēķina, diskontējot nākotnes naudas plūsmu ar efektīvo procentu likmi (spēkā līgumā ar kredīta ņēmēju noteiktā procentu likme, kas ietver aizdevuma, riska un apkalpošanas izmaksu likmi un citas līgumā noteiktās likmes, vai cita konkrētajai situācijai atbilstoša likme).</w:t>
      </w:r>
    </w:p>
    <w:p w14:paraId="3B412A88" w14:textId="77777777" w:rsidR="00AB2439" w:rsidRPr="00A27896" w:rsidRDefault="00AB2439" w:rsidP="00BE768C">
      <w:pPr>
        <w:pStyle w:val="Pamatteksts1"/>
      </w:pPr>
      <w:bookmarkStart w:id="64" w:name="_Ref17724497"/>
      <w:r w:rsidRPr="00A27896">
        <w:t>Valsts galvotā aizdevuma naudas plūsmas tagadnes vērtību Valsts kase aprēķina, diskontējot valsts galvotā aizdevuma nākotnes naudas plūsmu, piemērojot Valsts kases tīmekļvietnē publicēto attiecīgo diskonta likmi</w:t>
      </w:r>
      <w:bookmarkEnd w:id="64"/>
      <w:r w:rsidRPr="00A27896">
        <w:t>.</w:t>
      </w:r>
    </w:p>
    <w:p w14:paraId="4E09700F" w14:textId="77777777" w:rsidR="00AB2439" w:rsidRPr="00A27896" w:rsidRDefault="00AB2439" w:rsidP="00BE768C">
      <w:pPr>
        <w:pStyle w:val="Pamatteksts1"/>
      </w:pPr>
      <w:bookmarkStart w:id="65" w:name="_Ref17789568"/>
      <w:r w:rsidRPr="00A27896">
        <w:t>Valsts kases iekšējos normatīvajos aktos noteikts, ka Valsts kase kredīta ņēmēja kredītspēju izvērtē, ņemot vērā šādus kritērijus, kuriem tiek piešķirts noteikts novērtējums vai noteikts riska līmenis:</w:t>
      </w:r>
      <w:bookmarkEnd w:id="65"/>
    </w:p>
    <w:p w14:paraId="5B1CC252" w14:textId="77777777" w:rsidR="00AB2439" w:rsidRPr="00A27896" w:rsidRDefault="00AB2439" w:rsidP="000D2C39">
      <w:pPr>
        <w:pStyle w:val="Bullets"/>
      </w:pPr>
      <w:r w:rsidRPr="00A27896">
        <w:t>finanšu rādītāji:</w:t>
      </w:r>
    </w:p>
    <w:p w14:paraId="79579994" w14:textId="77777777" w:rsidR="00AB2439" w:rsidRPr="00A27896" w:rsidRDefault="00AB2439" w:rsidP="000D2C39">
      <w:pPr>
        <w:pStyle w:val="Bullets2"/>
        <w:ind w:hanging="284"/>
      </w:pPr>
      <w:r w:rsidRPr="00A27896">
        <w:t xml:space="preserve">pašu </w:t>
      </w:r>
      <w:r w:rsidRPr="000D2C39">
        <w:t>kapitāla</w:t>
      </w:r>
      <w:r w:rsidRPr="00A27896">
        <w:t xml:space="preserve"> pietiekamības rādītājs;</w:t>
      </w:r>
    </w:p>
    <w:p w14:paraId="30ABC225" w14:textId="77777777" w:rsidR="00AB2439" w:rsidRPr="00A27896" w:rsidRDefault="00AB2439" w:rsidP="000D2C39">
      <w:pPr>
        <w:pStyle w:val="Bullets2"/>
      </w:pPr>
      <w:proofErr w:type="spellStart"/>
      <w:r w:rsidRPr="00A27896">
        <w:t>pelnītspējas</w:t>
      </w:r>
      <w:proofErr w:type="spellEnd"/>
      <w:r w:rsidRPr="00A27896">
        <w:t xml:space="preserve"> / budžeta izpildes rādītājs;</w:t>
      </w:r>
    </w:p>
    <w:p w14:paraId="4843D730" w14:textId="77777777" w:rsidR="00AB2439" w:rsidRPr="00A27896" w:rsidRDefault="00AB2439" w:rsidP="000D2C39">
      <w:pPr>
        <w:pStyle w:val="Bullets2"/>
      </w:pPr>
      <w:r w:rsidRPr="00A27896">
        <w:t>likviditātes rādītājs;</w:t>
      </w:r>
    </w:p>
    <w:p w14:paraId="6DA32CCB" w14:textId="77777777" w:rsidR="00AB2439" w:rsidRPr="00A27896" w:rsidRDefault="00AB2439" w:rsidP="000D2C39">
      <w:pPr>
        <w:pStyle w:val="Bullets"/>
      </w:pPr>
      <w:proofErr w:type="spellStart"/>
      <w:r w:rsidRPr="00A27896">
        <w:t>kredītvēsture</w:t>
      </w:r>
      <w:proofErr w:type="spellEnd"/>
      <w:r w:rsidRPr="00A27896">
        <w:t>;</w:t>
      </w:r>
    </w:p>
    <w:p w14:paraId="27FA5837" w14:textId="77777777" w:rsidR="00AB2439" w:rsidRPr="00A27896" w:rsidRDefault="00AB2439" w:rsidP="000D2C39">
      <w:pPr>
        <w:pStyle w:val="Bullets"/>
      </w:pPr>
      <w:r w:rsidRPr="00A27896">
        <w:t>biznesa risks.</w:t>
      </w:r>
    </w:p>
    <w:p w14:paraId="4A17022F" w14:textId="15A70684" w:rsidR="00AB2439" w:rsidRPr="00A27896" w:rsidRDefault="00AB2439" w:rsidP="00BE768C">
      <w:pPr>
        <w:pStyle w:val="Pamatteksts1"/>
      </w:pPr>
      <w:bookmarkStart w:id="66" w:name="_Ref19108350"/>
      <w:r w:rsidRPr="00A27896">
        <w:t>Valsts kase kredīta ņēmēja kredītspējas novērtējuma kategoriju nosaka, ņemot vērā noteikto biznesa riska novērtējumu.</w:t>
      </w:r>
      <w:bookmarkEnd w:id="66"/>
    </w:p>
    <w:p w14:paraId="1D9BE441" w14:textId="79DBF6CF" w:rsidR="00C8779F" w:rsidRPr="00A27896" w:rsidRDefault="009B28A3" w:rsidP="008515BB">
      <w:pPr>
        <w:pStyle w:val="Heading3"/>
      </w:pPr>
      <w:r w:rsidRPr="00A27896">
        <w:t>Valsts budžeta finanšu uzskaites finanšu instrumentu r</w:t>
      </w:r>
      <w:r w:rsidR="00BB1FDC" w:rsidRPr="00A27896">
        <w:t>iska ierobež</w:t>
      </w:r>
      <w:r w:rsidR="00C8779F" w:rsidRPr="00A27896">
        <w:t>o</w:t>
      </w:r>
      <w:r w:rsidRPr="00A27896">
        <w:t>šanas uzskaite</w:t>
      </w:r>
    </w:p>
    <w:p w14:paraId="16D15BB3" w14:textId="2E5EE5BB" w:rsidR="009C1E6E" w:rsidRPr="00A27896" w:rsidRDefault="009C1E6E" w:rsidP="00BE768C">
      <w:pPr>
        <w:pStyle w:val="Pamatteksts1"/>
      </w:pPr>
      <w:r w:rsidRPr="00A27896">
        <w:t>Valsts kase piemēro riska ierobežošanas uzskaiti, ja riska ierobežošana atbilst V</w:t>
      </w:r>
      <w:r w:rsidR="002D7C41" w:rsidRPr="00A27896">
        <w:t>alsts kases</w:t>
      </w:r>
      <w:r w:rsidRPr="00A27896">
        <w:t xml:space="preserve"> stratēģijai un tās mērķiem, ievērojot šādus nosacījumus: </w:t>
      </w:r>
    </w:p>
    <w:p w14:paraId="78B79965" w14:textId="01AB965C" w:rsidR="009C1E6E" w:rsidRPr="00A27896" w:rsidRDefault="009C1E6E" w:rsidP="000D2C39">
      <w:pPr>
        <w:pStyle w:val="Bullets"/>
      </w:pPr>
      <w:r w:rsidRPr="00A27896">
        <w:t>pirms riska ierobežošanas uzskaites uzsākšanas katram riska ierobežošanas darījumam izstrādā riska</w:t>
      </w:r>
      <w:r w:rsidR="00BB1FDC" w:rsidRPr="00A27896">
        <w:t xml:space="preserve"> ierobežošanas dokumentāciju;</w:t>
      </w:r>
    </w:p>
    <w:p w14:paraId="3684C0D0" w14:textId="08B45F8C" w:rsidR="009C1E6E" w:rsidRPr="00A27896" w:rsidRDefault="009C1E6E" w:rsidP="000D2C39">
      <w:pPr>
        <w:pStyle w:val="Bullets"/>
      </w:pPr>
      <w:r w:rsidRPr="00A27896">
        <w:t>nodrošinātā posteņa patieso vērtību vai naudas plūsmas, kuras attiecināmas uz ierobežoto risku, un riska ierobežošanas instrumenta patieso vērtību var ticami novērtēt;</w:t>
      </w:r>
    </w:p>
    <w:p w14:paraId="1DE5AEA0" w14:textId="379193A2" w:rsidR="009C1E6E" w:rsidRPr="00A27896" w:rsidRDefault="009C1E6E" w:rsidP="000D2C39">
      <w:pPr>
        <w:pStyle w:val="Bullets"/>
      </w:pPr>
      <w:r w:rsidRPr="00A27896">
        <w:t>riska ierobežošanas efektivitāti atkārtoti novērtē vienu reizi ceturksnī laika periodā, kurā riska ierobežošana ir noteikta. Riska ierobežošanu novērtē kā efektīvu, ja tā atbilst šādiem kritērijiem:</w:t>
      </w:r>
    </w:p>
    <w:p w14:paraId="0F68F968" w14:textId="215D211B" w:rsidR="009C1E6E" w:rsidRPr="00A27896" w:rsidRDefault="009C1E6E" w:rsidP="000D2C39">
      <w:pPr>
        <w:pStyle w:val="Bullets2"/>
      </w:pPr>
      <w:r w:rsidRPr="00A27896">
        <w:t>riska ierobežošanas instrumenta patiesās vērtības vai naudas plūsmas izmaiņas kompensē nodrošinātā posteņa patiesās vērtības vai naudas plūsmas izmaiņas, kas attiecināmas uz ierobežoto risku;</w:t>
      </w:r>
    </w:p>
    <w:p w14:paraId="667AA0CE" w14:textId="6174E6DD" w:rsidR="009C1E6E" w:rsidRPr="00A27896" w:rsidRDefault="009C1E6E" w:rsidP="000D2C39">
      <w:pPr>
        <w:pStyle w:val="Bullets2"/>
      </w:pPr>
      <w:r w:rsidRPr="00A27896">
        <w:t>riska ierobežošanas efektivitātes pakāpe ir 80% līdz 125%, ko aprēķina, attiecinot riska ierobežošanas instrumenta patiesās vērtības vai naudas plūsmas izmaiņas pret nodrošinātā posteņa patiesās vērtības vai naudas plūsmas izmaiņām.</w:t>
      </w:r>
    </w:p>
    <w:p w14:paraId="1EBD79DB" w14:textId="77777777" w:rsidR="00895EC5" w:rsidRPr="00A27896" w:rsidRDefault="006D6DD7" w:rsidP="00BE768C">
      <w:pPr>
        <w:pStyle w:val="Pamatteksts1"/>
      </w:pPr>
      <w:r w:rsidRPr="00A27896">
        <w:t xml:space="preserve">Valsts kase </w:t>
      </w:r>
      <w:r w:rsidR="00932FA7" w:rsidRPr="00A27896">
        <w:t xml:space="preserve">valsts budžeta finanšu uzskaitē </w:t>
      </w:r>
      <w:r w:rsidRPr="00A27896">
        <w:t>piemēro na</w:t>
      </w:r>
      <w:r w:rsidR="00932FA7" w:rsidRPr="00A27896">
        <w:t>udas plūsmas riska ierobežošanu. N</w:t>
      </w:r>
      <w:r w:rsidRPr="00A27896">
        <w:t>au</w:t>
      </w:r>
      <w:r w:rsidR="00932FA7" w:rsidRPr="00A27896">
        <w:t xml:space="preserve">das plūsmas riska ierobežošana ir </w:t>
      </w:r>
      <w:r w:rsidRPr="00A27896">
        <w:t>naudas plūsmu mainības riska ierobežošana, kas ir attiecināma uz atsevišķu risku, kas saistīts ar atzītu aktīvu vai saistībām (tādu kā visi vai daži mainīgas likmes parāda nākotnes procentu maksājumi) vai ļoti ticami prognozētu darījumu, un var ietekmēt valsts budžeta finanšu uzskaites ieņēmumus vai izdevumus.</w:t>
      </w:r>
      <w:r w:rsidR="00895EC5" w:rsidRPr="00A27896">
        <w:t xml:space="preserve"> </w:t>
      </w:r>
    </w:p>
    <w:p w14:paraId="216C2CAA" w14:textId="06EC2DC3" w:rsidR="00442CB4" w:rsidRPr="00A27896" w:rsidRDefault="008B5A68" w:rsidP="00BF4C61">
      <w:pPr>
        <w:pStyle w:val="CommentText"/>
        <w:spacing w:after="120" w:line="240" w:lineRule="auto"/>
        <w:jc w:val="both"/>
        <w:rPr>
          <w:color w:val="17365D"/>
          <w:sz w:val="24"/>
          <w:szCs w:val="24"/>
        </w:rPr>
      </w:pPr>
      <w:r w:rsidRPr="00140D89">
        <w:rPr>
          <w:rFonts w:cs="Times New Roman"/>
          <w:color w:val="17365D"/>
          <w:sz w:val="24"/>
          <w:szCs w:val="24"/>
        </w:rPr>
        <w:lastRenderedPageBreak/>
        <w:t xml:space="preserve">Valsts kase </w:t>
      </w:r>
      <w:r w:rsidR="00EA5097" w:rsidRPr="00140D89">
        <w:rPr>
          <w:rFonts w:cs="Times New Roman"/>
          <w:color w:val="17365D"/>
          <w:sz w:val="24"/>
          <w:szCs w:val="24"/>
        </w:rPr>
        <w:t>202</w:t>
      </w:r>
      <w:r w:rsidR="00140D89" w:rsidRPr="00140D89">
        <w:rPr>
          <w:rFonts w:cs="Times New Roman"/>
          <w:color w:val="17365D"/>
          <w:sz w:val="24"/>
          <w:szCs w:val="24"/>
        </w:rPr>
        <w:t>4</w:t>
      </w:r>
      <w:r w:rsidR="00EA5097" w:rsidRPr="00140D89">
        <w:rPr>
          <w:rFonts w:cs="Times New Roman"/>
          <w:color w:val="17365D"/>
          <w:sz w:val="24"/>
          <w:szCs w:val="24"/>
        </w:rPr>
        <w:t xml:space="preserve">.gadā par </w:t>
      </w:r>
      <w:r w:rsidRPr="00140D89">
        <w:rPr>
          <w:rFonts w:cs="Times New Roman"/>
          <w:color w:val="17365D"/>
          <w:sz w:val="24"/>
          <w:szCs w:val="24"/>
        </w:rPr>
        <w:t>riska</w:t>
      </w:r>
      <w:r w:rsidRPr="00A27896">
        <w:rPr>
          <w:rFonts w:cs="Times New Roman"/>
          <w:color w:val="17365D"/>
          <w:sz w:val="24"/>
          <w:szCs w:val="24"/>
        </w:rPr>
        <w:t xml:space="preserve"> ierobežošanas instrumentu</w:t>
      </w:r>
      <w:r w:rsidR="00EA5097" w:rsidRPr="00EA5097">
        <w:rPr>
          <w:rFonts w:cs="Times New Roman"/>
          <w:color w:val="17365D"/>
          <w:sz w:val="24"/>
          <w:szCs w:val="24"/>
        </w:rPr>
        <w:t xml:space="preserve"> </w:t>
      </w:r>
      <w:r w:rsidR="00EA5097" w:rsidRPr="00A27896">
        <w:rPr>
          <w:rFonts w:cs="Times New Roman"/>
          <w:color w:val="17365D"/>
          <w:sz w:val="24"/>
          <w:szCs w:val="24"/>
        </w:rPr>
        <w:t>noteikusi</w:t>
      </w:r>
      <w:r w:rsidR="00EA5097" w:rsidRPr="00140D89">
        <w:rPr>
          <w:rFonts w:cs="Times New Roman"/>
          <w:color w:val="17365D"/>
          <w:sz w:val="24"/>
          <w:szCs w:val="24"/>
        </w:rPr>
        <w:t xml:space="preserve"> </w:t>
      </w:r>
      <w:r w:rsidR="00140D89" w:rsidRPr="00140D89">
        <w:rPr>
          <w:rFonts w:cs="Times New Roman"/>
          <w:color w:val="17365D"/>
          <w:sz w:val="24"/>
          <w:szCs w:val="24"/>
        </w:rPr>
        <w:t>valūtu un procentu likmju mijmaiņas darījumu</w:t>
      </w:r>
      <w:r w:rsidR="00272A58" w:rsidRPr="00140D89">
        <w:rPr>
          <w:rFonts w:cs="Times New Roman"/>
          <w:color w:val="17365D"/>
          <w:sz w:val="24"/>
          <w:szCs w:val="24"/>
        </w:rPr>
        <w:t xml:space="preserve"> </w:t>
      </w:r>
      <w:r w:rsidR="00772BF4" w:rsidRPr="00140D89">
        <w:rPr>
          <w:rFonts w:cs="Times New Roman"/>
          <w:color w:val="17365D"/>
          <w:sz w:val="24"/>
          <w:szCs w:val="24"/>
        </w:rPr>
        <w:t>(</w:t>
      </w:r>
      <w:r w:rsidR="00140D89">
        <w:rPr>
          <w:rFonts w:cs="Times New Roman"/>
          <w:color w:val="17365D"/>
          <w:sz w:val="24"/>
          <w:szCs w:val="24"/>
        </w:rPr>
        <w:t>CC</w:t>
      </w:r>
      <w:r w:rsidR="00272A58" w:rsidRPr="00140D89">
        <w:rPr>
          <w:rFonts w:cs="Times New Roman"/>
          <w:color w:val="17365D"/>
          <w:sz w:val="24"/>
          <w:szCs w:val="24"/>
        </w:rPr>
        <w:t>IRS</w:t>
      </w:r>
      <w:r w:rsidR="00772BF4" w:rsidRPr="00140D89">
        <w:rPr>
          <w:rFonts w:cs="Times New Roman"/>
          <w:color w:val="17365D"/>
          <w:sz w:val="24"/>
          <w:szCs w:val="24"/>
        </w:rPr>
        <w:t>)</w:t>
      </w:r>
      <w:r w:rsidR="009A3447" w:rsidRPr="009A3447">
        <w:rPr>
          <w:color w:val="17365D"/>
          <w:sz w:val="24"/>
          <w:szCs w:val="24"/>
        </w:rPr>
        <w:t>.</w:t>
      </w:r>
    </w:p>
    <w:p w14:paraId="31FD6F24" w14:textId="1768D0CD" w:rsidR="0060113E" w:rsidRPr="00AB1A31" w:rsidRDefault="00F169CA" w:rsidP="00AB1A31">
      <w:pPr>
        <w:spacing w:after="120" w:line="240" w:lineRule="auto"/>
        <w:jc w:val="both"/>
        <w:rPr>
          <w:color w:val="17365D"/>
          <w:szCs w:val="24"/>
        </w:rPr>
      </w:pPr>
      <w:r w:rsidRPr="00A27896">
        <w:rPr>
          <w:color w:val="17365D"/>
          <w:szCs w:val="24"/>
        </w:rPr>
        <w:t>Valsts kases</w:t>
      </w:r>
      <w:r w:rsidR="00772BF4" w:rsidRPr="00A27896">
        <w:rPr>
          <w:color w:val="17365D"/>
          <w:szCs w:val="24"/>
        </w:rPr>
        <w:t xml:space="preserve"> finanšu instrumentu riska ierobežošanas pārvaldība</w:t>
      </w:r>
      <w:r w:rsidRPr="00A27896">
        <w:rPr>
          <w:color w:val="17365D"/>
          <w:szCs w:val="24"/>
        </w:rPr>
        <w:t xml:space="preserve"> ir saistīta ar </w:t>
      </w:r>
      <w:r w:rsidR="00772BF4" w:rsidRPr="00AB1A31">
        <w:rPr>
          <w:color w:val="17365D"/>
          <w:szCs w:val="24"/>
        </w:rPr>
        <w:t>ārvalstu valūtas</w:t>
      </w:r>
      <w:r w:rsidR="00AB1A31">
        <w:rPr>
          <w:color w:val="17365D"/>
          <w:szCs w:val="24"/>
        </w:rPr>
        <w:t xml:space="preserve"> kursa svārstību</w:t>
      </w:r>
      <w:r w:rsidR="00772BF4" w:rsidRPr="00AB1A31">
        <w:rPr>
          <w:color w:val="17365D"/>
          <w:szCs w:val="24"/>
        </w:rPr>
        <w:t xml:space="preserve"> risk</w:t>
      </w:r>
      <w:r w:rsidR="00AB1A31">
        <w:rPr>
          <w:color w:val="17365D"/>
          <w:szCs w:val="24"/>
        </w:rPr>
        <w:t>u.</w:t>
      </w:r>
    </w:p>
    <w:p w14:paraId="0D0C97D9" w14:textId="77777777" w:rsidR="00E01689" w:rsidRPr="00AB1A31" w:rsidRDefault="00E01689" w:rsidP="00BE768C">
      <w:pPr>
        <w:pStyle w:val="Pamatteksts1"/>
        <w:rPr>
          <w:i/>
          <w:iCs/>
        </w:rPr>
      </w:pPr>
      <w:r w:rsidRPr="00AB1A31">
        <w:rPr>
          <w:i/>
          <w:iCs/>
        </w:rPr>
        <w:t>Valsts budžeta finanšu uzskaitē izmantoto atvasināto finanšu instrumentu maksimālā pakļautība kredītriskam</w:t>
      </w:r>
    </w:p>
    <w:p w14:paraId="76997FEA" w14:textId="77777777" w:rsidR="00AB1A31" w:rsidRDefault="00AB1A31" w:rsidP="00AB1A31">
      <w:pPr>
        <w:pStyle w:val="Pamatteksts1"/>
      </w:pPr>
      <w:r>
        <w:t xml:space="preserve">Attiecībā uz noslēgtajiem atvasināto finanšu instrumentu darījumiem pastāv </w:t>
      </w:r>
      <w:proofErr w:type="spellStart"/>
      <w:r>
        <w:t>partnerpuses</w:t>
      </w:r>
      <w:proofErr w:type="spellEnd"/>
      <w:r>
        <w:t xml:space="preserve"> kredītrisks – ka darījumu partneris nepildīs savas saistības, līdz ar to radot darījumu pārtraukšanas izdevumus (darījumu  izbeigšanas brīdī). PNLV stratēģijā finanšu risku vadībā ir izvirzīts uzdevums </w:t>
      </w:r>
      <w:proofErr w:type="spellStart"/>
      <w:r>
        <w:t>partnerpušu</w:t>
      </w:r>
      <w:proofErr w:type="spellEnd"/>
      <w:r>
        <w:t xml:space="preserve"> kredītriska novērtēšanu veikt pamatojoties uz kredītreitingu un citiem starptautiskā finanšu vadības praksē pielietotajiem riska novērtēšanas kritērijiem. </w:t>
      </w:r>
      <w:proofErr w:type="spellStart"/>
      <w:r>
        <w:t>Partnerpuses</w:t>
      </w:r>
      <w:proofErr w:type="spellEnd"/>
      <w:r>
        <w:t xml:space="preserve"> kredītriska vadības kritēriji ir noteikti Valsts kases iekšējos noteikumos. </w:t>
      </w:r>
    </w:p>
    <w:p w14:paraId="79CD33E8" w14:textId="77777777" w:rsidR="00AB1A31" w:rsidRDefault="00AB1A31" w:rsidP="00AB1A31">
      <w:pPr>
        <w:pStyle w:val="Pamatteksts1"/>
      </w:pPr>
      <w:proofErr w:type="spellStart"/>
      <w:r>
        <w:t>Partnerpušu</w:t>
      </w:r>
      <w:proofErr w:type="spellEnd"/>
      <w:r>
        <w:t xml:space="preserve"> kredītrisku vada saskaņā ar Valsts kases iekšējiem noteikumiem, nosakot ieguldījumu struktūras ierobežojumus. Nosaka un uzrauga </w:t>
      </w:r>
      <w:proofErr w:type="spellStart"/>
      <w:r>
        <w:t>partnerpusēm</w:t>
      </w:r>
      <w:proofErr w:type="spellEnd"/>
      <w:r>
        <w:t xml:space="preserve"> pieļaujamos darījumu veidus, darījumu apjoma un termiņa limitus un kredītreitinga kategorijas limitus. </w:t>
      </w:r>
    </w:p>
    <w:p w14:paraId="504D4DE1" w14:textId="77777777" w:rsidR="00AB1A31" w:rsidRDefault="00AB1A31" w:rsidP="00AB1A31">
      <w:pPr>
        <w:pStyle w:val="Pamatteksts1"/>
      </w:pPr>
      <w:proofErr w:type="spellStart"/>
      <w:r>
        <w:t>Partnerpuses</w:t>
      </w:r>
      <w:proofErr w:type="spellEnd"/>
      <w:r>
        <w:t xml:space="preserve"> kredītriska ierobežošanai, izdevīgāku atvasināto finanšu instrumentu darījumu nosacījumu nodrošināšanai, </w:t>
      </w:r>
      <w:proofErr w:type="spellStart"/>
      <w:r>
        <w:t>partnerpušu</w:t>
      </w:r>
      <w:proofErr w:type="spellEnd"/>
      <w:r>
        <w:t xml:space="preserve"> loka paplašināšanai un sadarbības apjomu paaugstināšanai pieļaujama līgumu un attiecīgu darījumu slēgšana, kas paredz garantijas nodrošinājumu, vienlaikus ievērojot likviditātes vadības prasības.</w:t>
      </w:r>
    </w:p>
    <w:p w14:paraId="5605A970" w14:textId="40B1A1A8" w:rsidR="00E01689" w:rsidRPr="00A27896" w:rsidRDefault="00AB1A31" w:rsidP="00AB1A31">
      <w:pPr>
        <w:pStyle w:val="Pamatteksts1"/>
      </w:pPr>
      <w:r>
        <w:t>2024. gadā atvasināto finanšu instrumentu atmaksa nav bijusi kavēta.</w:t>
      </w:r>
    </w:p>
    <w:p w14:paraId="6FBB947F" w14:textId="66A278B5" w:rsidR="00AB2439" w:rsidRPr="00A27896" w:rsidRDefault="00AB2439" w:rsidP="008515BB">
      <w:pPr>
        <w:pStyle w:val="Heading3"/>
      </w:pPr>
      <w:r w:rsidRPr="00A27896">
        <w:t xml:space="preserve">Rīgas </w:t>
      </w:r>
      <w:proofErr w:type="spellStart"/>
      <w:r w:rsidR="00442CB4" w:rsidRPr="00A27896">
        <w:t>valsts</w:t>
      </w:r>
      <w:r w:rsidRPr="00A27896">
        <w:t>pilsētas</w:t>
      </w:r>
      <w:proofErr w:type="spellEnd"/>
      <w:r w:rsidRPr="00A27896">
        <w:t xml:space="preserve"> pašvaldības finanšu instrumentu risku pārvaldīšana </w:t>
      </w:r>
    </w:p>
    <w:p w14:paraId="0A3CBAA9" w14:textId="336BFF36" w:rsidR="00AB2439" w:rsidRPr="00A27896" w:rsidRDefault="00AB2439" w:rsidP="00BE768C">
      <w:pPr>
        <w:pStyle w:val="Pamatteksts1"/>
      </w:pPr>
      <w:r w:rsidRPr="00A27896">
        <w:t xml:space="preserve">Rīgas </w:t>
      </w:r>
      <w:proofErr w:type="spellStart"/>
      <w:r w:rsidR="00D341F3" w:rsidRPr="00A27896">
        <w:t>valsts</w:t>
      </w:r>
      <w:r w:rsidRPr="00A27896">
        <w:t>pilsētas</w:t>
      </w:r>
      <w:proofErr w:type="spellEnd"/>
      <w:r w:rsidRPr="00A27896">
        <w:t xml:space="preserve"> pašvaldība finanšu instrumentu risku pārvaldību uzskata par neatņemamu pašvaldības finanšu darbības sastāvdaļu, īstenojot savu parādsaistību vadību, kura tiek veikta </w:t>
      </w:r>
      <w:r w:rsidR="00AA1885" w:rsidRPr="00AA1885">
        <w:t xml:space="preserve">ievērojot </w:t>
      </w:r>
      <w:r w:rsidR="00AA1885">
        <w:t>p</w:t>
      </w:r>
      <w:r w:rsidRPr="00A27896">
        <w:t>ašvaldības aizņēmumu, galvojumu un citu ilgtermiņa saistību vadības stratēģij</w:t>
      </w:r>
      <w:r w:rsidR="00AA1885">
        <w:t>u</w:t>
      </w:r>
      <w:r w:rsidRPr="00A27896">
        <w:t xml:space="preserve"> 20</w:t>
      </w:r>
      <w:r w:rsidR="00AA1885">
        <w:t>23</w:t>
      </w:r>
      <w:r w:rsidRPr="00A27896">
        <w:t>.</w:t>
      </w:r>
      <w:r w:rsidR="000F552B">
        <w:t xml:space="preserve"> </w:t>
      </w:r>
      <w:r w:rsidR="00905AEC" w:rsidRPr="00A27896">
        <w:t>–</w:t>
      </w:r>
      <w:r w:rsidR="000F552B">
        <w:t xml:space="preserve"> </w:t>
      </w:r>
      <w:r w:rsidR="003F12DE" w:rsidRPr="00A27896">
        <w:t>202</w:t>
      </w:r>
      <w:r w:rsidR="00AA1885">
        <w:t>7</w:t>
      </w:r>
      <w:r w:rsidR="003F12DE" w:rsidRPr="00A27896">
        <w:t>. gad</w:t>
      </w:r>
      <w:r w:rsidRPr="00A27896">
        <w:t xml:space="preserve">am (turpmāk – Rīgas </w:t>
      </w:r>
      <w:proofErr w:type="spellStart"/>
      <w:r w:rsidR="00751073" w:rsidRPr="00A27896">
        <w:t>valsts</w:t>
      </w:r>
      <w:r w:rsidRPr="00A27896">
        <w:t>pilsētas</w:t>
      </w:r>
      <w:proofErr w:type="spellEnd"/>
      <w:r w:rsidR="00EA0E40" w:rsidRPr="00A27896">
        <w:t xml:space="preserve"> pašvaldības</w:t>
      </w:r>
      <w:r w:rsidRPr="00A27896">
        <w:t xml:space="preserve"> stratēģija).</w:t>
      </w:r>
    </w:p>
    <w:p w14:paraId="677B3AC4" w14:textId="32FF4F43" w:rsidR="00627188" w:rsidRPr="00A27896" w:rsidRDefault="00AB2439" w:rsidP="00BE768C">
      <w:pPr>
        <w:pStyle w:val="Pamatteksts1"/>
      </w:pPr>
      <w:r w:rsidRPr="00A27896">
        <w:t xml:space="preserve">Saskaņā ar Rīgas </w:t>
      </w:r>
      <w:proofErr w:type="spellStart"/>
      <w:r w:rsidR="00751073" w:rsidRPr="00A27896">
        <w:t>valsts</w:t>
      </w:r>
      <w:r w:rsidRPr="00A27896">
        <w:t>pilsētas</w:t>
      </w:r>
      <w:proofErr w:type="spellEnd"/>
      <w:r w:rsidRPr="00A27896">
        <w:t xml:space="preserve"> pašvaldības stratēģiju, pašvaldības parāda portfeļa vadība ir piesardzīga, orientēta uz finanšu risku ierobežošanu un novēršanu, pieļaujot stratēģijā noteikto atvasināto finanšu instrumentu izmantošanu vienīgi finanšu risku nodrošināšanai.</w:t>
      </w:r>
    </w:p>
    <w:p w14:paraId="2D2FA3CA" w14:textId="1015AEA3" w:rsidR="00627188" w:rsidRPr="00A27896" w:rsidRDefault="00627188" w:rsidP="00BE768C">
      <w:pPr>
        <w:pStyle w:val="Pamatteksts1"/>
      </w:pPr>
      <w:r w:rsidRPr="00A27896">
        <w:t>Pašvaldības īstenotā finanšu resursu vadība 202</w:t>
      </w:r>
      <w:r w:rsidR="007504D7">
        <w:t>4</w:t>
      </w:r>
      <w:r w:rsidRPr="00A27896">
        <w:t xml:space="preserve">. gadā nodrošināja budžeta un piesaistīto finanšu resursu taupīgu un racionālu izmantošanu. Rīgas </w:t>
      </w:r>
      <w:proofErr w:type="spellStart"/>
      <w:r w:rsidR="00751073" w:rsidRPr="00A27896">
        <w:t>valsts</w:t>
      </w:r>
      <w:r w:rsidRPr="00A27896">
        <w:t>pilsētas</w:t>
      </w:r>
      <w:proofErr w:type="spellEnd"/>
      <w:r w:rsidRPr="00A27896">
        <w:t xml:space="preserve"> pašvaldības stratēģijas ietvaros tika turpināta iepriekšējos gados īstenotā </w:t>
      </w:r>
      <w:r w:rsidR="007504D7">
        <w:t>aizdevuma</w:t>
      </w:r>
      <w:r w:rsidRPr="00A27896">
        <w:t xml:space="preserve"> procentu </w:t>
      </w:r>
      <w:r w:rsidR="007504D7">
        <w:t xml:space="preserve">likmju </w:t>
      </w:r>
      <w:r w:rsidRPr="00A27896">
        <w:t xml:space="preserve">riska </w:t>
      </w:r>
      <w:r w:rsidR="007504D7">
        <w:t>ierobežošanas</w:t>
      </w:r>
      <w:r w:rsidRPr="00A27896">
        <w:t xml:space="preserve"> politika, nodrošinot aizņēmumu apkalpošanas maksājumu stabilitāti.</w:t>
      </w:r>
    </w:p>
    <w:p w14:paraId="56D195DF" w14:textId="70766983" w:rsidR="00AB2439" w:rsidRPr="00A27896" w:rsidRDefault="00627188" w:rsidP="00BE768C">
      <w:pPr>
        <w:pStyle w:val="Pamatteksts1"/>
      </w:pPr>
      <w:r w:rsidRPr="00A27896">
        <w:t xml:space="preserve">Ilgtermiņa saistību portfeļa vadība dod iespēju Rīgas </w:t>
      </w:r>
      <w:proofErr w:type="spellStart"/>
      <w:r w:rsidRPr="00A27896">
        <w:t>valstspilsētas</w:t>
      </w:r>
      <w:proofErr w:type="spellEnd"/>
      <w:r w:rsidRPr="00A27896">
        <w:t xml:space="preserve"> pašvaldībai koriģēt parāda portfeļa struktūru gan ņemot jaunus vai pārjaunojot esošos aizņēmumus, gan izmantojot budžeta vadības iespējas, kā arī nepieciešamības gadījumā izmantojot stratēģijā atļautos atvasinātos finanšu instrumentus. Tādā veidā tiek nodrošinot pašvaldības ilgtermiņa saistību portfeļa optimālā struktūra, kas nerada neprognozējamu slogu budžetam, un atbilst Rīgas </w:t>
      </w:r>
      <w:proofErr w:type="spellStart"/>
      <w:r w:rsidRPr="00A27896">
        <w:t>valstspilsētas</w:t>
      </w:r>
      <w:proofErr w:type="spellEnd"/>
      <w:r w:rsidRPr="00A27896">
        <w:t xml:space="preserve"> pašvaldības ilgtermiņa saistību vadības stratēģijā noteiktajiem parāda struktūras rādītājiem.</w:t>
      </w:r>
    </w:p>
    <w:p w14:paraId="416F79DB" w14:textId="3B8D8BB6" w:rsidR="00AB2439" w:rsidRPr="00A27896" w:rsidRDefault="00AB2439" w:rsidP="00BE768C">
      <w:pPr>
        <w:pStyle w:val="Pamatteksts1"/>
      </w:pPr>
      <w:r w:rsidRPr="00A27896">
        <w:t xml:space="preserve">Rīgas </w:t>
      </w:r>
      <w:proofErr w:type="spellStart"/>
      <w:r w:rsidR="00751073" w:rsidRPr="00A27896">
        <w:t>valsts</w:t>
      </w:r>
      <w:r w:rsidRPr="00A27896">
        <w:t>pilsētas</w:t>
      </w:r>
      <w:proofErr w:type="spellEnd"/>
      <w:r w:rsidRPr="00A27896">
        <w:t xml:space="preserve"> pašvaldības ilgtermiņa saistību (finanšu instrumentu) vadība ir saistīta ar šādiem finanšu riskiem:</w:t>
      </w:r>
    </w:p>
    <w:p w14:paraId="6CA2AB56" w14:textId="77777777" w:rsidR="00AB2439" w:rsidRPr="00A27896" w:rsidRDefault="00AB2439" w:rsidP="000D2C39">
      <w:pPr>
        <w:pStyle w:val="Bullets"/>
      </w:pPr>
      <w:r w:rsidRPr="00A27896">
        <w:t>valūtas risks;</w:t>
      </w:r>
    </w:p>
    <w:p w14:paraId="3793E7D9" w14:textId="77777777" w:rsidR="00AB2439" w:rsidRPr="00A27896" w:rsidRDefault="00AB2439" w:rsidP="000D2C39">
      <w:pPr>
        <w:pStyle w:val="Bullets"/>
      </w:pPr>
      <w:r w:rsidRPr="00A27896">
        <w:t>procentu likmju risks;</w:t>
      </w:r>
    </w:p>
    <w:p w14:paraId="40322EFF" w14:textId="77777777" w:rsidR="00AB2439" w:rsidRPr="00A27896" w:rsidRDefault="00AB2439" w:rsidP="000D2C39">
      <w:pPr>
        <w:pStyle w:val="Bullets"/>
      </w:pPr>
      <w:r w:rsidRPr="00A27896">
        <w:t>likviditātes risks.</w:t>
      </w:r>
    </w:p>
    <w:p w14:paraId="6041CB32" w14:textId="43FB1294" w:rsidR="00AB2439" w:rsidRPr="00A27896" w:rsidRDefault="00AB2439" w:rsidP="00BE768C">
      <w:pPr>
        <w:pStyle w:val="Pamatteksts1"/>
      </w:pPr>
      <w:r w:rsidRPr="00A27896">
        <w:lastRenderedPageBreak/>
        <w:t xml:space="preserve">Valūtu risku vadības nodrošināšanai Rīgas </w:t>
      </w:r>
      <w:proofErr w:type="spellStart"/>
      <w:r w:rsidR="00627188" w:rsidRPr="00A27896">
        <w:t>valsts</w:t>
      </w:r>
      <w:r w:rsidRPr="00A27896">
        <w:t>pilsētas</w:t>
      </w:r>
      <w:proofErr w:type="spellEnd"/>
      <w:r w:rsidRPr="00A27896">
        <w:t xml:space="preserve"> pašvaldība nosaka un uzrauga optimālā</w:t>
      </w:r>
      <w:r w:rsidR="005528D1" w:rsidRPr="00A27896">
        <w:t xml:space="preserve"> tīrā parāda valūtas kompozīciju</w:t>
      </w:r>
      <w:r w:rsidRPr="00A27896">
        <w:t>, kas ļauj ievērot saistību ārvalstu valūtas līdzsvaru un tādejādi izvairīties no valūtu kursu svārstību ietekmes.</w:t>
      </w:r>
    </w:p>
    <w:p w14:paraId="571D1FD8" w14:textId="663C9504" w:rsidR="00AB2439" w:rsidRPr="00A27896" w:rsidRDefault="00905AEC" w:rsidP="00BE768C">
      <w:pPr>
        <w:pStyle w:val="Pamatteksts1"/>
      </w:pPr>
      <w:r w:rsidRPr="00A27896">
        <w:t>202</w:t>
      </w:r>
      <w:r w:rsidR="007504D7">
        <w:t>4</w:t>
      </w:r>
      <w:r w:rsidRPr="00A27896">
        <w:t>. g</w:t>
      </w:r>
      <w:r w:rsidR="00AB2439" w:rsidRPr="00A27896">
        <w:t xml:space="preserve">ada 31.decembrī Rīgas </w:t>
      </w:r>
      <w:proofErr w:type="spellStart"/>
      <w:r w:rsidR="00751073" w:rsidRPr="00A27896">
        <w:t>valsts</w:t>
      </w:r>
      <w:r w:rsidR="00AB2439" w:rsidRPr="00A27896">
        <w:t>pilsētas</w:t>
      </w:r>
      <w:proofErr w:type="spellEnd"/>
      <w:r w:rsidR="00AB2439" w:rsidRPr="00A27896">
        <w:t xml:space="preserve"> pašvaldības finanšu instrumentu saistības 100</w:t>
      </w:r>
      <w:r w:rsidR="005528D1" w:rsidRPr="00A27896">
        <w:t> </w:t>
      </w:r>
      <w:r w:rsidR="00AB2439" w:rsidRPr="00A27896">
        <w:t xml:space="preserve">% apmērā bija </w:t>
      </w:r>
      <w:r w:rsidR="00AB2439" w:rsidRPr="00A27896">
        <w:rPr>
          <w:i/>
        </w:rPr>
        <w:t>euro</w:t>
      </w:r>
      <w:r w:rsidR="00AB2439" w:rsidRPr="00A27896">
        <w:t xml:space="preserve"> valūtā.</w:t>
      </w:r>
    </w:p>
    <w:p w14:paraId="135B83C7" w14:textId="77777777" w:rsidR="00AB2439" w:rsidRPr="00A27896" w:rsidRDefault="00AB2439" w:rsidP="00BE768C">
      <w:pPr>
        <w:pStyle w:val="Pamatteksts1"/>
      </w:pPr>
      <w:r w:rsidRPr="00A27896">
        <w:t xml:space="preserve">Procentu likmju risks rodas tiem pašvaldības aizņēmumiem, kuriem ir noteikta mainīga procentu likme, jo pastāv iespējamība, ka aizņēmumu procentu maksājumi var nozīmīgi pieaug situācijās, kad procentu likme palielinās. </w:t>
      </w:r>
    </w:p>
    <w:p w14:paraId="38DB28C2" w14:textId="778B32B1" w:rsidR="00AB2439" w:rsidRPr="00A27896" w:rsidRDefault="00AB2439" w:rsidP="00BE768C">
      <w:pPr>
        <w:pStyle w:val="Pamatteksts1"/>
      </w:pPr>
      <w:r w:rsidRPr="00A27896">
        <w:t xml:space="preserve">Lai nodrošinātu stabilas ilgtermiņa saistību apkalpošanas izmaksas un to prognozējamību, ilgtermiņa saistību vadības procesā Rīgas </w:t>
      </w:r>
      <w:proofErr w:type="spellStart"/>
      <w:r w:rsidR="00751073" w:rsidRPr="00A27896">
        <w:t>valsts</w:t>
      </w:r>
      <w:r w:rsidRPr="00A27896">
        <w:t>pilsētas</w:t>
      </w:r>
      <w:proofErr w:type="spellEnd"/>
      <w:r w:rsidRPr="00A27896">
        <w:t xml:space="preserve"> pašvaldība noteikusi, ka ir nepieciešams nodrošināt, ka ne mazāk kā 60</w:t>
      </w:r>
      <w:r w:rsidR="005528D1" w:rsidRPr="00A27896">
        <w:t> </w:t>
      </w:r>
      <w:r w:rsidRPr="00A27896">
        <w:t xml:space="preserve">% no ilgtermiņa saistību portfeļa kopapjoma procentu likme ir fiksēta uz termiņu, kas ir lielāks par vienu gadu, tādejādi mazinot risku, ka tirgus likmju svārstību rezultātā pašvaldības izmaksas par finansējuma izmantošanu būs </w:t>
      </w:r>
      <w:r w:rsidR="00195232">
        <w:t xml:space="preserve">būtiski </w:t>
      </w:r>
      <w:r w:rsidRPr="00A27896">
        <w:t>augstākas nekā plānots.</w:t>
      </w:r>
    </w:p>
    <w:p w14:paraId="4AB76E8C" w14:textId="13968E80" w:rsidR="00AB2439" w:rsidRPr="00A27896" w:rsidRDefault="00555BA9" w:rsidP="00BE768C">
      <w:pPr>
        <w:pStyle w:val="Pamatteksts1"/>
      </w:pPr>
      <w:r w:rsidRPr="00A27896">
        <w:t>202</w:t>
      </w:r>
      <w:r w:rsidR="007504D7">
        <w:t>4</w:t>
      </w:r>
      <w:r w:rsidR="00AB2439" w:rsidRPr="00A27896">
        <w:t xml:space="preserve">. gada beigās </w:t>
      </w:r>
      <w:r w:rsidR="00CE2A61" w:rsidRPr="00A27896">
        <w:t>6</w:t>
      </w:r>
      <w:r w:rsidR="007504D7">
        <w:t>9</w:t>
      </w:r>
      <w:r w:rsidR="005528D1" w:rsidRPr="00A27896">
        <w:t> </w:t>
      </w:r>
      <w:r w:rsidR="00AB2439" w:rsidRPr="00A27896">
        <w:t xml:space="preserve">% no kopējām pašvaldības saistībām bija ar fiksētu procentu likmi, kas atbilst stratēģijā noteiktajam pieļaujamam līmenim </w:t>
      </w:r>
    </w:p>
    <w:p w14:paraId="22FFD3E4" w14:textId="200FE405" w:rsidR="00AB2439" w:rsidRPr="00A27896" w:rsidRDefault="00AB2439" w:rsidP="00BE768C">
      <w:pPr>
        <w:pStyle w:val="Pamatteksts1"/>
      </w:pPr>
      <w:r w:rsidRPr="00A27896">
        <w:t>Pamatojotie</w:t>
      </w:r>
      <w:r w:rsidR="00EA0E40" w:rsidRPr="00A27896">
        <w:t xml:space="preserve">s uz Rīgas </w:t>
      </w:r>
      <w:proofErr w:type="spellStart"/>
      <w:r w:rsidR="00FD7A22" w:rsidRPr="00A27896">
        <w:t>valsts</w:t>
      </w:r>
      <w:r w:rsidR="00EA0E40" w:rsidRPr="00A27896">
        <w:t>pilsētas</w:t>
      </w:r>
      <w:proofErr w:type="spellEnd"/>
      <w:r w:rsidR="00EA0E40" w:rsidRPr="00A27896">
        <w:t xml:space="preserve"> pašvaldības </w:t>
      </w:r>
      <w:r w:rsidR="00FD7A22" w:rsidRPr="00A27896">
        <w:t xml:space="preserve">ilgtermiņa saistību </w:t>
      </w:r>
      <w:r w:rsidRPr="00A27896">
        <w:t>stratēģijā noteikto nepieciešamību nodrošināt finanšu resursu pietiekamību, kas jebkurā laikā ļauj veikt pašvaldības budžetā apstiprināto izdevumu izpildi, Rīgas</w:t>
      </w:r>
      <w:r w:rsidR="00555BA9" w:rsidRPr="00A27896">
        <w:t xml:space="preserve"> </w:t>
      </w:r>
      <w:proofErr w:type="spellStart"/>
      <w:r w:rsidR="00FD7A22" w:rsidRPr="00A27896">
        <w:t>valsts</w:t>
      </w:r>
      <w:r w:rsidR="00555BA9" w:rsidRPr="00A27896">
        <w:t>pilsētas</w:t>
      </w:r>
      <w:proofErr w:type="spellEnd"/>
      <w:r w:rsidR="00555BA9" w:rsidRPr="00A27896">
        <w:t xml:space="preserve"> pašvaldība</w:t>
      </w:r>
      <w:r w:rsidR="006F4319">
        <w:t xml:space="preserve"> </w:t>
      </w:r>
      <w:r w:rsidR="006F4319" w:rsidRPr="00A27896">
        <w:t>202</w:t>
      </w:r>
      <w:r w:rsidR="007504D7">
        <w:t>4</w:t>
      </w:r>
      <w:r w:rsidR="006F4319" w:rsidRPr="00A27896">
        <w:t>. gadā</w:t>
      </w:r>
      <w:r w:rsidR="006F4319">
        <w:t>,</w:t>
      </w:r>
      <w:r w:rsidRPr="00A27896">
        <w:t xml:space="preserve"> </w:t>
      </w:r>
      <w:r w:rsidR="00CE2A61" w:rsidRPr="00A27896">
        <w:t>ņemot vērā finansēšanas nepieciešamību un situāciju finanšu tirgos, ir nodrošinājusi nepieciešamo likvīdo naudas līdzekļu apjomu budžeta izdevumu nodrošināšanai, kā arī uzturējusi nepieciešamo likvīdo naudas līdzekļu rezervi</w:t>
      </w:r>
      <w:r w:rsidR="00D50D19" w:rsidRPr="00A27896">
        <w:t xml:space="preserve"> </w:t>
      </w:r>
      <w:r w:rsidR="00CE2A61" w:rsidRPr="00A27896">
        <w:t>tekošā gada un turpmāko gadu saistību segšanai</w:t>
      </w:r>
      <w:r w:rsidR="006F4319">
        <w:t>.</w:t>
      </w:r>
      <w:r w:rsidRPr="00A27896">
        <w:t xml:space="preserve"> </w:t>
      </w:r>
    </w:p>
    <w:p w14:paraId="3C26146A" w14:textId="1980ABF1" w:rsidR="00AB2439" w:rsidRPr="00A27896" w:rsidRDefault="00AB2439" w:rsidP="00BE768C">
      <w:pPr>
        <w:pStyle w:val="Pamatteksts1"/>
      </w:pPr>
      <w:r w:rsidRPr="00A27896">
        <w:t xml:space="preserve">Pieņemot finanšu resursu vadības lēmumus, Rīgas </w:t>
      </w:r>
      <w:proofErr w:type="spellStart"/>
      <w:r w:rsidR="00FD7A22" w:rsidRPr="00A27896">
        <w:t>valsts</w:t>
      </w:r>
      <w:r w:rsidRPr="00A27896">
        <w:t>pilsētas</w:t>
      </w:r>
      <w:proofErr w:type="spellEnd"/>
      <w:r w:rsidRPr="00A27896">
        <w:t xml:space="preserve"> pašvaldība ir ņēmusi vērā notiekošos procesus finanšu tirgū un ir analizējusi to attīstības tendences, lai nodrošinātu efektīvu un drošu finanšu resursu </w:t>
      </w:r>
      <w:r w:rsidR="007504D7">
        <w:t>pārvaldību</w:t>
      </w:r>
      <w:r w:rsidRPr="00A27896">
        <w:t>.</w:t>
      </w:r>
    </w:p>
    <w:p w14:paraId="3192EABB" w14:textId="77777777" w:rsidR="00AB2439" w:rsidRPr="00A27896" w:rsidRDefault="00AB2439" w:rsidP="00BE768C">
      <w:pPr>
        <w:pStyle w:val="Pamatteksts1"/>
      </w:pPr>
      <w:r w:rsidRPr="00A27896">
        <w:br w:type="page"/>
      </w:r>
    </w:p>
    <w:p w14:paraId="1F186DB3" w14:textId="367B19E4" w:rsidR="00831DC9" w:rsidRPr="00A27896" w:rsidRDefault="00831DC9" w:rsidP="008515BB">
      <w:pPr>
        <w:pStyle w:val="Heading2"/>
      </w:pPr>
      <w:r w:rsidRPr="00A27896">
        <w:lastRenderedPageBreak/>
        <w:t>Finanšu pārskata posteņu skaidrojums</w:t>
      </w:r>
    </w:p>
    <w:p w14:paraId="66FAD11B" w14:textId="6A81BA5D" w:rsidR="00831DC9" w:rsidRPr="00E72168" w:rsidRDefault="00C66415" w:rsidP="00BE768C">
      <w:pPr>
        <w:pStyle w:val="Pamatteksts1"/>
      </w:pPr>
      <w:r w:rsidRPr="00E72168">
        <w:t xml:space="preserve">Finanšu pārskata posteņu paskaidrojumi sniegti par būtiskām posteņu izmaiņām, kas pārsniedz 10 procentus </w:t>
      </w:r>
      <w:r w:rsidR="00635052" w:rsidRPr="00E72168">
        <w:t xml:space="preserve">salīdzinājumā ar attiecīgā posteņa vērtību iepriekšējā pārskata periodā </w:t>
      </w:r>
      <w:r w:rsidRPr="00E72168">
        <w:t xml:space="preserve">un </w:t>
      </w:r>
      <w:r w:rsidR="00635052" w:rsidRPr="00E72168">
        <w:t xml:space="preserve">izmaiņu vērtība ir vienāda vai lielāka </w:t>
      </w:r>
      <w:r w:rsidR="00635052" w:rsidRPr="0010386D">
        <w:t xml:space="preserve">par </w:t>
      </w:r>
      <w:r w:rsidR="00B02953" w:rsidRPr="0010386D">
        <w:t>8</w:t>
      </w:r>
      <w:r w:rsidR="0010386D" w:rsidRPr="0010386D">
        <w:t>7</w:t>
      </w:r>
      <w:r w:rsidR="008D6534">
        <w:t>,0</w:t>
      </w:r>
      <w:r w:rsidR="00F76131" w:rsidRPr="0010386D">
        <w:t xml:space="preserve"> </w:t>
      </w:r>
      <w:r w:rsidR="008D6534">
        <w:t>milj.</w:t>
      </w:r>
      <w:r w:rsidR="00F76131" w:rsidRPr="0010386D">
        <w:t xml:space="preserve"> </w:t>
      </w:r>
      <w:r w:rsidRPr="0010386D">
        <w:rPr>
          <w:i/>
        </w:rPr>
        <w:t>euro</w:t>
      </w:r>
      <w:r w:rsidRPr="0010386D">
        <w:t>.</w:t>
      </w:r>
      <w:r w:rsidRPr="00E72168">
        <w:t xml:space="preserve"> Detalizētāka informācija par posteņu izmaiņām un darījumiem, kas neatbilst noteiktajam būtiskuma līmenim, pieejama </w:t>
      </w:r>
      <w:proofErr w:type="spellStart"/>
      <w:r w:rsidRPr="00E72168">
        <w:t>ePārskatos</w:t>
      </w:r>
      <w:proofErr w:type="spellEnd"/>
      <w:r w:rsidRPr="00E72168">
        <w:t xml:space="preserve"> finanšu pārskata posteņu skaidrojumos</w:t>
      </w:r>
      <w:r w:rsidR="00BA2A4A" w:rsidRPr="00E72168">
        <w:t xml:space="preserve"> un </w:t>
      </w:r>
      <w:hyperlink r:id="rId12" w:history="1">
        <w:r w:rsidR="00BA2A4A" w:rsidRPr="00E72168">
          <w:rPr>
            <w:rStyle w:val="Hyperlink"/>
            <w:color w:val="17365D"/>
            <w:szCs w:val="24"/>
          </w:rPr>
          <w:t>Valsts kases tīmekļa vietnē</w:t>
        </w:r>
      </w:hyperlink>
      <w:r w:rsidR="00A04E22" w:rsidRPr="00E72168">
        <w:t xml:space="preserve"> p</w:t>
      </w:r>
      <w:r w:rsidR="00BA2A4A" w:rsidRPr="00E72168">
        <w:t xml:space="preserve">ublicētajā </w:t>
      </w:r>
      <w:proofErr w:type="spellStart"/>
      <w:r w:rsidR="00BA2A4A" w:rsidRPr="00E72168">
        <w:t>ePārskatu</w:t>
      </w:r>
      <w:proofErr w:type="spellEnd"/>
      <w:r w:rsidR="00BA2A4A" w:rsidRPr="00E72168">
        <w:t xml:space="preserve"> informācijā</w:t>
      </w:r>
      <w:r w:rsidRPr="00E72168">
        <w:t>.</w:t>
      </w:r>
    </w:p>
    <w:p w14:paraId="42B7CE6E" w14:textId="77777777" w:rsidR="0047653F" w:rsidRDefault="0047653F" w:rsidP="00F53AD9">
      <w:pPr>
        <w:pStyle w:val="Pamatteksts1"/>
      </w:pPr>
    </w:p>
    <w:p w14:paraId="4254DBC9" w14:textId="255E3D41" w:rsidR="00AD15B0" w:rsidRPr="00E72168" w:rsidRDefault="00FA6A3B" w:rsidP="008515BB">
      <w:pPr>
        <w:pStyle w:val="Heading3"/>
      </w:pPr>
      <w:r>
        <w:t>S</w:t>
      </w:r>
      <w:r w:rsidR="00D41F06" w:rsidRPr="00E72168">
        <w:t xml:space="preserve">kaidrojumi </w:t>
      </w:r>
      <w:r w:rsidR="004C46B4" w:rsidRPr="00E72168">
        <w:t xml:space="preserve">konsolidētās grāmatvedības bilances </w:t>
      </w:r>
      <w:r w:rsidR="00D41F06" w:rsidRPr="00E72168">
        <w:t>posteņiem</w:t>
      </w:r>
    </w:p>
    <w:p w14:paraId="7A89CD59" w14:textId="0574A3E4" w:rsidR="00D41F06" w:rsidRPr="00E72168" w:rsidRDefault="00D41F06" w:rsidP="008515BB">
      <w:pPr>
        <w:pStyle w:val="Heading3"/>
        <w:rPr>
          <w:lang w:eastAsia="lv-LV"/>
        </w:rPr>
      </w:pPr>
      <w:r w:rsidRPr="00E72168">
        <w:rPr>
          <w:lang w:eastAsia="lv-LV"/>
        </w:rPr>
        <w:t>Ilgtermiņa ieguldījumi</w:t>
      </w:r>
    </w:p>
    <w:p w14:paraId="41D94E54" w14:textId="32FC1D8B" w:rsidR="00EA7813" w:rsidRPr="00E72168" w:rsidRDefault="00A8729F" w:rsidP="005A3758">
      <w:pPr>
        <w:pStyle w:val="Heading4"/>
        <w:rPr>
          <w:rFonts w:cs="Times New Roman"/>
          <w:lang w:eastAsia="lv-LV"/>
        </w:rPr>
      </w:pPr>
      <w:r w:rsidRPr="00E72168">
        <w:rPr>
          <w:rFonts w:cs="Times New Roman"/>
          <w:lang w:eastAsia="lv-LV"/>
        </w:rPr>
        <w:t xml:space="preserve">Piezīme Nr. </w:t>
      </w:r>
      <w:r w:rsidR="003E4135" w:rsidRPr="00E72168">
        <w:rPr>
          <w:rFonts w:cs="Times New Roman"/>
          <w:lang w:eastAsia="lv-LV"/>
        </w:rPr>
        <w:t>KB.1</w:t>
      </w:r>
      <w:r w:rsidR="00EE7A9E" w:rsidRPr="00E72168">
        <w:rPr>
          <w:rFonts w:cs="Times New Roman"/>
          <w:lang w:eastAsia="lv-LV"/>
        </w:rPr>
        <w:t>.1</w:t>
      </w:r>
      <w:r w:rsidR="003E4135" w:rsidRPr="00E72168">
        <w:rPr>
          <w:rFonts w:cs="Times New Roman"/>
          <w:lang w:eastAsia="lv-LV"/>
        </w:rPr>
        <w:t xml:space="preserve">. </w:t>
      </w:r>
      <w:r w:rsidR="00EA7813" w:rsidRPr="00E72168">
        <w:rPr>
          <w:rFonts w:cs="Times New Roman"/>
          <w:lang w:eastAsia="lv-LV"/>
        </w:rPr>
        <w:t>Nemateriālie ieguldījumi</w:t>
      </w:r>
    </w:p>
    <w:p w14:paraId="489EB9D7" w14:textId="670C6BEF" w:rsidR="00E5110F" w:rsidRPr="00E72168" w:rsidRDefault="0065560D" w:rsidP="00324AC5">
      <w:pPr>
        <w:pStyle w:val="Tabnosauk"/>
      </w:pPr>
      <w:r>
        <w:t>1.</w:t>
      </w:r>
      <w:r w:rsidR="00031CD6" w:rsidRPr="00E72168">
        <w:t>2</w:t>
      </w:r>
      <w:r w:rsidR="00E5110F" w:rsidRPr="00E72168">
        <w:t>. tabula</w:t>
      </w:r>
      <w:r w:rsidR="006E3568" w:rsidRPr="00E72168">
        <w:t>. Nemateriālie ieguldījumi (</w:t>
      </w:r>
      <w:r w:rsidR="00D62A6F" w:rsidRPr="00E72168">
        <w:t>euro</w:t>
      </w:r>
      <w:r w:rsidR="003F166B" w:rsidRPr="00E72168">
        <w:t>)</w:t>
      </w:r>
    </w:p>
    <w:tbl>
      <w:tblPr>
        <w:tblW w:w="5000" w:type="pct"/>
        <w:tblLayout w:type="fixed"/>
        <w:tblLook w:val="04A0" w:firstRow="1" w:lastRow="0" w:firstColumn="1" w:lastColumn="0" w:noHBand="0" w:noVBand="1"/>
      </w:tblPr>
      <w:tblGrid>
        <w:gridCol w:w="2942"/>
        <w:gridCol w:w="953"/>
        <w:gridCol w:w="1401"/>
        <w:gridCol w:w="1446"/>
        <w:gridCol w:w="22"/>
        <w:gridCol w:w="1255"/>
        <w:gridCol w:w="75"/>
        <w:gridCol w:w="1253"/>
        <w:gridCol w:w="7"/>
      </w:tblGrid>
      <w:tr w:rsidR="000C1009" w:rsidRPr="00E72168" w14:paraId="26A09601" w14:textId="77777777" w:rsidTr="009A4177">
        <w:trPr>
          <w:trHeight w:val="684"/>
        </w:trPr>
        <w:tc>
          <w:tcPr>
            <w:tcW w:w="1572" w:type="pct"/>
            <w:tcBorders>
              <w:bottom w:val="single" w:sz="4" w:space="0" w:color="17365D"/>
            </w:tcBorders>
            <w:shd w:val="clear" w:color="auto" w:fill="B9CDE5"/>
            <w:vAlign w:val="center"/>
            <w:hideMark/>
          </w:tcPr>
          <w:p w14:paraId="47E68C55" w14:textId="68DA3ED9" w:rsidR="00970551" w:rsidRPr="00E72168" w:rsidRDefault="007611AA" w:rsidP="00970551">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09" w:type="pct"/>
            <w:tcBorders>
              <w:bottom w:val="single" w:sz="4" w:space="0" w:color="17365D"/>
            </w:tcBorders>
            <w:shd w:val="clear" w:color="auto" w:fill="B9CDE5"/>
            <w:vAlign w:val="center"/>
            <w:hideMark/>
          </w:tcPr>
          <w:p w14:paraId="72A284C6"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49" w:type="pct"/>
            <w:tcBorders>
              <w:bottom w:val="single" w:sz="4" w:space="0" w:color="17365D"/>
            </w:tcBorders>
            <w:shd w:val="clear" w:color="auto" w:fill="B9CDE5"/>
            <w:vAlign w:val="center"/>
            <w:hideMark/>
          </w:tcPr>
          <w:p w14:paraId="5FCC8F59"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785" w:type="pct"/>
            <w:gridSpan w:val="2"/>
            <w:tcBorders>
              <w:bottom w:val="single" w:sz="4" w:space="0" w:color="17365D"/>
            </w:tcBorders>
            <w:shd w:val="clear" w:color="auto" w:fill="B9CDE5"/>
            <w:vAlign w:val="center"/>
            <w:hideMark/>
          </w:tcPr>
          <w:p w14:paraId="45A42711"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11" w:type="pct"/>
            <w:gridSpan w:val="2"/>
            <w:tcBorders>
              <w:bottom w:val="single" w:sz="4" w:space="0" w:color="17365D"/>
            </w:tcBorders>
            <w:shd w:val="clear" w:color="auto" w:fill="B9CDE5"/>
            <w:vAlign w:val="center"/>
            <w:hideMark/>
          </w:tcPr>
          <w:p w14:paraId="457B99EE" w14:textId="259BE4D4"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t>(+,</w:t>
            </w:r>
            <w:r w:rsidR="002B1B27"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74" w:type="pct"/>
            <w:gridSpan w:val="2"/>
            <w:tcBorders>
              <w:bottom w:val="single" w:sz="4" w:space="0" w:color="17365D"/>
            </w:tcBorders>
            <w:shd w:val="clear" w:color="auto" w:fill="B9CDE5"/>
            <w:vAlign w:val="center"/>
            <w:hideMark/>
          </w:tcPr>
          <w:p w14:paraId="31CD28BD"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14283EF2" w14:textId="77777777" w:rsidTr="001F7CCC">
        <w:trPr>
          <w:trHeight w:val="56"/>
        </w:trPr>
        <w:tc>
          <w:tcPr>
            <w:tcW w:w="1572" w:type="pct"/>
            <w:tcBorders>
              <w:top w:val="single" w:sz="4" w:space="0" w:color="17365D"/>
              <w:bottom w:val="single" w:sz="4" w:space="0" w:color="17365D"/>
            </w:tcBorders>
            <w:shd w:val="clear" w:color="auto" w:fill="auto"/>
            <w:vAlign w:val="center"/>
            <w:hideMark/>
          </w:tcPr>
          <w:p w14:paraId="79A778CE"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509" w:type="pct"/>
            <w:tcBorders>
              <w:top w:val="single" w:sz="4" w:space="0" w:color="17365D"/>
              <w:bottom w:val="single" w:sz="4" w:space="0" w:color="17365D"/>
            </w:tcBorders>
            <w:shd w:val="clear" w:color="auto" w:fill="auto"/>
            <w:vAlign w:val="center"/>
            <w:hideMark/>
          </w:tcPr>
          <w:p w14:paraId="28D26BE0"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49" w:type="pct"/>
            <w:tcBorders>
              <w:top w:val="single" w:sz="4" w:space="0" w:color="17365D"/>
              <w:bottom w:val="single" w:sz="4" w:space="0" w:color="17365D"/>
            </w:tcBorders>
            <w:shd w:val="clear" w:color="auto" w:fill="auto"/>
            <w:vAlign w:val="center"/>
            <w:hideMark/>
          </w:tcPr>
          <w:p w14:paraId="2B813FBA"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785" w:type="pct"/>
            <w:gridSpan w:val="2"/>
            <w:tcBorders>
              <w:top w:val="single" w:sz="4" w:space="0" w:color="17365D"/>
              <w:bottom w:val="single" w:sz="4" w:space="0" w:color="17365D"/>
            </w:tcBorders>
            <w:shd w:val="clear" w:color="auto" w:fill="auto"/>
            <w:vAlign w:val="center"/>
            <w:hideMark/>
          </w:tcPr>
          <w:p w14:paraId="187683C3"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11" w:type="pct"/>
            <w:gridSpan w:val="2"/>
            <w:tcBorders>
              <w:top w:val="single" w:sz="4" w:space="0" w:color="17365D"/>
              <w:bottom w:val="single" w:sz="4" w:space="0" w:color="17365D"/>
            </w:tcBorders>
            <w:shd w:val="clear" w:color="auto" w:fill="auto"/>
            <w:vAlign w:val="center"/>
            <w:hideMark/>
          </w:tcPr>
          <w:p w14:paraId="15A9845E"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74" w:type="pct"/>
            <w:gridSpan w:val="2"/>
            <w:tcBorders>
              <w:top w:val="single" w:sz="4" w:space="0" w:color="17365D"/>
              <w:bottom w:val="single" w:sz="4" w:space="0" w:color="17365D"/>
            </w:tcBorders>
            <w:shd w:val="clear" w:color="auto" w:fill="auto"/>
            <w:vAlign w:val="center"/>
            <w:hideMark/>
          </w:tcPr>
          <w:p w14:paraId="2347CA4A"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886245" w:rsidRPr="00E72168" w14:paraId="081BB9E3" w14:textId="77777777" w:rsidTr="001F7CCC">
        <w:trPr>
          <w:trHeight w:val="56"/>
        </w:trPr>
        <w:tc>
          <w:tcPr>
            <w:tcW w:w="1572" w:type="pct"/>
            <w:tcBorders>
              <w:top w:val="single" w:sz="4" w:space="0" w:color="17365D"/>
              <w:bottom w:val="single" w:sz="4" w:space="0" w:color="17365D"/>
            </w:tcBorders>
            <w:shd w:val="clear" w:color="auto" w:fill="auto"/>
            <w:vAlign w:val="center"/>
            <w:hideMark/>
          </w:tcPr>
          <w:p w14:paraId="67037705" w14:textId="2A315D46" w:rsidR="00886245" w:rsidRPr="00E72168" w:rsidRDefault="00886245" w:rsidP="00886245">
            <w:pPr>
              <w:spacing w:after="0" w:line="240" w:lineRule="auto"/>
              <w:rPr>
                <w:rFonts w:cs="Times New Roman"/>
                <w:b/>
                <w:color w:val="17365D"/>
                <w:sz w:val="18"/>
                <w:szCs w:val="18"/>
              </w:rPr>
            </w:pPr>
            <w:r w:rsidRPr="00E72168">
              <w:rPr>
                <w:rFonts w:cs="Times New Roman"/>
                <w:b/>
                <w:color w:val="17365D"/>
                <w:sz w:val="18"/>
                <w:szCs w:val="18"/>
              </w:rPr>
              <w:t>Nemateriālie ieguldījumi</w:t>
            </w:r>
          </w:p>
        </w:tc>
        <w:tc>
          <w:tcPr>
            <w:tcW w:w="509" w:type="pct"/>
            <w:tcBorders>
              <w:top w:val="single" w:sz="4" w:space="0" w:color="17365D"/>
              <w:bottom w:val="single" w:sz="4" w:space="0" w:color="17365D"/>
            </w:tcBorders>
            <w:shd w:val="clear" w:color="auto" w:fill="auto"/>
            <w:vAlign w:val="center"/>
            <w:hideMark/>
          </w:tcPr>
          <w:p w14:paraId="0AF9E1FF" w14:textId="166DB093" w:rsidR="00886245" w:rsidRPr="00E72168" w:rsidRDefault="00886245" w:rsidP="00886245">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KB.1.1.</w:t>
            </w:r>
          </w:p>
        </w:tc>
        <w:tc>
          <w:tcPr>
            <w:tcW w:w="749" w:type="pct"/>
            <w:tcBorders>
              <w:top w:val="single" w:sz="4" w:space="0" w:color="17365D"/>
              <w:bottom w:val="single" w:sz="4" w:space="0" w:color="17365D"/>
            </w:tcBorders>
            <w:shd w:val="clear" w:color="auto" w:fill="auto"/>
            <w:hideMark/>
          </w:tcPr>
          <w:p w14:paraId="2F5FABAF" w14:textId="6CBE1105" w:rsidR="00886245" w:rsidRPr="00575F9E" w:rsidRDefault="00886245" w:rsidP="00575F9E">
            <w:pPr>
              <w:pStyle w:val="Tabskaiti"/>
              <w:rPr>
                <w:rFonts w:cs="Times New Roman"/>
                <w:b/>
                <w:bCs w:val="0"/>
                <w:lang w:eastAsia="en-US"/>
              </w:rPr>
            </w:pPr>
            <w:r w:rsidRPr="00575F9E">
              <w:rPr>
                <w:rFonts w:cs="Times New Roman"/>
                <w:b/>
                <w:bCs w:val="0"/>
                <w:lang w:eastAsia="en-US"/>
              </w:rPr>
              <w:t>271 740 247</w:t>
            </w:r>
          </w:p>
        </w:tc>
        <w:tc>
          <w:tcPr>
            <w:tcW w:w="785" w:type="pct"/>
            <w:gridSpan w:val="2"/>
            <w:tcBorders>
              <w:top w:val="single" w:sz="4" w:space="0" w:color="17365D"/>
              <w:bottom w:val="single" w:sz="4" w:space="0" w:color="17365D"/>
            </w:tcBorders>
            <w:shd w:val="clear" w:color="auto" w:fill="auto"/>
            <w:hideMark/>
          </w:tcPr>
          <w:p w14:paraId="044A2D52" w14:textId="5C5D4A40" w:rsidR="00886245" w:rsidRPr="00575F9E" w:rsidRDefault="00886245" w:rsidP="00575F9E">
            <w:pPr>
              <w:pStyle w:val="Tabskaiti"/>
              <w:rPr>
                <w:rFonts w:cs="Times New Roman"/>
                <w:b/>
                <w:bCs w:val="0"/>
                <w:lang w:eastAsia="en-US"/>
              </w:rPr>
            </w:pPr>
            <w:r w:rsidRPr="00575F9E">
              <w:rPr>
                <w:rFonts w:cs="Times New Roman"/>
                <w:b/>
                <w:bCs w:val="0"/>
                <w:lang w:eastAsia="en-US"/>
              </w:rPr>
              <w:t>260 560 178</w:t>
            </w:r>
          </w:p>
        </w:tc>
        <w:tc>
          <w:tcPr>
            <w:tcW w:w="711" w:type="pct"/>
            <w:gridSpan w:val="2"/>
            <w:tcBorders>
              <w:top w:val="single" w:sz="4" w:space="0" w:color="17365D"/>
              <w:bottom w:val="single" w:sz="4" w:space="0" w:color="17365D"/>
            </w:tcBorders>
            <w:shd w:val="clear" w:color="auto" w:fill="auto"/>
            <w:noWrap/>
            <w:hideMark/>
          </w:tcPr>
          <w:p w14:paraId="2CB966FA" w14:textId="62098916" w:rsidR="00886245" w:rsidRPr="00575F9E" w:rsidRDefault="00886245" w:rsidP="00575F9E">
            <w:pPr>
              <w:pStyle w:val="Tabskaiti"/>
              <w:rPr>
                <w:rFonts w:cs="Times New Roman"/>
                <w:b/>
                <w:bCs w:val="0"/>
                <w:lang w:eastAsia="en-US"/>
              </w:rPr>
            </w:pPr>
            <w:r w:rsidRPr="00575F9E">
              <w:rPr>
                <w:rFonts w:cs="Times New Roman"/>
                <w:b/>
                <w:bCs w:val="0"/>
                <w:lang w:eastAsia="en-US"/>
              </w:rPr>
              <w:t>11 180 069</w:t>
            </w:r>
          </w:p>
        </w:tc>
        <w:tc>
          <w:tcPr>
            <w:tcW w:w="674" w:type="pct"/>
            <w:gridSpan w:val="2"/>
            <w:tcBorders>
              <w:top w:val="single" w:sz="4" w:space="0" w:color="17365D"/>
              <w:bottom w:val="single" w:sz="4" w:space="0" w:color="17365D"/>
            </w:tcBorders>
            <w:shd w:val="clear" w:color="auto" w:fill="auto"/>
            <w:noWrap/>
            <w:hideMark/>
          </w:tcPr>
          <w:p w14:paraId="5FB04389" w14:textId="12549D19" w:rsidR="00886245" w:rsidRPr="00575F9E" w:rsidRDefault="00886245" w:rsidP="00575F9E">
            <w:pPr>
              <w:pStyle w:val="Tabskaiti"/>
              <w:rPr>
                <w:rFonts w:cs="Times New Roman"/>
                <w:b/>
                <w:bCs w:val="0"/>
                <w:lang w:eastAsia="en-US"/>
              </w:rPr>
            </w:pPr>
            <w:r w:rsidRPr="00575F9E">
              <w:rPr>
                <w:rFonts w:cs="Times New Roman"/>
                <w:b/>
                <w:bCs w:val="0"/>
                <w:lang w:eastAsia="en-US"/>
              </w:rPr>
              <w:t>4.29</w:t>
            </w:r>
          </w:p>
        </w:tc>
      </w:tr>
      <w:tr w:rsidR="00886245" w:rsidRPr="00E72168" w14:paraId="5838F1E5" w14:textId="77777777" w:rsidTr="001F7CCC">
        <w:trPr>
          <w:trHeight w:val="264"/>
        </w:trPr>
        <w:tc>
          <w:tcPr>
            <w:tcW w:w="1572" w:type="pct"/>
            <w:tcBorders>
              <w:top w:val="single" w:sz="4" w:space="0" w:color="17365D"/>
              <w:bottom w:val="single" w:sz="4" w:space="0" w:color="17365D"/>
            </w:tcBorders>
            <w:shd w:val="clear" w:color="auto" w:fill="auto"/>
            <w:vAlign w:val="center"/>
            <w:hideMark/>
          </w:tcPr>
          <w:p w14:paraId="2AB6E826" w14:textId="7836F5CF" w:rsidR="00886245" w:rsidRPr="00E72168" w:rsidRDefault="00886245" w:rsidP="00886245">
            <w:pPr>
              <w:spacing w:after="0" w:line="240" w:lineRule="auto"/>
              <w:rPr>
                <w:rFonts w:cs="Times New Roman"/>
                <w:color w:val="17365D"/>
                <w:sz w:val="18"/>
                <w:szCs w:val="18"/>
              </w:rPr>
            </w:pPr>
            <w:r w:rsidRPr="00E72168">
              <w:rPr>
                <w:rFonts w:cs="Times New Roman"/>
                <w:color w:val="17365D"/>
                <w:sz w:val="18"/>
                <w:szCs w:val="18"/>
              </w:rPr>
              <w:t>Attīstības pasākumi un programmas</w:t>
            </w:r>
          </w:p>
        </w:tc>
        <w:tc>
          <w:tcPr>
            <w:tcW w:w="509" w:type="pct"/>
            <w:tcBorders>
              <w:top w:val="single" w:sz="4" w:space="0" w:color="17365D"/>
              <w:bottom w:val="single" w:sz="4" w:space="0" w:color="17365D"/>
            </w:tcBorders>
            <w:shd w:val="clear" w:color="auto" w:fill="auto"/>
            <w:noWrap/>
            <w:vAlign w:val="center"/>
            <w:hideMark/>
          </w:tcPr>
          <w:p w14:paraId="45F4B380" w14:textId="5E53E1EC" w:rsidR="00886245" w:rsidRPr="00E72168" w:rsidRDefault="00886245" w:rsidP="00886245">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 </w:t>
            </w:r>
          </w:p>
        </w:tc>
        <w:tc>
          <w:tcPr>
            <w:tcW w:w="749" w:type="pct"/>
            <w:tcBorders>
              <w:top w:val="single" w:sz="4" w:space="0" w:color="17365D"/>
              <w:bottom w:val="single" w:sz="4" w:space="0" w:color="17365D"/>
            </w:tcBorders>
            <w:shd w:val="clear" w:color="auto" w:fill="auto"/>
            <w:vAlign w:val="center"/>
            <w:hideMark/>
          </w:tcPr>
          <w:p w14:paraId="57970A18" w14:textId="607CAD53" w:rsidR="00886245" w:rsidRPr="00575F9E" w:rsidRDefault="00886245" w:rsidP="00575F9E">
            <w:pPr>
              <w:pStyle w:val="Tabskaiti"/>
              <w:rPr>
                <w:highlight w:val="yellow"/>
              </w:rPr>
            </w:pPr>
            <w:r w:rsidRPr="00575F9E">
              <w:t>4 191 748</w:t>
            </w:r>
          </w:p>
        </w:tc>
        <w:tc>
          <w:tcPr>
            <w:tcW w:w="785" w:type="pct"/>
            <w:gridSpan w:val="2"/>
            <w:tcBorders>
              <w:top w:val="single" w:sz="4" w:space="0" w:color="17365D"/>
              <w:bottom w:val="single" w:sz="4" w:space="0" w:color="17365D"/>
            </w:tcBorders>
            <w:shd w:val="clear" w:color="auto" w:fill="auto"/>
            <w:vAlign w:val="center"/>
            <w:hideMark/>
          </w:tcPr>
          <w:p w14:paraId="586B1754" w14:textId="1A167F6C" w:rsidR="00886245" w:rsidRPr="00575F9E" w:rsidRDefault="00886245" w:rsidP="00575F9E">
            <w:pPr>
              <w:pStyle w:val="Tabskaiti"/>
              <w:rPr>
                <w:highlight w:val="yellow"/>
              </w:rPr>
            </w:pPr>
            <w:r w:rsidRPr="00575F9E">
              <w:t>3 961 133</w:t>
            </w:r>
          </w:p>
        </w:tc>
        <w:tc>
          <w:tcPr>
            <w:tcW w:w="711" w:type="pct"/>
            <w:gridSpan w:val="2"/>
            <w:tcBorders>
              <w:top w:val="single" w:sz="4" w:space="0" w:color="17365D"/>
              <w:bottom w:val="single" w:sz="4" w:space="0" w:color="17365D"/>
            </w:tcBorders>
            <w:shd w:val="clear" w:color="auto" w:fill="auto"/>
            <w:noWrap/>
            <w:vAlign w:val="center"/>
            <w:hideMark/>
          </w:tcPr>
          <w:p w14:paraId="1F6ADED7" w14:textId="1ABAF975" w:rsidR="00886245" w:rsidRPr="00575F9E" w:rsidRDefault="00886245" w:rsidP="00575F9E">
            <w:pPr>
              <w:pStyle w:val="Tabskaiti"/>
              <w:rPr>
                <w:highlight w:val="yellow"/>
              </w:rPr>
            </w:pPr>
            <w:r w:rsidRPr="00575F9E">
              <w:t>230 615</w:t>
            </w:r>
          </w:p>
        </w:tc>
        <w:tc>
          <w:tcPr>
            <w:tcW w:w="674" w:type="pct"/>
            <w:gridSpan w:val="2"/>
            <w:tcBorders>
              <w:top w:val="single" w:sz="4" w:space="0" w:color="17365D"/>
              <w:bottom w:val="single" w:sz="4" w:space="0" w:color="17365D"/>
            </w:tcBorders>
            <w:shd w:val="clear" w:color="auto" w:fill="auto"/>
            <w:noWrap/>
            <w:vAlign w:val="center"/>
            <w:hideMark/>
          </w:tcPr>
          <w:p w14:paraId="61F3921B" w14:textId="436F325E" w:rsidR="00886245" w:rsidRPr="00575F9E" w:rsidRDefault="00886245" w:rsidP="00575F9E">
            <w:pPr>
              <w:pStyle w:val="Tabskaiti"/>
              <w:rPr>
                <w:highlight w:val="yellow"/>
              </w:rPr>
            </w:pPr>
            <w:r w:rsidRPr="00575F9E">
              <w:t>5.82</w:t>
            </w:r>
          </w:p>
        </w:tc>
      </w:tr>
      <w:tr w:rsidR="00886245" w:rsidRPr="00E72168" w14:paraId="5D6653B7" w14:textId="77777777" w:rsidTr="001F7CCC">
        <w:trPr>
          <w:trHeight w:val="408"/>
        </w:trPr>
        <w:tc>
          <w:tcPr>
            <w:tcW w:w="1572" w:type="pct"/>
            <w:tcBorders>
              <w:top w:val="single" w:sz="4" w:space="0" w:color="17365D"/>
              <w:bottom w:val="single" w:sz="4" w:space="0" w:color="17365D"/>
            </w:tcBorders>
            <w:shd w:val="clear" w:color="auto" w:fill="auto"/>
            <w:vAlign w:val="center"/>
            <w:hideMark/>
          </w:tcPr>
          <w:p w14:paraId="1BA4C119" w14:textId="73DB9D54" w:rsidR="00886245" w:rsidRPr="00E72168" w:rsidRDefault="00886245" w:rsidP="00886245">
            <w:pPr>
              <w:spacing w:after="0" w:line="240" w:lineRule="auto"/>
              <w:rPr>
                <w:rFonts w:cs="Times New Roman"/>
                <w:color w:val="17365D"/>
                <w:sz w:val="18"/>
                <w:szCs w:val="18"/>
              </w:rPr>
            </w:pPr>
            <w:r w:rsidRPr="00E72168">
              <w:rPr>
                <w:rFonts w:cs="Times New Roman"/>
                <w:color w:val="17365D"/>
                <w:sz w:val="18"/>
                <w:szCs w:val="18"/>
              </w:rPr>
              <w:t>Licences, koncesijas un patenti, preču zīmes un tamlīdzīgas tiesības</w:t>
            </w:r>
          </w:p>
        </w:tc>
        <w:tc>
          <w:tcPr>
            <w:tcW w:w="509" w:type="pct"/>
            <w:tcBorders>
              <w:top w:val="single" w:sz="4" w:space="0" w:color="17365D"/>
              <w:bottom w:val="single" w:sz="4" w:space="0" w:color="17365D"/>
            </w:tcBorders>
            <w:shd w:val="clear" w:color="auto" w:fill="auto"/>
            <w:noWrap/>
            <w:vAlign w:val="center"/>
          </w:tcPr>
          <w:p w14:paraId="1A90ACEF" w14:textId="44E5F185" w:rsidR="00886245" w:rsidRPr="00E72168" w:rsidRDefault="00886245" w:rsidP="00886245">
            <w:pPr>
              <w:spacing w:after="0" w:line="240" w:lineRule="auto"/>
              <w:ind w:right="-101"/>
              <w:jc w:val="right"/>
              <w:rPr>
                <w:rFonts w:eastAsia="Times New Roman" w:cs="Times New Roman"/>
                <w:color w:val="17365D"/>
                <w:sz w:val="18"/>
                <w:szCs w:val="18"/>
                <w:lang w:eastAsia="lv-LV"/>
              </w:rPr>
            </w:pPr>
          </w:p>
        </w:tc>
        <w:tc>
          <w:tcPr>
            <w:tcW w:w="749" w:type="pct"/>
            <w:tcBorders>
              <w:top w:val="single" w:sz="4" w:space="0" w:color="17365D"/>
              <w:bottom w:val="single" w:sz="4" w:space="0" w:color="17365D"/>
            </w:tcBorders>
            <w:shd w:val="clear" w:color="auto" w:fill="auto"/>
            <w:vAlign w:val="center"/>
            <w:hideMark/>
          </w:tcPr>
          <w:p w14:paraId="3B46FFED" w14:textId="4BE18E41" w:rsidR="00886245" w:rsidRPr="00575F9E" w:rsidRDefault="00886245" w:rsidP="00575F9E">
            <w:pPr>
              <w:pStyle w:val="Tabskaiti"/>
              <w:rPr>
                <w:highlight w:val="yellow"/>
              </w:rPr>
            </w:pPr>
            <w:r w:rsidRPr="00575F9E">
              <w:t>214 220 979</w:t>
            </w:r>
          </w:p>
        </w:tc>
        <w:tc>
          <w:tcPr>
            <w:tcW w:w="785" w:type="pct"/>
            <w:gridSpan w:val="2"/>
            <w:tcBorders>
              <w:top w:val="single" w:sz="4" w:space="0" w:color="17365D"/>
              <w:bottom w:val="single" w:sz="4" w:space="0" w:color="17365D"/>
            </w:tcBorders>
            <w:shd w:val="clear" w:color="auto" w:fill="auto"/>
            <w:vAlign w:val="center"/>
            <w:hideMark/>
          </w:tcPr>
          <w:p w14:paraId="2DD4FC4B" w14:textId="58FC0931" w:rsidR="00886245" w:rsidRPr="00575F9E" w:rsidRDefault="00886245" w:rsidP="00575F9E">
            <w:pPr>
              <w:pStyle w:val="Tabskaiti"/>
              <w:rPr>
                <w:highlight w:val="yellow"/>
              </w:rPr>
            </w:pPr>
            <w:r w:rsidRPr="00575F9E">
              <w:t>207 839 359</w:t>
            </w:r>
          </w:p>
        </w:tc>
        <w:tc>
          <w:tcPr>
            <w:tcW w:w="711" w:type="pct"/>
            <w:gridSpan w:val="2"/>
            <w:tcBorders>
              <w:top w:val="single" w:sz="4" w:space="0" w:color="17365D"/>
              <w:bottom w:val="single" w:sz="4" w:space="0" w:color="17365D"/>
            </w:tcBorders>
            <w:shd w:val="clear" w:color="auto" w:fill="auto"/>
            <w:noWrap/>
            <w:vAlign w:val="center"/>
            <w:hideMark/>
          </w:tcPr>
          <w:p w14:paraId="5EDF90E0" w14:textId="182C848C" w:rsidR="00886245" w:rsidRPr="00575F9E" w:rsidRDefault="00886245" w:rsidP="00575F9E">
            <w:pPr>
              <w:pStyle w:val="Tabskaiti"/>
              <w:rPr>
                <w:highlight w:val="yellow"/>
              </w:rPr>
            </w:pPr>
            <w:r w:rsidRPr="00575F9E">
              <w:t>6 381 620</w:t>
            </w:r>
          </w:p>
        </w:tc>
        <w:tc>
          <w:tcPr>
            <w:tcW w:w="674" w:type="pct"/>
            <w:gridSpan w:val="2"/>
            <w:tcBorders>
              <w:top w:val="single" w:sz="4" w:space="0" w:color="17365D"/>
              <w:bottom w:val="single" w:sz="4" w:space="0" w:color="17365D"/>
            </w:tcBorders>
            <w:shd w:val="clear" w:color="auto" w:fill="auto"/>
            <w:noWrap/>
            <w:vAlign w:val="center"/>
            <w:hideMark/>
          </w:tcPr>
          <w:p w14:paraId="41C5D417" w14:textId="4AED8AC6" w:rsidR="00886245" w:rsidRPr="00575F9E" w:rsidRDefault="00886245" w:rsidP="00575F9E">
            <w:pPr>
              <w:pStyle w:val="Tabskaiti"/>
              <w:rPr>
                <w:highlight w:val="yellow"/>
              </w:rPr>
            </w:pPr>
            <w:r w:rsidRPr="00575F9E">
              <w:t>3.07</w:t>
            </w:r>
          </w:p>
        </w:tc>
      </w:tr>
      <w:tr w:rsidR="00886245" w:rsidRPr="00E72168" w14:paraId="78F4EEE4" w14:textId="77777777" w:rsidTr="001F7CCC">
        <w:trPr>
          <w:trHeight w:val="56"/>
        </w:trPr>
        <w:tc>
          <w:tcPr>
            <w:tcW w:w="1572" w:type="pct"/>
            <w:tcBorders>
              <w:top w:val="single" w:sz="4" w:space="0" w:color="17365D"/>
              <w:bottom w:val="single" w:sz="4" w:space="0" w:color="17365D"/>
            </w:tcBorders>
            <w:shd w:val="clear" w:color="auto" w:fill="auto"/>
            <w:vAlign w:val="center"/>
            <w:hideMark/>
          </w:tcPr>
          <w:p w14:paraId="39A679C2" w14:textId="605C8773" w:rsidR="00886245" w:rsidRPr="00E72168" w:rsidRDefault="00886245" w:rsidP="00886245">
            <w:pPr>
              <w:spacing w:after="0" w:line="240" w:lineRule="auto"/>
              <w:rPr>
                <w:rFonts w:cs="Times New Roman"/>
                <w:color w:val="17365D"/>
                <w:sz w:val="18"/>
                <w:szCs w:val="18"/>
              </w:rPr>
            </w:pPr>
            <w:r w:rsidRPr="00E72168">
              <w:rPr>
                <w:rFonts w:cs="Times New Roman"/>
                <w:color w:val="17365D"/>
                <w:sz w:val="18"/>
                <w:szCs w:val="18"/>
              </w:rPr>
              <w:t>Pārējie nemateriālie ieguldījumi</w:t>
            </w:r>
          </w:p>
        </w:tc>
        <w:tc>
          <w:tcPr>
            <w:tcW w:w="509" w:type="pct"/>
            <w:tcBorders>
              <w:top w:val="single" w:sz="4" w:space="0" w:color="17365D"/>
              <w:bottom w:val="single" w:sz="4" w:space="0" w:color="17365D"/>
            </w:tcBorders>
            <w:shd w:val="clear" w:color="auto" w:fill="auto"/>
            <w:noWrap/>
            <w:vAlign w:val="center"/>
          </w:tcPr>
          <w:p w14:paraId="4299DEFE" w14:textId="7CD7D119" w:rsidR="00886245" w:rsidRPr="00E72168" w:rsidRDefault="00886245" w:rsidP="00886245">
            <w:pPr>
              <w:spacing w:after="0" w:line="240" w:lineRule="auto"/>
              <w:jc w:val="right"/>
              <w:rPr>
                <w:rFonts w:eastAsia="Times New Roman" w:cs="Times New Roman"/>
                <w:color w:val="17365D"/>
                <w:sz w:val="18"/>
                <w:szCs w:val="18"/>
                <w:lang w:eastAsia="lv-LV"/>
              </w:rPr>
            </w:pPr>
          </w:p>
        </w:tc>
        <w:tc>
          <w:tcPr>
            <w:tcW w:w="749" w:type="pct"/>
            <w:tcBorders>
              <w:top w:val="single" w:sz="4" w:space="0" w:color="17365D"/>
              <w:bottom w:val="single" w:sz="4" w:space="0" w:color="17365D"/>
            </w:tcBorders>
            <w:shd w:val="clear" w:color="auto" w:fill="auto"/>
            <w:vAlign w:val="center"/>
          </w:tcPr>
          <w:p w14:paraId="240C961C" w14:textId="75EE5D82" w:rsidR="00886245" w:rsidRPr="00575F9E" w:rsidRDefault="00886245" w:rsidP="00575F9E">
            <w:pPr>
              <w:pStyle w:val="Tabskaiti"/>
              <w:rPr>
                <w:highlight w:val="yellow"/>
              </w:rPr>
            </w:pPr>
            <w:r w:rsidRPr="00575F9E">
              <w:t>15 416 509</w:t>
            </w:r>
          </w:p>
        </w:tc>
        <w:tc>
          <w:tcPr>
            <w:tcW w:w="785" w:type="pct"/>
            <w:gridSpan w:val="2"/>
            <w:tcBorders>
              <w:top w:val="single" w:sz="4" w:space="0" w:color="17365D"/>
              <w:bottom w:val="single" w:sz="4" w:space="0" w:color="17365D"/>
            </w:tcBorders>
            <w:shd w:val="clear" w:color="auto" w:fill="auto"/>
            <w:vAlign w:val="center"/>
          </w:tcPr>
          <w:p w14:paraId="11E76FDD" w14:textId="3AFF641C" w:rsidR="00886245" w:rsidRPr="00575F9E" w:rsidRDefault="00886245" w:rsidP="00575F9E">
            <w:pPr>
              <w:pStyle w:val="Tabskaiti"/>
              <w:rPr>
                <w:highlight w:val="yellow"/>
              </w:rPr>
            </w:pPr>
            <w:r w:rsidRPr="00575F9E">
              <w:t>16 594 303</w:t>
            </w:r>
          </w:p>
        </w:tc>
        <w:tc>
          <w:tcPr>
            <w:tcW w:w="711" w:type="pct"/>
            <w:gridSpan w:val="2"/>
            <w:tcBorders>
              <w:top w:val="single" w:sz="4" w:space="0" w:color="17365D"/>
              <w:bottom w:val="single" w:sz="4" w:space="0" w:color="17365D"/>
            </w:tcBorders>
            <w:shd w:val="clear" w:color="auto" w:fill="auto"/>
            <w:noWrap/>
            <w:vAlign w:val="center"/>
          </w:tcPr>
          <w:p w14:paraId="76BB33E5" w14:textId="71E795B3" w:rsidR="00886245" w:rsidRPr="00575F9E" w:rsidRDefault="00886245" w:rsidP="00575F9E">
            <w:pPr>
              <w:pStyle w:val="Tabskaiti"/>
              <w:rPr>
                <w:highlight w:val="yellow"/>
              </w:rPr>
            </w:pPr>
            <w:r w:rsidRPr="00575F9E">
              <w:t>-1 177 794</w:t>
            </w:r>
          </w:p>
        </w:tc>
        <w:tc>
          <w:tcPr>
            <w:tcW w:w="674" w:type="pct"/>
            <w:gridSpan w:val="2"/>
            <w:tcBorders>
              <w:top w:val="single" w:sz="4" w:space="0" w:color="17365D"/>
              <w:bottom w:val="single" w:sz="4" w:space="0" w:color="17365D"/>
            </w:tcBorders>
            <w:shd w:val="clear" w:color="auto" w:fill="auto"/>
            <w:noWrap/>
            <w:vAlign w:val="center"/>
          </w:tcPr>
          <w:p w14:paraId="06C2C464" w14:textId="7510490A" w:rsidR="00886245" w:rsidRPr="00575F9E" w:rsidRDefault="00886245" w:rsidP="00575F9E">
            <w:pPr>
              <w:pStyle w:val="Tabskaiti"/>
              <w:rPr>
                <w:highlight w:val="yellow"/>
              </w:rPr>
            </w:pPr>
            <w:r w:rsidRPr="00575F9E">
              <w:t>-7.10</w:t>
            </w:r>
          </w:p>
        </w:tc>
      </w:tr>
      <w:tr w:rsidR="00886245" w:rsidRPr="00E72168" w14:paraId="332FEDBD" w14:textId="77777777" w:rsidTr="001F7CCC">
        <w:trPr>
          <w:trHeight w:val="264"/>
        </w:trPr>
        <w:tc>
          <w:tcPr>
            <w:tcW w:w="1572" w:type="pct"/>
            <w:tcBorders>
              <w:top w:val="single" w:sz="4" w:space="0" w:color="17365D"/>
              <w:bottom w:val="single" w:sz="4" w:space="0" w:color="17365D"/>
            </w:tcBorders>
            <w:shd w:val="clear" w:color="auto" w:fill="auto"/>
            <w:vAlign w:val="center"/>
            <w:hideMark/>
          </w:tcPr>
          <w:p w14:paraId="677D945E" w14:textId="4CA12E23" w:rsidR="00886245" w:rsidRPr="00E72168" w:rsidRDefault="00886245" w:rsidP="00886245">
            <w:pPr>
              <w:spacing w:after="0" w:line="240" w:lineRule="auto"/>
              <w:rPr>
                <w:rFonts w:cs="Times New Roman"/>
                <w:color w:val="17365D"/>
                <w:sz w:val="18"/>
                <w:szCs w:val="18"/>
              </w:rPr>
            </w:pPr>
            <w:r w:rsidRPr="00E72168">
              <w:rPr>
                <w:rFonts w:cs="Times New Roman"/>
                <w:color w:val="17365D"/>
                <w:sz w:val="18"/>
                <w:szCs w:val="18"/>
              </w:rPr>
              <w:t>Nemateriālo ieguldījumu izveidošana</w:t>
            </w:r>
          </w:p>
        </w:tc>
        <w:tc>
          <w:tcPr>
            <w:tcW w:w="509" w:type="pct"/>
            <w:tcBorders>
              <w:top w:val="single" w:sz="4" w:space="0" w:color="17365D"/>
              <w:bottom w:val="single" w:sz="4" w:space="0" w:color="17365D"/>
            </w:tcBorders>
            <w:shd w:val="clear" w:color="auto" w:fill="auto"/>
            <w:noWrap/>
            <w:vAlign w:val="center"/>
          </w:tcPr>
          <w:p w14:paraId="57B1B795" w14:textId="2D229D54" w:rsidR="00886245" w:rsidRPr="00E72168" w:rsidRDefault="00886245" w:rsidP="00886245">
            <w:pPr>
              <w:spacing w:after="0" w:line="240" w:lineRule="auto"/>
              <w:ind w:right="-101"/>
              <w:jc w:val="right"/>
              <w:rPr>
                <w:rFonts w:cs="Times New Roman"/>
                <w:color w:val="17365D"/>
                <w:sz w:val="18"/>
                <w:szCs w:val="18"/>
              </w:rPr>
            </w:pPr>
          </w:p>
        </w:tc>
        <w:tc>
          <w:tcPr>
            <w:tcW w:w="749" w:type="pct"/>
            <w:tcBorders>
              <w:top w:val="single" w:sz="4" w:space="0" w:color="17365D"/>
              <w:bottom w:val="single" w:sz="4" w:space="0" w:color="17365D"/>
            </w:tcBorders>
            <w:shd w:val="clear" w:color="auto" w:fill="auto"/>
            <w:vAlign w:val="center"/>
          </w:tcPr>
          <w:p w14:paraId="57DCBC60" w14:textId="7B6F8947" w:rsidR="00886245" w:rsidRPr="00575F9E" w:rsidRDefault="00886245" w:rsidP="00575F9E">
            <w:pPr>
              <w:pStyle w:val="Tabskaiti"/>
              <w:rPr>
                <w:highlight w:val="yellow"/>
              </w:rPr>
            </w:pPr>
            <w:r w:rsidRPr="00575F9E">
              <w:t>36 596 820</w:t>
            </w:r>
          </w:p>
        </w:tc>
        <w:tc>
          <w:tcPr>
            <w:tcW w:w="785" w:type="pct"/>
            <w:gridSpan w:val="2"/>
            <w:tcBorders>
              <w:top w:val="single" w:sz="4" w:space="0" w:color="17365D"/>
              <w:bottom w:val="single" w:sz="4" w:space="0" w:color="17365D"/>
            </w:tcBorders>
            <w:shd w:val="clear" w:color="auto" w:fill="auto"/>
            <w:vAlign w:val="center"/>
          </w:tcPr>
          <w:p w14:paraId="4A338245" w14:textId="6F176BEE" w:rsidR="00886245" w:rsidRPr="00575F9E" w:rsidRDefault="00886245" w:rsidP="00575F9E">
            <w:pPr>
              <w:pStyle w:val="Tabskaiti"/>
              <w:rPr>
                <w:highlight w:val="yellow"/>
              </w:rPr>
            </w:pPr>
            <w:r w:rsidRPr="00575F9E">
              <w:t>31 717 839</w:t>
            </w:r>
          </w:p>
        </w:tc>
        <w:tc>
          <w:tcPr>
            <w:tcW w:w="711" w:type="pct"/>
            <w:gridSpan w:val="2"/>
            <w:tcBorders>
              <w:top w:val="single" w:sz="4" w:space="0" w:color="17365D"/>
              <w:bottom w:val="single" w:sz="4" w:space="0" w:color="17365D"/>
            </w:tcBorders>
            <w:shd w:val="clear" w:color="auto" w:fill="auto"/>
            <w:noWrap/>
            <w:vAlign w:val="center"/>
          </w:tcPr>
          <w:p w14:paraId="35197146" w14:textId="0B195700" w:rsidR="00886245" w:rsidRPr="00575F9E" w:rsidRDefault="00886245" w:rsidP="00575F9E">
            <w:pPr>
              <w:pStyle w:val="Tabskaiti"/>
              <w:rPr>
                <w:highlight w:val="yellow"/>
              </w:rPr>
            </w:pPr>
            <w:r w:rsidRPr="00575F9E">
              <w:t>4 878 981</w:t>
            </w:r>
          </w:p>
        </w:tc>
        <w:tc>
          <w:tcPr>
            <w:tcW w:w="674" w:type="pct"/>
            <w:gridSpan w:val="2"/>
            <w:tcBorders>
              <w:top w:val="single" w:sz="4" w:space="0" w:color="17365D"/>
              <w:bottom w:val="single" w:sz="4" w:space="0" w:color="17365D"/>
            </w:tcBorders>
            <w:shd w:val="clear" w:color="auto" w:fill="auto"/>
            <w:noWrap/>
            <w:vAlign w:val="center"/>
          </w:tcPr>
          <w:p w14:paraId="2C1B6CF6" w14:textId="28CFD494" w:rsidR="00886245" w:rsidRPr="00575F9E" w:rsidRDefault="00886245" w:rsidP="00575F9E">
            <w:pPr>
              <w:pStyle w:val="Tabskaiti"/>
              <w:rPr>
                <w:highlight w:val="yellow"/>
              </w:rPr>
            </w:pPr>
            <w:r w:rsidRPr="00575F9E">
              <w:t>15.38</w:t>
            </w:r>
          </w:p>
        </w:tc>
      </w:tr>
      <w:tr w:rsidR="00886245" w:rsidRPr="00E72168" w14:paraId="2D3BB1AB" w14:textId="77777777" w:rsidTr="001F7CCC">
        <w:trPr>
          <w:trHeight w:val="408"/>
        </w:trPr>
        <w:tc>
          <w:tcPr>
            <w:tcW w:w="1572" w:type="pct"/>
            <w:tcBorders>
              <w:top w:val="single" w:sz="4" w:space="0" w:color="17365D"/>
              <w:bottom w:val="single" w:sz="4" w:space="0" w:color="17365D"/>
            </w:tcBorders>
            <w:shd w:val="clear" w:color="auto" w:fill="auto"/>
            <w:vAlign w:val="center"/>
          </w:tcPr>
          <w:p w14:paraId="1E597AC2" w14:textId="5CCC22F4" w:rsidR="00886245" w:rsidRPr="00E72168" w:rsidRDefault="00886245" w:rsidP="00886245">
            <w:pPr>
              <w:spacing w:after="0" w:line="240" w:lineRule="auto"/>
              <w:rPr>
                <w:rFonts w:cs="Times New Roman"/>
                <w:color w:val="17365D"/>
                <w:sz w:val="18"/>
                <w:szCs w:val="18"/>
              </w:rPr>
            </w:pPr>
            <w:r w:rsidRPr="00E72168">
              <w:rPr>
                <w:rFonts w:cs="Times New Roman"/>
                <w:color w:val="17365D"/>
                <w:sz w:val="18"/>
                <w:szCs w:val="18"/>
              </w:rPr>
              <w:t>Avansa maksājumi par nemateriālajiem ieguldījumiem</w:t>
            </w:r>
          </w:p>
        </w:tc>
        <w:tc>
          <w:tcPr>
            <w:tcW w:w="509" w:type="pct"/>
            <w:tcBorders>
              <w:top w:val="single" w:sz="4" w:space="0" w:color="17365D"/>
              <w:bottom w:val="single" w:sz="4" w:space="0" w:color="17365D"/>
            </w:tcBorders>
            <w:shd w:val="clear" w:color="auto" w:fill="auto"/>
            <w:noWrap/>
            <w:vAlign w:val="center"/>
          </w:tcPr>
          <w:p w14:paraId="69C722AA" w14:textId="77777777" w:rsidR="00886245" w:rsidRPr="00E72168" w:rsidRDefault="00886245" w:rsidP="00886245">
            <w:pPr>
              <w:spacing w:after="0" w:line="240" w:lineRule="auto"/>
              <w:jc w:val="right"/>
              <w:rPr>
                <w:rFonts w:eastAsia="Times New Roman" w:cs="Times New Roman"/>
                <w:color w:val="17365D"/>
                <w:sz w:val="18"/>
                <w:szCs w:val="18"/>
                <w:lang w:eastAsia="lv-LV"/>
              </w:rPr>
            </w:pPr>
          </w:p>
        </w:tc>
        <w:tc>
          <w:tcPr>
            <w:tcW w:w="749" w:type="pct"/>
            <w:tcBorders>
              <w:top w:val="single" w:sz="4" w:space="0" w:color="17365D"/>
              <w:bottom w:val="single" w:sz="4" w:space="0" w:color="17365D"/>
            </w:tcBorders>
            <w:shd w:val="clear" w:color="auto" w:fill="auto"/>
            <w:vAlign w:val="center"/>
          </w:tcPr>
          <w:p w14:paraId="1789CAD2" w14:textId="4C157EF8" w:rsidR="00886245" w:rsidRPr="00575F9E" w:rsidRDefault="00886245" w:rsidP="00575F9E">
            <w:pPr>
              <w:pStyle w:val="Tabskaiti"/>
              <w:rPr>
                <w:highlight w:val="yellow"/>
              </w:rPr>
            </w:pPr>
            <w:r w:rsidRPr="00575F9E">
              <w:t>1 314 191</w:t>
            </w:r>
          </w:p>
        </w:tc>
        <w:tc>
          <w:tcPr>
            <w:tcW w:w="785" w:type="pct"/>
            <w:gridSpan w:val="2"/>
            <w:tcBorders>
              <w:top w:val="single" w:sz="4" w:space="0" w:color="17365D"/>
              <w:bottom w:val="single" w:sz="4" w:space="0" w:color="17365D"/>
            </w:tcBorders>
            <w:shd w:val="clear" w:color="auto" w:fill="auto"/>
            <w:vAlign w:val="center"/>
          </w:tcPr>
          <w:p w14:paraId="1C36A5D2" w14:textId="06B09C1F" w:rsidR="00886245" w:rsidRPr="00575F9E" w:rsidRDefault="00886245" w:rsidP="00575F9E">
            <w:pPr>
              <w:pStyle w:val="Tabskaiti"/>
              <w:rPr>
                <w:highlight w:val="yellow"/>
              </w:rPr>
            </w:pPr>
            <w:r w:rsidRPr="00575F9E">
              <w:t>447 544</w:t>
            </w:r>
          </w:p>
        </w:tc>
        <w:tc>
          <w:tcPr>
            <w:tcW w:w="711" w:type="pct"/>
            <w:gridSpan w:val="2"/>
            <w:tcBorders>
              <w:top w:val="single" w:sz="4" w:space="0" w:color="17365D"/>
              <w:bottom w:val="single" w:sz="4" w:space="0" w:color="17365D"/>
            </w:tcBorders>
            <w:shd w:val="clear" w:color="auto" w:fill="auto"/>
            <w:noWrap/>
            <w:vAlign w:val="center"/>
          </w:tcPr>
          <w:p w14:paraId="7784205C" w14:textId="08B636DB" w:rsidR="00886245" w:rsidRPr="00575F9E" w:rsidRDefault="00886245" w:rsidP="00575F9E">
            <w:pPr>
              <w:pStyle w:val="Tabskaiti"/>
              <w:rPr>
                <w:highlight w:val="yellow"/>
              </w:rPr>
            </w:pPr>
            <w:r w:rsidRPr="00575F9E">
              <w:t>866 647</w:t>
            </w:r>
          </w:p>
        </w:tc>
        <w:tc>
          <w:tcPr>
            <w:tcW w:w="674" w:type="pct"/>
            <w:gridSpan w:val="2"/>
            <w:tcBorders>
              <w:top w:val="single" w:sz="4" w:space="0" w:color="17365D"/>
              <w:bottom w:val="single" w:sz="4" w:space="0" w:color="17365D"/>
            </w:tcBorders>
            <w:shd w:val="clear" w:color="auto" w:fill="auto"/>
            <w:noWrap/>
            <w:vAlign w:val="center"/>
          </w:tcPr>
          <w:p w14:paraId="22DA56AB" w14:textId="65380B70" w:rsidR="00886245" w:rsidRPr="00575F9E" w:rsidRDefault="00886245" w:rsidP="00575F9E">
            <w:pPr>
              <w:pStyle w:val="Tabskaiti"/>
              <w:rPr>
                <w:highlight w:val="yellow"/>
              </w:rPr>
            </w:pPr>
            <w:r w:rsidRPr="00575F9E">
              <w:t>193.65</w:t>
            </w:r>
          </w:p>
        </w:tc>
      </w:tr>
      <w:tr w:rsidR="000C1009" w:rsidRPr="00E72168" w14:paraId="7A43BA05" w14:textId="77777777" w:rsidTr="001F7CCC">
        <w:trPr>
          <w:gridAfter w:val="1"/>
          <w:wAfter w:w="3" w:type="pct"/>
          <w:trHeight w:val="202"/>
        </w:trPr>
        <w:tc>
          <w:tcPr>
            <w:tcW w:w="1572" w:type="pct"/>
            <w:tcBorders>
              <w:top w:val="single" w:sz="4" w:space="0" w:color="17365D"/>
            </w:tcBorders>
            <w:shd w:val="clear" w:color="auto" w:fill="B9CDE5"/>
            <w:vAlign w:val="center"/>
          </w:tcPr>
          <w:p w14:paraId="5D06287D" w14:textId="77777777" w:rsidR="00881F63" w:rsidRPr="00E72168" w:rsidRDefault="00881F63" w:rsidP="00B52074">
            <w:pPr>
              <w:spacing w:after="0"/>
              <w:rPr>
                <w:rFonts w:eastAsia="Times New Roman" w:cs="Times New Roman"/>
                <w:color w:val="17365D"/>
                <w:sz w:val="18"/>
                <w:szCs w:val="18"/>
                <w:lang w:eastAsia="lv-LV"/>
              </w:rPr>
            </w:pPr>
          </w:p>
        </w:tc>
        <w:tc>
          <w:tcPr>
            <w:tcW w:w="509" w:type="pct"/>
            <w:tcBorders>
              <w:top w:val="single" w:sz="4" w:space="0" w:color="17365D"/>
            </w:tcBorders>
            <w:shd w:val="clear" w:color="auto" w:fill="B9CDE5"/>
            <w:noWrap/>
            <w:vAlign w:val="center"/>
          </w:tcPr>
          <w:p w14:paraId="504C30A8" w14:textId="77777777" w:rsidR="00881F63" w:rsidRPr="00E72168" w:rsidRDefault="00881F63" w:rsidP="00B52074">
            <w:pPr>
              <w:spacing w:after="0"/>
              <w:jc w:val="center"/>
              <w:rPr>
                <w:rFonts w:eastAsia="Times New Roman" w:cs="Times New Roman"/>
                <w:color w:val="17365D"/>
                <w:sz w:val="18"/>
                <w:szCs w:val="18"/>
                <w:lang w:eastAsia="lv-LV"/>
              </w:rPr>
            </w:pPr>
          </w:p>
        </w:tc>
        <w:tc>
          <w:tcPr>
            <w:tcW w:w="749" w:type="pct"/>
            <w:tcBorders>
              <w:top w:val="single" w:sz="4" w:space="0" w:color="17365D"/>
            </w:tcBorders>
            <w:shd w:val="clear" w:color="auto" w:fill="B9CDE5"/>
            <w:noWrap/>
            <w:vAlign w:val="center"/>
          </w:tcPr>
          <w:p w14:paraId="15F3706E" w14:textId="77777777" w:rsidR="00881F63" w:rsidRPr="00E72168" w:rsidRDefault="00881F63" w:rsidP="00B52074">
            <w:pPr>
              <w:spacing w:after="0"/>
              <w:jc w:val="right"/>
              <w:rPr>
                <w:rFonts w:eastAsia="Times New Roman" w:cs="Times New Roman"/>
                <w:color w:val="17365D"/>
                <w:sz w:val="18"/>
                <w:szCs w:val="18"/>
                <w:lang w:eastAsia="lv-LV"/>
              </w:rPr>
            </w:pPr>
          </w:p>
        </w:tc>
        <w:tc>
          <w:tcPr>
            <w:tcW w:w="773" w:type="pct"/>
            <w:tcBorders>
              <w:top w:val="single" w:sz="4" w:space="0" w:color="17365D"/>
            </w:tcBorders>
            <w:shd w:val="clear" w:color="auto" w:fill="B9CDE5"/>
            <w:noWrap/>
            <w:vAlign w:val="center"/>
          </w:tcPr>
          <w:p w14:paraId="372CE5CE" w14:textId="77777777" w:rsidR="00881F63" w:rsidRPr="00E72168" w:rsidRDefault="00881F63" w:rsidP="00B52074">
            <w:pPr>
              <w:spacing w:after="0"/>
              <w:jc w:val="right"/>
              <w:rPr>
                <w:rFonts w:eastAsia="Times New Roman" w:cs="Times New Roman"/>
                <w:color w:val="17365D"/>
                <w:sz w:val="18"/>
                <w:szCs w:val="18"/>
                <w:lang w:eastAsia="lv-LV"/>
              </w:rPr>
            </w:pPr>
          </w:p>
        </w:tc>
        <w:tc>
          <w:tcPr>
            <w:tcW w:w="683" w:type="pct"/>
            <w:gridSpan w:val="2"/>
            <w:tcBorders>
              <w:top w:val="single" w:sz="4" w:space="0" w:color="17365D"/>
            </w:tcBorders>
            <w:shd w:val="clear" w:color="auto" w:fill="B9CDE5"/>
            <w:noWrap/>
            <w:vAlign w:val="center"/>
          </w:tcPr>
          <w:p w14:paraId="5078F25E" w14:textId="77777777" w:rsidR="00881F63" w:rsidRPr="00E72168" w:rsidRDefault="00881F63" w:rsidP="00B52074">
            <w:pPr>
              <w:spacing w:after="0"/>
              <w:jc w:val="right"/>
              <w:rPr>
                <w:rFonts w:eastAsia="Times New Roman" w:cs="Times New Roman"/>
                <w:color w:val="17365D"/>
                <w:sz w:val="18"/>
                <w:szCs w:val="18"/>
                <w:lang w:eastAsia="lv-LV"/>
              </w:rPr>
            </w:pPr>
          </w:p>
        </w:tc>
        <w:tc>
          <w:tcPr>
            <w:tcW w:w="710" w:type="pct"/>
            <w:gridSpan w:val="2"/>
            <w:tcBorders>
              <w:top w:val="single" w:sz="4" w:space="0" w:color="17365D"/>
            </w:tcBorders>
            <w:shd w:val="clear" w:color="auto" w:fill="B9CDE5"/>
            <w:noWrap/>
            <w:vAlign w:val="center"/>
          </w:tcPr>
          <w:p w14:paraId="4AF6D484" w14:textId="77777777" w:rsidR="00881F63" w:rsidRPr="00E72168" w:rsidRDefault="00881F63" w:rsidP="00B52074">
            <w:pPr>
              <w:spacing w:after="0"/>
              <w:jc w:val="right"/>
              <w:rPr>
                <w:rFonts w:eastAsia="Times New Roman" w:cs="Times New Roman"/>
                <w:color w:val="17365D"/>
                <w:sz w:val="18"/>
                <w:szCs w:val="18"/>
                <w:lang w:eastAsia="lv-LV"/>
              </w:rPr>
            </w:pPr>
          </w:p>
        </w:tc>
      </w:tr>
    </w:tbl>
    <w:p w14:paraId="10978A72" w14:textId="766150F8" w:rsidR="00256B28" w:rsidRPr="00E72168" w:rsidRDefault="00256B28" w:rsidP="00CC6E09">
      <w:pPr>
        <w:spacing w:after="120" w:line="240" w:lineRule="auto"/>
        <w:ind w:firstLine="284"/>
        <w:jc w:val="both"/>
        <w:rPr>
          <w:rFonts w:eastAsia="Times New Roman" w:cs="Times New Roman"/>
          <w:color w:val="17365D"/>
          <w:lang w:eastAsia="lv-LV"/>
        </w:rPr>
      </w:pPr>
    </w:p>
    <w:p w14:paraId="0E6C2685" w14:textId="1526B03B" w:rsidR="004C704C" w:rsidRPr="00842F94" w:rsidRDefault="004C704C" w:rsidP="00F906D9">
      <w:pPr>
        <w:pStyle w:val="Pamatteksts1"/>
        <w:rPr>
          <w:lang w:eastAsia="lv-LV"/>
        </w:rPr>
      </w:pPr>
      <w:r w:rsidRPr="00842F94">
        <w:rPr>
          <w:lang w:eastAsia="lv-LV"/>
        </w:rPr>
        <w:t>Nemateriālo ieguldījumu postenī būtiskas izmaiņas pārskata gadā nav bijušas.</w:t>
      </w:r>
    </w:p>
    <w:p w14:paraId="288ED3E1" w14:textId="65719966" w:rsidR="00EE7A9E" w:rsidRPr="00842F94" w:rsidRDefault="00EE7A9E" w:rsidP="00F906D9">
      <w:pPr>
        <w:pStyle w:val="Pamatteksts1"/>
        <w:rPr>
          <w:lang w:eastAsia="lv-LV"/>
        </w:rPr>
      </w:pPr>
      <w:r w:rsidRPr="00842F94">
        <w:rPr>
          <w:lang w:eastAsia="lv-LV"/>
        </w:rPr>
        <w:t>Ministrijām pašu izveidotu nemateriālo ieguldījumu atlikusī v</w:t>
      </w:r>
      <w:r w:rsidR="00827CF2" w:rsidRPr="00842F94">
        <w:rPr>
          <w:lang w:eastAsia="lv-LV"/>
        </w:rPr>
        <w:t xml:space="preserve">ērtība pārskata gadā ir </w:t>
      </w:r>
      <w:r w:rsidR="004C704C" w:rsidRPr="00842F94">
        <w:rPr>
          <w:lang w:eastAsia="lv-LV"/>
        </w:rPr>
        <w:t>3</w:t>
      </w:r>
      <w:r w:rsidR="00013480" w:rsidRPr="00842F94">
        <w:rPr>
          <w:lang w:eastAsia="lv-LV"/>
        </w:rPr>
        <w:t>,8</w:t>
      </w:r>
      <w:r w:rsidR="001F7CCC">
        <w:rPr>
          <w:lang w:eastAsia="lv-LV"/>
        </w:rPr>
        <w:t> </w:t>
      </w:r>
      <w:r w:rsidR="00013480" w:rsidRPr="00842F94">
        <w:rPr>
          <w:lang w:eastAsia="lv-LV"/>
        </w:rPr>
        <w:t>milj.</w:t>
      </w:r>
      <w:r w:rsidR="001F7CCC">
        <w:rPr>
          <w:lang w:eastAsia="lv-LV"/>
        </w:rPr>
        <w:t> </w:t>
      </w:r>
      <w:proofErr w:type="spellStart"/>
      <w:r w:rsidRPr="00842F94">
        <w:rPr>
          <w:i/>
          <w:lang w:eastAsia="lv-LV"/>
        </w:rPr>
        <w:t>euro</w:t>
      </w:r>
      <w:proofErr w:type="spellEnd"/>
      <w:r w:rsidRPr="00842F94">
        <w:rPr>
          <w:lang w:eastAsia="lv-LV"/>
        </w:rPr>
        <w:t>, pašvaldībām –</w:t>
      </w:r>
      <w:r w:rsidR="00F3483F" w:rsidRPr="00842F94">
        <w:rPr>
          <w:lang w:eastAsia="lv-LV"/>
        </w:rPr>
        <w:t xml:space="preserve"> </w:t>
      </w:r>
      <w:r w:rsidR="007E0CA4" w:rsidRPr="00842F94">
        <w:rPr>
          <w:lang w:eastAsia="lv-LV"/>
        </w:rPr>
        <w:t xml:space="preserve">0,2 milj. </w:t>
      </w:r>
      <w:r w:rsidRPr="00842F94">
        <w:rPr>
          <w:i/>
          <w:lang w:eastAsia="lv-LV"/>
        </w:rPr>
        <w:t xml:space="preserve">euro, </w:t>
      </w:r>
      <w:r w:rsidRPr="00842F94">
        <w:rPr>
          <w:lang w:eastAsia="lv-LV"/>
        </w:rPr>
        <w:t>kas neveido būtisku īpatsvaru no nemateriālo ieguldījumu atlikušās vērtības.</w:t>
      </w:r>
    </w:p>
    <w:p w14:paraId="049CCCEF" w14:textId="3FD81BAE" w:rsidR="00C700AD" w:rsidRPr="00842F94" w:rsidRDefault="00C700AD" w:rsidP="00F906D9">
      <w:pPr>
        <w:pStyle w:val="Pamatteksts1"/>
        <w:rPr>
          <w:lang w:eastAsia="lv-LV"/>
        </w:rPr>
      </w:pPr>
      <w:r w:rsidRPr="00842F94">
        <w:rPr>
          <w:lang w:eastAsia="lv-LV"/>
        </w:rPr>
        <w:t xml:space="preserve">Nemateriālie ieguldījumi ar nenoteiktu lietderīgās lietošanas laiku pārskata perioda beigās ir </w:t>
      </w:r>
      <w:r w:rsidR="005B4ED3" w:rsidRPr="00842F94">
        <w:rPr>
          <w:lang w:eastAsia="lv-LV"/>
        </w:rPr>
        <w:t>4,3 milj.</w:t>
      </w:r>
      <w:r w:rsidR="005B4ED3" w:rsidRPr="00842F94">
        <w:rPr>
          <w:i/>
          <w:lang w:eastAsia="lv-LV"/>
        </w:rPr>
        <w:t xml:space="preserve"> </w:t>
      </w:r>
      <w:r w:rsidRPr="00842F94">
        <w:rPr>
          <w:i/>
          <w:lang w:eastAsia="lv-LV"/>
        </w:rPr>
        <w:t>euro</w:t>
      </w:r>
      <w:r w:rsidR="00542EDD" w:rsidRPr="00842F94">
        <w:rPr>
          <w:lang w:eastAsia="lv-LV"/>
        </w:rPr>
        <w:t xml:space="preserve"> vērtībā</w:t>
      </w:r>
      <w:r w:rsidR="00FE104D" w:rsidRPr="00842F94">
        <w:rPr>
          <w:lang w:eastAsia="lv-LV"/>
        </w:rPr>
        <w:t xml:space="preserve"> jeb 1,</w:t>
      </w:r>
      <w:r w:rsidR="0079412E" w:rsidRPr="00842F94">
        <w:rPr>
          <w:lang w:eastAsia="lv-LV"/>
        </w:rPr>
        <w:t>59</w:t>
      </w:r>
      <w:r w:rsidR="00FE104D" w:rsidRPr="00842F94">
        <w:rPr>
          <w:lang w:eastAsia="lv-LV"/>
        </w:rPr>
        <w:t xml:space="preserve"> </w:t>
      </w:r>
      <w:r w:rsidR="00542EDD" w:rsidRPr="00842F94">
        <w:rPr>
          <w:lang w:eastAsia="lv-LV"/>
        </w:rPr>
        <w:t xml:space="preserve">% no posteņa vērtības. </w:t>
      </w:r>
    </w:p>
    <w:p w14:paraId="0A63367C" w14:textId="32B6149F" w:rsidR="00EE7A9E" w:rsidRPr="00842F94" w:rsidRDefault="00F3483F" w:rsidP="00F906D9">
      <w:pPr>
        <w:pStyle w:val="Pamatteksts1"/>
      </w:pPr>
      <w:r w:rsidRPr="00842F94">
        <w:rPr>
          <w:lang w:eastAsia="lv-LV"/>
        </w:rPr>
        <w:t>Nemateriāl</w:t>
      </w:r>
      <w:r w:rsidR="00536813">
        <w:rPr>
          <w:lang w:eastAsia="lv-LV"/>
        </w:rPr>
        <w:t>aj</w:t>
      </w:r>
      <w:r w:rsidRPr="00842F94">
        <w:rPr>
          <w:lang w:eastAsia="lv-LV"/>
        </w:rPr>
        <w:t xml:space="preserve">iem ieguldījumiem </w:t>
      </w:r>
      <w:r w:rsidR="00760019" w:rsidRPr="00842F94">
        <w:rPr>
          <w:lang w:eastAsia="lv-LV"/>
        </w:rPr>
        <w:t xml:space="preserve">un avansa maksājumiem </w:t>
      </w:r>
      <w:r w:rsidRPr="00842F94">
        <w:rPr>
          <w:lang w:eastAsia="lv-LV"/>
        </w:rPr>
        <w:t xml:space="preserve">vērtības samazinājums pārskata gadā </w:t>
      </w:r>
      <w:r w:rsidR="00F73CE6" w:rsidRPr="00842F94">
        <w:rPr>
          <w:lang w:eastAsia="lv-LV"/>
        </w:rPr>
        <w:t>nav</w:t>
      </w:r>
      <w:r w:rsidRPr="00842F94">
        <w:rPr>
          <w:lang w:eastAsia="lv-LV"/>
        </w:rPr>
        <w:t xml:space="preserve"> </w:t>
      </w:r>
      <w:r w:rsidR="00C76AF9" w:rsidRPr="00842F94">
        <w:rPr>
          <w:lang w:eastAsia="lv-LV"/>
        </w:rPr>
        <w:t>atzīts</w:t>
      </w:r>
      <w:r w:rsidR="00EE7A9E" w:rsidRPr="00842F94">
        <w:rPr>
          <w:lang w:eastAsia="lv-LV"/>
        </w:rPr>
        <w:t>.</w:t>
      </w:r>
      <w:r w:rsidR="00F73CE6" w:rsidRPr="00842F94">
        <w:t xml:space="preserve"> </w:t>
      </w:r>
    </w:p>
    <w:p w14:paraId="11BAF048" w14:textId="19DA8190" w:rsidR="002A1642" w:rsidRPr="00E72168" w:rsidRDefault="00F63B31" w:rsidP="005A3758">
      <w:pPr>
        <w:pStyle w:val="Heading4"/>
        <w:rPr>
          <w:rFonts w:cs="Times New Roman"/>
          <w:lang w:eastAsia="lv-LV"/>
        </w:rPr>
      </w:pPr>
      <w:r w:rsidRPr="00E72168">
        <w:rPr>
          <w:rFonts w:cs="Times New Roman"/>
          <w:lang w:eastAsia="lv-LV"/>
        </w:rPr>
        <w:t xml:space="preserve">Piezīme Nr. </w:t>
      </w:r>
      <w:r w:rsidR="003E4135" w:rsidRPr="00E72168">
        <w:rPr>
          <w:rFonts w:cs="Times New Roman"/>
          <w:lang w:eastAsia="lv-LV"/>
        </w:rPr>
        <w:t>KB.</w:t>
      </w:r>
      <w:r w:rsidR="00EE7A9E" w:rsidRPr="00E72168">
        <w:rPr>
          <w:rFonts w:cs="Times New Roman"/>
          <w:lang w:eastAsia="lv-LV"/>
        </w:rPr>
        <w:t>1.</w:t>
      </w:r>
      <w:r w:rsidR="003E4135" w:rsidRPr="00E72168">
        <w:rPr>
          <w:rFonts w:cs="Times New Roman"/>
          <w:lang w:eastAsia="lv-LV"/>
        </w:rPr>
        <w:t xml:space="preserve">2. </w:t>
      </w:r>
      <w:r w:rsidR="002A1642" w:rsidRPr="00E72168">
        <w:rPr>
          <w:rFonts w:cs="Times New Roman"/>
          <w:lang w:eastAsia="lv-LV"/>
        </w:rPr>
        <w:t>Pamatlīdzekļi</w:t>
      </w:r>
    </w:p>
    <w:p w14:paraId="0CFEA7BF" w14:textId="704162F1" w:rsidR="00ED1453" w:rsidRPr="00E72168" w:rsidRDefault="00CA5D9A" w:rsidP="006F02B7">
      <w:pPr>
        <w:pStyle w:val="Tabulasnosaukums1"/>
        <w:spacing w:before="120"/>
        <w:rPr>
          <w:rFonts w:cs="Times New Roman"/>
          <w:color w:val="17365D"/>
        </w:rPr>
      </w:pPr>
      <w:r>
        <w:rPr>
          <w:rFonts w:cs="Times New Roman"/>
          <w:i/>
          <w:color w:val="17365D"/>
        </w:rPr>
        <w:t>1.</w:t>
      </w:r>
      <w:r w:rsidR="00031CD6" w:rsidRPr="00E72168">
        <w:rPr>
          <w:rFonts w:cs="Times New Roman"/>
          <w:i/>
          <w:color w:val="17365D"/>
        </w:rPr>
        <w:t>3</w:t>
      </w:r>
      <w:r w:rsidR="002A1642" w:rsidRPr="00E72168">
        <w:rPr>
          <w:rFonts w:cs="Times New Roman"/>
          <w:i/>
          <w:color w:val="17365D"/>
        </w:rPr>
        <w:t>. tabula</w:t>
      </w:r>
      <w:r w:rsidR="006C5598" w:rsidRPr="00E72168">
        <w:rPr>
          <w:rFonts w:cs="Times New Roman"/>
          <w:i/>
          <w:color w:val="17365D"/>
        </w:rPr>
        <w:t>.</w:t>
      </w:r>
      <w:r w:rsidR="006C5598" w:rsidRPr="00E72168">
        <w:rPr>
          <w:rFonts w:cs="Times New Roman"/>
          <w:i/>
          <w:color w:val="17365D"/>
          <w:lang w:eastAsia="lv-LV"/>
        </w:rPr>
        <w:t xml:space="preserve"> Pamatlīdzekļi </w:t>
      </w:r>
      <w:r w:rsidR="006C5598" w:rsidRPr="00E72168">
        <w:rPr>
          <w:rFonts w:eastAsia="Times New Roman" w:cs="Times New Roman"/>
          <w:i/>
          <w:color w:val="17365D"/>
          <w:szCs w:val="20"/>
          <w:lang w:eastAsia="lv-LV"/>
        </w:rPr>
        <w:t>(</w:t>
      </w:r>
      <w:r w:rsidR="000B4141" w:rsidRPr="00E72168">
        <w:rPr>
          <w:rFonts w:eastAsia="Times New Roman" w:cs="Times New Roman"/>
          <w:i/>
          <w:color w:val="17365D"/>
          <w:szCs w:val="20"/>
          <w:lang w:eastAsia="lv-LV"/>
        </w:rPr>
        <w:t>euro</w:t>
      </w:r>
      <w:r w:rsidR="006C5598" w:rsidRPr="00E72168">
        <w:rPr>
          <w:rFonts w:eastAsia="Times New Roman" w:cs="Times New Roman"/>
          <w:i/>
          <w:color w:val="17365D"/>
          <w:szCs w:val="20"/>
          <w:lang w:eastAsia="lv-LV"/>
        </w:rPr>
        <w:t>)</w:t>
      </w:r>
    </w:p>
    <w:tbl>
      <w:tblPr>
        <w:tblW w:w="4986" w:type="pct"/>
        <w:tblBorders>
          <w:insideH w:val="single" w:sz="4" w:space="0" w:color="012169"/>
        </w:tblBorders>
        <w:tblLayout w:type="fixed"/>
        <w:tblLook w:val="04A0" w:firstRow="1" w:lastRow="0" w:firstColumn="1" w:lastColumn="0" w:noHBand="0" w:noVBand="1"/>
      </w:tblPr>
      <w:tblGrid>
        <w:gridCol w:w="2837"/>
        <w:gridCol w:w="974"/>
        <w:gridCol w:w="1487"/>
        <w:gridCol w:w="1466"/>
        <w:gridCol w:w="22"/>
        <w:gridCol w:w="1270"/>
        <w:gridCol w:w="1272"/>
      </w:tblGrid>
      <w:tr w:rsidR="000C1009" w:rsidRPr="00E72168" w14:paraId="418A7F72" w14:textId="77777777" w:rsidTr="009A4177">
        <w:trPr>
          <w:trHeight w:val="684"/>
          <w:tblHeader/>
        </w:trPr>
        <w:tc>
          <w:tcPr>
            <w:tcW w:w="1520" w:type="pct"/>
            <w:tcBorders>
              <w:top w:val="nil"/>
              <w:bottom w:val="single" w:sz="4" w:space="0" w:color="17365D"/>
            </w:tcBorders>
            <w:shd w:val="clear" w:color="auto" w:fill="B9CDE5"/>
            <w:vAlign w:val="center"/>
            <w:hideMark/>
          </w:tcPr>
          <w:p w14:paraId="5B3108F2" w14:textId="3670F528" w:rsidR="00A867A9" w:rsidRPr="00E72168" w:rsidRDefault="007611AA" w:rsidP="002F5AFE">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22" w:type="pct"/>
            <w:tcBorders>
              <w:top w:val="nil"/>
              <w:bottom w:val="single" w:sz="4" w:space="0" w:color="17365D"/>
            </w:tcBorders>
            <w:shd w:val="clear" w:color="auto" w:fill="B9CDE5"/>
            <w:vAlign w:val="center"/>
            <w:hideMark/>
          </w:tcPr>
          <w:p w14:paraId="03310FA6"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97" w:type="pct"/>
            <w:tcBorders>
              <w:top w:val="nil"/>
              <w:bottom w:val="single" w:sz="4" w:space="0" w:color="17365D"/>
            </w:tcBorders>
            <w:shd w:val="clear" w:color="auto" w:fill="B9CDE5"/>
            <w:vAlign w:val="center"/>
            <w:hideMark/>
          </w:tcPr>
          <w:p w14:paraId="0C31FDB8"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798" w:type="pct"/>
            <w:gridSpan w:val="2"/>
            <w:tcBorders>
              <w:top w:val="nil"/>
              <w:bottom w:val="single" w:sz="4" w:space="0" w:color="17365D"/>
            </w:tcBorders>
            <w:shd w:val="clear" w:color="auto" w:fill="B9CDE5"/>
            <w:vAlign w:val="center"/>
            <w:hideMark/>
          </w:tcPr>
          <w:p w14:paraId="74DF27FA"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681" w:type="pct"/>
            <w:tcBorders>
              <w:top w:val="nil"/>
              <w:bottom w:val="single" w:sz="4" w:space="0" w:color="17365D"/>
            </w:tcBorders>
            <w:shd w:val="clear" w:color="auto" w:fill="B9CDE5"/>
            <w:vAlign w:val="center"/>
            <w:hideMark/>
          </w:tcPr>
          <w:p w14:paraId="300D9221" w14:textId="50E237A6"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t>(+,</w:t>
            </w:r>
            <w:r w:rsidR="002B1B27"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82" w:type="pct"/>
            <w:tcBorders>
              <w:top w:val="nil"/>
              <w:bottom w:val="single" w:sz="4" w:space="0" w:color="17365D"/>
            </w:tcBorders>
            <w:shd w:val="clear" w:color="auto" w:fill="B9CDE5"/>
            <w:vAlign w:val="center"/>
            <w:hideMark/>
          </w:tcPr>
          <w:p w14:paraId="13ABD156"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167822C2" w14:textId="77777777" w:rsidTr="001F7CCC">
        <w:trPr>
          <w:trHeight w:val="264"/>
          <w:tblHeader/>
        </w:trPr>
        <w:tc>
          <w:tcPr>
            <w:tcW w:w="1520" w:type="pct"/>
            <w:tcBorders>
              <w:top w:val="single" w:sz="4" w:space="0" w:color="17365D"/>
              <w:bottom w:val="single" w:sz="4" w:space="0" w:color="17365D"/>
            </w:tcBorders>
            <w:shd w:val="clear" w:color="auto" w:fill="auto"/>
            <w:vAlign w:val="center"/>
            <w:hideMark/>
          </w:tcPr>
          <w:p w14:paraId="794822E2"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522" w:type="pct"/>
            <w:tcBorders>
              <w:top w:val="single" w:sz="4" w:space="0" w:color="17365D"/>
              <w:bottom w:val="single" w:sz="4" w:space="0" w:color="17365D"/>
            </w:tcBorders>
            <w:shd w:val="clear" w:color="auto" w:fill="auto"/>
            <w:vAlign w:val="center"/>
            <w:hideMark/>
          </w:tcPr>
          <w:p w14:paraId="5F6F3C93"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97" w:type="pct"/>
            <w:tcBorders>
              <w:top w:val="single" w:sz="4" w:space="0" w:color="17365D"/>
              <w:bottom w:val="single" w:sz="4" w:space="0" w:color="17365D"/>
            </w:tcBorders>
            <w:shd w:val="clear" w:color="auto" w:fill="auto"/>
            <w:vAlign w:val="center"/>
            <w:hideMark/>
          </w:tcPr>
          <w:p w14:paraId="4973B2A3" w14:textId="77777777" w:rsidR="00A867A9" w:rsidRPr="00E72168" w:rsidRDefault="00A867A9" w:rsidP="002354F0">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798" w:type="pct"/>
            <w:gridSpan w:val="2"/>
            <w:tcBorders>
              <w:top w:val="single" w:sz="4" w:space="0" w:color="17365D"/>
              <w:bottom w:val="single" w:sz="4" w:space="0" w:color="17365D"/>
            </w:tcBorders>
            <w:shd w:val="clear" w:color="auto" w:fill="auto"/>
            <w:vAlign w:val="center"/>
            <w:hideMark/>
          </w:tcPr>
          <w:p w14:paraId="7698EBE1" w14:textId="77777777" w:rsidR="00A867A9" w:rsidRPr="00E72168" w:rsidRDefault="00A867A9" w:rsidP="002354F0">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681" w:type="pct"/>
            <w:tcBorders>
              <w:top w:val="single" w:sz="4" w:space="0" w:color="17365D"/>
              <w:bottom w:val="single" w:sz="4" w:space="0" w:color="17365D"/>
            </w:tcBorders>
            <w:shd w:val="clear" w:color="auto" w:fill="auto"/>
            <w:vAlign w:val="center"/>
            <w:hideMark/>
          </w:tcPr>
          <w:p w14:paraId="639E20AE" w14:textId="77777777" w:rsidR="00A867A9" w:rsidRPr="00E72168" w:rsidRDefault="00A867A9" w:rsidP="002354F0">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82" w:type="pct"/>
            <w:tcBorders>
              <w:top w:val="single" w:sz="4" w:space="0" w:color="17365D"/>
              <w:bottom w:val="single" w:sz="4" w:space="0" w:color="17365D"/>
            </w:tcBorders>
            <w:shd w:val="clear" w:color="auto" w:fill="auto"/>
            <w:vAlign w:val="center"/>
            <w:hideMark/>
          </w:tcPr>
          <w:p w14:paraId="44589C7C" w14:textId="77777777" w:rsidR="00A867A9" w:rsidRPr="00E72168" w:rsidRDefault="00A867A9" w:rsidP="002354F0">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583DB2" w:rsidRPr="00E72168" w14:paraId="58045C1A" w14:textId="77777777" w:rsidTr="001F7CCC">
        <w:trPr>
          <w:trHeight w:val="264"/>
        </w:trPr>
        <w:tc>
          <w:tcPr>
            <w:tcW w:w="1520" w:type="pct"/>
            <w:tcBorders>
              <w:top w:val="single" w:sz="4" w:space="0" w:color="17365D"/>
              <w:bottom w:val="single" w:sz="4" w:space="0" w:color="17365D"/>
            </w:tcBorders>
            <w:shd w:val="clear" w:color="auto" w:fill="auto"/>
            <w:vAlign w:val="center"/>
            <w:hideMark/>
          </w:tcPr>
          <w:p w14:paraId="19DA1A8F" w14:textId="35D3036D" w:rsidR="00583DB2" w:rsidRPr="00E72168" w:rsidRDefault="00583DB2" w:rsidP="00583DB2">
            <w:pPr>
              <w:spacing w:after="0" w:line="240" w:lineRule="auto"/>
              <w:rPr>
                <w:rFonts w:cs="Times New Roman"/>
                <w:b/>
                <w:color w:val="17365D"/>
                <w:sz w:val="18"/>
                <w:szCs w:val="18"/>
              </w:rPr>
            </w:pPr>
            <w:r w:rsidRPr="00E72168">
              <w:rPr>
                <w:rFonts w:cs="Times New Roman"/>
                <w:b/>
                <w:color w:val="17365D"/>
                <w:sz w:val="18"/>
                <w:szCs w:val="18"/>
              </w:rPr>
              <w:t>Pamatlīdzekļi</w:t>
            </w:r>
          </w:p>
        </w:tc>
        <w:tc>
          <w:tcPr>
            <w:tcW w:w="522" w:type="pct"/>
            <w:tcBorders>
              <w:top w:val="single" w:sz="4" w:space="0" w:color="17365D"/>
              <w:bottom w:val="single" w:sz="4" w:space="0" w:color="17365D"/>
            </w:tcBorders>
            <w:shd w:val="clear" w:color="auto" w:fill="auto"/>
            <w:vAlign w:val="center"/>
            <w:hideMark/>
          </w:tcPr>
          <w:p w14:paraId="5F39AE9F" w14:textId="55138D8D" w:rsidR="00583DB2" w:rsidRPr="00E72168" w:rsidRDefault="00583DB2" w:rsidP="00583DB2">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KB.1.2.</w:t>
            </w:r>
          </w:p>
        </w:tc>
        <w:tc>
          <w:tcPr>
            <w:tcW w:w="797" w:type="pct"/>
            <w:tcBorders>
              <w:top w:val="single" w:sz="4" w:space="0" w:color="17365D"/>
              <w:bottom w:val="single" w:sz="4" w:space="0" w:color="17365D"/>
            </w:tcBorders>
            <w:shd w:val="clear" w:color="auto" w:fill="auto"/>
            <w:vAlign w:val="center"/>
            <w:hideMark/>
          </w:tcPr>
          <w:p w14:paraId="42ECFF53" w14:textId="4949199E" w:rsidR="00583DB2" w:rsidRPr="00C2623A" w:rsidRDefault="00583DB2" w:rsidP="00267A95">
            <w:pPr>
              <w:pStyle w:val="Tabskaiti"/>
              <w:rPr>
                <w:b/>
                <w:bCs w:val="0"/>
                <w:highlight w:val="yellow"/>
              </w:rPr>
            </w:pPr>
            <w:r w:rsidRPr="00C2623A">
              <w:rPr>
                <w:b/>
                <w:bCs w:val="0"/>
              </w:rPr>
              <w:t>16 052 454 643</w:t>
            </w:r>
          </w:p>
        </w:tc>
        <w:tc>
          <w:tcPr>
            <w:tcW w:w="798" w:type="pct"/>
            <w:gridSpan w:val="2"/>
            <w:tcBorders>
              <w:top w:val="single" w:sz="4" w:space="0" w:color="17365D"/>
              <w:bottom w:val="single" w:sz="4" w:space="0" w:color="17365D"/>
            </w:tcBorders>
            <w:shd w:val="clear" w:color="auto" w:fill="auto"/>
            <w:vAlign w:val="center"/>
            <w:hideMark/>
          </w:tcPr>
          <w:p w14:paraId="190BECC5" w14:textId="0B0B0FAC" w:rsidR="00583DB2" w:rsidRPr="00C2623A" w:rsidRDefault="00583DB2" w:rsidP="00267A95">
            <w:pPr>
              <w:pStyle w:val="Tabskaiti"/>
              <w:rPr>
                <w:b/>
                <w:bCs w:val="0"/>
                <w:highlight w:val="yellow"/>
              </w:rPr>
            </w:pPr>
            <w:r w:rsidRPr="00C2623A">
              <w:rPr>
                <w:b/>
                <w:bCs w:val="0"/>
              </w:rPr>
              <w:t>15 172 549 619</w:t>
            </w:r>
          </w:p>
        </w:tc>
        <w:tc>
          <w:tcPr>
            <w:tcW w:w="681" w:type="pct"/>
            <w:tcBorders>
              <w:top w:val="single" w:sz="4" w:space="0" w:color="17365D"/>
              <w:bottom w:val="single" w:sz="4" w:space="0" w:color="17365D"/>
            </w:tcBorders>
            <w:shd w:val="clear" w:color="auto" w:fill="auto"/>
            <w:noWrap/>
            <w:vAlign w:val="center"/>
            <w:hideMark/>
          </w:tcPr>
          <w:p w14:paraId="7986FE54" w14:textId="37A96B19" w:rsidR="00583DB2" w:rsidRPr="00C2623A" w:rsidRDefault="00583DB2" w:rsidP="00267A95">
            <w:pPr>
              <w:pStyle w:val="Tabskaiti"/>
              <w:rPr>
                <w:b/>
                <w:bCs w:val="0"/>
                <w:highlight w:val="yellow"/>
              </w:rPr>
            </w:pPr>
            <w:r w:rsidRPr="00C2623A">
              <w:rPr>
                <w:b/>
                <w:bCs w:val="0"/>
              </w:rPr>
              <w:t>879 905 024</w:t>
            </w:r>
          </w:p>
        </w:tc>
        <w:tc>
          <w:tcPr>
            <w:tcW w:w="682" w:type="pct"/>
            <w:tcBorders>
              <w:top w:val="single" w:sz="4" w:space="0" w:color="17365D"/>
              <w:bottom w:val="single" w:sz="4" w:space="0" w:color="17365D"/>
            </w:tcBorders>
            <w:shd w:val="clear" w:color="auto" w:fill="auto"/>
            <w:noWrap/>
            <w:vAlign w:val="center"/>
            <w:hideMark/>
          </w:tcPr>
          <w:p w14:paraId="4AD7E8A2" w14:textId="6BF6E44E" w:rsidR="00583DB2" w:rsidRPr="00C2623A" w:rsidRDefault="00583DB2" w:rsidP="00267A95">
            <w:pPr>
              <w:pStyle w:val="Tabskaiti"/>
              <w:rPr>
                <w:b/>
                <w:bCs w:val="0"/>
                <w:highlight w:val="yellow"/>
              </w:rPr>
            </w:pPr>
            <w:r w:rsidRPr="00C2623A">
              <w:rPr>
                <w:b/>
                <w:bCs w:val="0"/>
              </w:rPr>
              <w:t>5.80</w:t>
            </w:r>
          </w:p>
        </w:tc>
      </w:tr>
      <w:tr w:rsidR="00583DB2" w:rsidRPr="00E72168" w14:paraId="4C1B319B" w14:textId="77777777" w:rsidTr="001F7CCC">
        <w:trPr>
          <w:trHeight w:val="266"/>
        </w:trPr>
        <w:tc>
          <w:tcPr>
            <w:tcW w:w="1520" w:type="pct"/>
            <w:tcBorders>
              <w:top w:val="single" w:sz="4" w:space="0" w:color="17365D"/>
              <w:bottom w:val="single" w:sz="4" w:space="0" w:color="17365D"/>
            </w:tcBorders>
            <w:shd w:val="clear" w:color="auto" w:fill="auto"/>
            <w:vAlign w:val="center"/>
            <w:hideMark/>
          </w:tcPr>
          <w:p w14:paraId="3A4E35B3" w14:textId="04C43867"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t>Zeme un būves</w:t>
            </w:r>
          </w:p>
        </w:tc>
        <w:tc>
          <w:tcPr>
            <w:tcW w:w="522" w:type="pct"/>
            <w:tcBorders>
              <w:top w:val="single" w:sz="4" w:space="0" w:color="17365D"/>
              <w:bottom w:val="single" w:sz="4" w:space="0" w:color="17365D"/>
            </w:tcBorders>
            <w:shd w:val="clear" w:color="auto" w:fill="auto"/>
            <w:noWrap/>
            <w:vAlign w:val="center"/>
            <w:hideMark/>
          </w:tcPr>
          <w:p w14:paraId="656EEF37" w14:textId="0E56E5FB" w:rsidR="00583DB2" w:rsidRPr="00BF4C61" w:rsidRDefault="00583DB2" w:rsidP="00583DB2">
            <w:pPr>
              <w:spacing w:after="0" w:line="240" w:lineRule="auto"/>
              <w:jc w:val="right"/>
              <w:rPr>
                <w:rFonts w:cs="Times New Roman"/>
                <w:color w:val="17365D"/>
                <w:sz w:val="18"/>
                <w:szCs w:val="18"/>
              </w:rPr>
            </w:pPr>
          </w:p>
        </w:tc>
        <w:tc>
          <w:tcPr>
            <w:tcW w:w="797" w:type="pct"/>
            <w:tcBorders>
              <w:top w:val="single" w:sz="4" w:space="0" w:color="17365D"/>
              <w:bottom w:val="single" w:sz="4" w:space="0" w:color="17365D"/>
            </w:tcBorders>
            <w:shd w:val="clear" w:color="auto" w:fill="auto"/>
            <w:vAlign w:val="center"/>
            <w:hideMark/>
          </w:tcPr>
          <w:p w14:paraId="6BDBECFD" w14:textId="00A96E7E" w:rsidR="00583DB2" w:rsidRPr="00267A95" w:rsidRDefault="00583DB2" w:rsidP="00267A95">
            <w:pPr>
              <w:pStyle w:val="Tabskaiti"/>
              <w:rPr>
                <w:highlight w:val="yellow"/>
              </w:rPr>
            </w:pPr>
            <w:r w:rsidRPr="00267A95">
              <w:t>10 099 228 856</w:t>
            </w:r>
          </w:p>
        </w:tc>
        <w:tc>
          <w:tcPr>
            <w:tcW w:w="798" w:type="pct"/>
            <w:gridSpan w:val="2"/>
            <w:tcBorders>
              <w:top w:val="single" w:sz="4" w:space="0" w:color="17365D"/>
              <w:bottom w:val="single" w:sz="4" w:space="0" w:color="17365D"/>
            </w:tcBorders>
            <w:shd w:val="clear" w:color="auto" w:fill="auto"/>
            <w:vAlign w:val="center"/>
            <w:hideMark/>
          </w:tcPr>
          <w:p w14:paraId="6F1FA835" w14:textId="52B16A82" w:rsidR="00583DB2" w:rsidRPr="00267A95" w:rsidRDefault="00583DB2" w:rsidP="00267A95">
            <w:pPr>
              <w:pStyle w:val="Tabskaiti"/>
              <w:rPr>
                <w:highlight w:val="yellow"/>
              </w:rPr>
            </w:pPr>
            <w:r w:rsidRPr="00267A95">
              <w:t>10 057 858 156</w:t>
            </w:r>
          </w:p>
        </w:tc>
        <w:tc>
          <w:tcPr>
            <w:tcW w:w="681" w:type="pct"/>
            <w:tcBorders>
              <w:top w:val="single" w:sz="4" w:space="0" w:color="17365D"/>
              <w:bottom w:val="single" w:sz="4" w:space="0" w:color="17365D"/>
            </w:tcBorders>
            <w:shd w:val="clear" w:color="auto" w:fill="auto"/>
            <w:noWrap/>
            <w:vAlign w:val="bottom"/>
            <w:hideMark/>
          </w:tcPr>
          <w:p w14:paraId="2C84F4AA" w14:textId="437E5BE1" w:rsidR="00583DB2" w:rsidRPr="00267A95" w:rsidRDefault="00583DB2" w:rsidP="00267A95">
            <w:pPr>
              <w:pStyle w:val="Tabskaiti"/>
              <w:rPr>
                <w:highlight w:val="yellow"/>
              </w:rPr>
            </w:pPr>
            <w:r w:rsidRPr="00267A95">
              <w:t>41 370 700</w:t>
            </w:r>
          </w:p>
        </w:tc>
        <w:tc>
          <w:tcPr>
            <w:tcW w:w="682" w:type="pct"/>
            <w:tcBorders>
              <w:top w:val="single" w:sz="4" w:space="0" w:color="17365D"/>
              <w:bottom w:val="single" w:sz="4" w:space="0" w:color="17365D"/>
            </w:tcBorders>
            <w:shd w:val="clear" w:color="auto" w:fill="auto"/>
            <w:noWrap/>
            <w:hideMark/>
          </w:tcPr>
          <w:p w14:paraId="03AAD788" w14:textId="3FAC4A67" w:rsidR="00583DB2" w:rsidRPr="00267A95" w:rsidRDefault="00583DB2" w:rsidP="00267A95">
            <w:pPr>
              <w:pStyle w:val="Tabskaiti"/>
              <w:rPr>
                <w:highlight w:val="yellow"/>
              </w:rPr>
            </w:pPr>
            <w:r w:rsidRPr="00267A95">
              <w:t>0.41</w:t>
            </w:r>
          </w:p>
        </w:tc>
      </w:tr>
      <w:tr w:rsidR="00583DB2" w:rsidRPr="00E72168" w14:paraId="39E735F5" w14:textId="77777777" w:rsidTr="001F7CCC">
        <w:trPr>
          <w:trHeight w:val="266"/>
        </w:trPr>
        <w:tc>
          <w:tcPr>
            <w:tcW w:w="1520" w:type="pct"/>
            <w:tcBorders>
              <w:top w:val="single" w:sz="4" w:space="0" w:color="17365D"/>
              <w:bottom w:val="single" w:sz="4" w:space="0" w:color="17365D"/>
            </w:tcBorders>
            <w:shd w:val="clear" w:color="auto" w:fill="auto"/>
            <w:vAlign w:val="center"/>
            <w:hideMark/>
          </w:tcPr>
          <w:p w14:paraId="4A4ADFCC" w14:textId="01EB3A8B"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t>Tehnoloģiskās iekārtas un mašīnas</w:t>
            </w:r>
          </w:p>
        </w:tc>
        <w:tc>
          <w:tcPr>
            <w:tcW w:w="522" w:type="pct"/>
            <w:tcBorders>
              <w:top w:val="single" w:sz="4" w:space="0" w:color="17365D"/>
              <w:bottom w:val="single" w:sz="4" w:space="0" w:color="17365D"/>
            </w:tcBorders>
            <w:shd w:val="clear" w:color="auto" w:fill="auto"/>
            <w:noWrap/>
            <w:vAlign w:val="center"/>
          </w:tcPr>
          <w:p w14:paraId="357882CE" w14:textId="048C6F1B" w:rsidR="00583DB2" w:rsidRPr="00BF4C61" w:rsidRDefault="00583DB2" w:rsidP="00583DB2">
            <w:pPr>
              <w:spacing w:after="0" w:line="240" w:lineRule="auto"/>
              <w:jc w:val="right"/>
              <w:rPr>
                <w:rFonts w:cs="Times New Roman"/>
                <w:color w:val="17365D"/>
                <w:sz w:val="18"/>
                <w:szCs w:val="18"/>
              </w:rPr>
            </w:pPr>
          </w:p>
        </w:tc>
        <w:tc>
          <w:tcPr>
            <w:tcW w:w="797" w:type="pct"/>
            <w:tcBorders>
              <w:top w:val="single" w:sz="4" w:space="0" w:color="17365D"/>
              <w:bottom w:val="single" w:sz="4" w:space="0" w:color="17365D"/>
            </w:tcBorders>
            <w:shd w:val="clear" w:color="auto" w:fill="auto"/>
            <w:vAlign w:val="center"/>
            <w:hideMark/>
          </w:tcPr>
          <w:p w14:paraId="6B3EEFAD" w14:textId="1090A419" w:rsidR="00583DB2" w:rsidRPr="00267A95" w:rsidRDefault="00583DB2" w:rsidP="00267A95">
            <w:pPr>
              <w:pStyle w:val="Tabskaiti"/>
              <w:rPr>
                <w:highlight w:val="yellow"/>
              </w:rPr>
            </w:pPr>
            <w:r w:rsidRPr="00267A95">
              <w:t>173 337 042</w:t>
            </w:r>
          </w:p>
        </w:tc>
        <w:tc>
          <w:tcPr>
            <w:tcW w:w="798" w:type="pct"/>
            <w:gridSpan w:val="2"/>
            <w:tcBorders>
              <w:top w:val="single" w:sz="4" w:space="0" w:color="17365D"/>
              <w:bottom w:val="single" w:sz="4" w:space="0" w:color="17365D"/>
            </w:tcBorders>
            <w:shd w:val="clear" w:color="auto" w:fill="auto"/>
            <w:vAlign w:val="center"/>
            <w:hideMark/>
          </w:tcPr>
          <w:p w14:paraId="687DADB1" w14:textId="06D7B732" w:rsidR="00583DB2" w:rsidRPr="00267A95" w:rsidRDefault="00583DB2" w:rsidP="00267A95">
            <w:pPr>
              <w:pStyle w:val="Tabskaiti"/>
              <w:rPr>
                <w:highlight w:val="yellow"/>
              </w:rPr>
            </w:pPr>
            <w:r w:rsidRPr="00267A95">
              <w:t>177 574 162</w:t>
            </w:r>
          </w:p>
        </w:tc>
        <w:tc>
          <w:tcPr>
            <w:tcW w:w="681" w:type="pct"/>
            <w:tcBorders>
              <w:top w:val="single" w:sz="4" w:space="0" w:color="17365D"/>
              <w:bottom w:val="single" w:sz="4" w:space="0" w:color="17365D"/>
            </w:tcBorders>
            <w:shd w:val="clear" w:color="auto" w:fill="auto"/>
            <w:noWrap/>
            <w:vAlign w:val="center"/>
            <w:hideMark/>
          </w:tcPr>
          <w:p w14:paraId="387D443B" w14:textId="1ADEE564" w:rsidR="00583DB2" w:rsidRPr="00267A95" w:rsidRDefault="00583DB2" w:rsidP="00267A95">
            <w:pPr>
              <w:pStyle w:val="Tabskaiti"/>
            </w:pPr>
            <w:r w:rsidRPr="00267A95">
              <w:t>-4 237 120</w:t>
            </w:r>
          </w:p>
        </w:tc>
        <w:tc>
          <w:tcPr>
            <w:tcW w:w="682" w:type="pct"/>
            <w:tcBorders>
              <w:top w:val="single" w:sz="4" w:space="0" w:color="17365D"/>
              <w:bottom w:val="single" w:sz="4" w:space="0" w:color="17365D"/>
            </w:tcBorders>
            <w:shd w:val="clear" w:color="auto" w:fill="auto"/>
            <w:noWrap/>
            <w:vAlign w:val="center"/>
            <w:hideMark/>
          </w:tcPr>
          <w:p w14:paraId="38AF589C" w14:textId="0BAE7096" w:rsidR="00583DB2" w:rsidRPr="00267A95" w:rsidRDefault="00583DB2" w:rsidP="00267A95">
            <w:pPr>
              <w:pStyle w:val="Tabskaiti"/>
              <w:rPr>
                <w:highlight w:val="yellow"/>
              </w:rPr>
            </w:pPr>
            <w:r w:rsidRPr="00267A95">
              <w:t>-2.39</w:t>
            </w:r>
          </w:p>
        </w:tc>
      </w:tr>
      <w:tr w:rsidR="00583DB2" w:rsidRPr="00E72168" w14:paraId="0EFF5CA4" w14:textId="77777777" w:rsidTr="001F7CCC">
        <w:trPr>
          <w:trHeight w:val="266"/>
        </w:trPr>
        <w:tc>
          <w:tcPr>
            <w:tcW w:w="1520" w:type="pct"/>
            <w:tcBorders>
              <w:top w:val="single" w:sz="4" w:space="0" w:color="17365D"/>
              <w:bottom w:val="single" w:sz="4" w:space="0" w:color="17365D"/>
            </w:tcBorders>
            <w:shd w:val="clear" w:color="auto" w:fill="auto"/>
            <w:vAlign w:val="center"/>
            <w:hideMark/>
          </w:tcPr>
          <w:p w14:paraId="760DD74F" w14:textId="3B064B28" w:rsidR="00583DB2" w:rsidRPr="00BF4C61" w:rsidRDefault="00583DB2" w:rsidP="00583DB2">
            <w:pPr>
              <w:spacing w:after="0" w:line="240" w:lineRule="auto"/>
              <w:rPr>
                <w:rFonts w:cs="Times New Roman"/>
                <w:color w:val="17365D"/>
                <w:sz w:val="18"/>
                <w:szCs w:val="18"/>
              </w:rPr>
            </w:pPr>
            <w:r w:rsidRPr="00E72168">
              <w:rPr>
                <w:rFonts w:cs="Times New Roman"/>
                <w:color w:val="17365D"/>
                <w:sz w:val="18"/>
                <w:szCs w:val="18"/>
              </w:rPr>
              <w:t>Pārējie</w:t>
            </w:r>
            <w:r w:rsidRPr="00BF4C61">
              <w:rPr>
                <w:rFonts w:cs="Times New Roman"/>
                <w:color w:val="17365D"/>
                <w:sz w:val="18"/>
                <w:szCs w:val="18"/>
              </w:rPr>
              <w:t xml:space="preserve"> </w:t>
            </w:r>
            <w:r w:rsidRPr="00E72168">
              <w:rPr>
                <w:rFonts w:cs="Times New Roman"/>
                <w:color w:val="17365D"/>
                <w:sz w:val="18"/>
                <w:szCs w:val="18"/>
              </w:rPr>
              <w:t>pamatlīdzekļi</w:t>
            </w:r>
          </w:p>
        </w:tc>
        <w:tc>
          <w:tcPr>
            <w:tcW w:w="522" w:type="pct"/>
            <w:tcBorders>
              <w:top w:val="single" w:sz="4" w:space="0" w:color="17365D"/>
              <w:bottom w:val="single" w:sz="4" w:space="0" w:color="17365D"/>
            </w:tcBorders>
            <w:shd w:val="clear" w:color="auto" w:fill="auto"/>
            <w:noWrap/>
            <w:vAlign w:val="center"/>
          </w:tcPr>
          <w:p w14:paraId="0C09F3B4" w14:textId="302C6784" w:rsidR="00583DB2" w:rsidRPr="00BF4C61" w:rsidRDefault="00583DB2" w:rsidP="00583DB2">
            <w:pPr>
              <w:spacing w:after="0" w:line="240" w:lineRule="auto"/>
              <w:jc w:val="right"/>
              <w:rPr>
                <w:rFonts w:cs="Times New Roman"/>
                <w:color w:val="17365D"/>
                <w:sz w:val="18"/>
                <w:szCs w:val="18"/>
              </w:rPr>
            </w:pPr>
          </w:p>
        </w:tc>
        <w:tc>
          <w:tcPr>
            <w:tcW w:w="797" w:type="pct"/>
            <w:tcBorders>
              <w:top w:val="single" w:sz="4" w:space="0" w:color="17365D"/>
              <w:bottom w:val="single" w:sz="4" w:space="0" w:color="17365D"/>
            </w:tcBorders>
            <w:shd w:val="clear" w:color="auto" w:fill="auto"/>
            <w:vAlign w:val="center"/>
          </w:tcPr>
          <w:p w14:paraId="74D6F98F" w14:textId="15B9B451" w:rsidR="00583DB2" w:rsidRPr="00267A95" w:rsidRDefault="00583DB2" w:rsidP="00267A95">
            <w:pPr>
              <w:pStyle w:val="Tabskaiti"/>
              <w:rPr>
                <w:highlight w:val="yellow"/>
              </w:rPr>
            </w:pPr>
            <w:r w:rsidRPr="00267A95">
              <w:t>1 972 402 072</w:t>
            </w:r>
          </w:p>
        </w:tc>
        <w:tc>
          <w:tcPr>
            <w:tcW w:w="798" w:type="pct"/>
            <w:gridSpan w:val="2"/>
            <w:tcBorders>
              <w:top w:val="single" w:sz="4" w:space="0" w:color="17365D"/>
              <w:bottom w:val="single" w:sz="4" w:space="0" w:color="17365D"/>
              <w:right w:val="nil"/>
            </w:tcBorders>
            <w:shd w:val="clear" w:color="auto" w:fill="auto"/>
            <w:vAlign w:val="center"/>
          </w:tcPr>
          <w:p w14:paraId="7630D37D" w14:textId="1AF2DBD4" w:rsidR="00583DB2" w:rsidRPr="00267A95" w:rsidRDefault="00583DB2" w:rsidP="00267A95">
            <w:pPr>
              <w:pStyle w:val="Tabskaiti"/>
              <w:rPr>
                <w:highlight w:val="yellow"/>
              </w:rPr>
            </w:pPr>
            <w:r w:rsidRPr="00267A95">
              <w:t>1 833 699 074</w:t>
            </w:r>
          </w:p>
        </w:tc>
        <w:tc>
          <w:tcPr>
            <w:tcW w:w="681" w:type="pct"/>
            <w:tcBorders>
              <w:top w:val="single" w:sz="4" w:space="0" w:color="17365D"/>
              <w:left w:val="nil"/>
              <w:bottom w:val="single" w:sz="4" w:space="0" w:color="17365D"/>
              <w:right w:val="nil"/>
            </w:tcBorders>
            <w:shd w:val="clear" w:color="FFFFCC" w:fill="FFFFFF"/>
            <w:noWrap/>
            <w:vAlign w:val="center"/>
          </w:tcPr>
          <w:p w14:paraId="4A2E5C05" w14:textId="71065551" w:rsidR="00583DB2" w:rsidRPr="00267A95" w:rsidRDefault="00583DB2" w:rsidP="00267A95">
            <w:pPr>
              <w:pStyle w:val="Tabskaiti"/>
              <w:rPr>
                <w:highlight w:val="yellow"/>
              </w:rPr>
            </w:pPr>
            <w:r w:rsidRPr="00267A95">
              <w:t>138 702 998</w:t>
            </w:r>
          </w:p>
        </w:tc>
        <w:tc>
          <w:tcPr>
            <w:tcW w:w="682" w:type="pct"/>
            <w:tcBorders>
              <w:top w:val="single" w:sz="4" w:space="0" w:color="17365D"/>
              <w:left w:val="nil"/>
              <w:bottom w:val="single" w:sz="4" w:space="0" w:color="17365D"/>
              <w:right w:val="nil"/>
            </w:tcBorders>
            <w:shd w:val="clear" w:color="FFFFCC" w:fill="FFFFFF"/>
            <w:noWrap/>
            <w:vAlign w:val="center"/>
          </w:tcPr>
          <w:p w14:paraId="6F8CFE29" w14:textId="3566F818" w:rsidR="00583DB2" w:rsidRPr="00267A95" w:rsidRDefault="00583DB2" w:rsidP="00267A95">
            <w:pPr>
              <w:pStyle w:val="Tabskaiti"/>
              <w:rPr>
                <w:highlight w:val="yellow"/>
              </w:rPr>
            </w:pPr>
            <w:r w:rsidRPr="00267A95">
              <w:t>7.56</w:t>
            </w:r>
          </w:p>
        </w:tc>
      </w:tr>
      <w:tr w:rsidR="00583DB2" w:rsidRPr="00E72168" w14:paraId="52A0184F" w14:textId="77777777" w:rsidTr="001F7CCC">
        <w:trPr>
          <w:trHeight w:val="266"/>
        </w:trPr>
        <w:tc>
          <w:tcPr>
            <w:tcW w:w="1520" w:type="pct"/>
            <w:tcBorders>
              <w:top w:val="single" w:sz="4" w:space="0" w:color="17365D"/>
              <w:bottom w:val="single" w:sz="4" w:space="0" w:color="17365D"/>
            </w:tcBorders>
            <w:shd w:val="clear" w:color="auto" w:fill="auto"/>
            <w:vAlign w:val="center"/>
            <w:hideMark/>
          </w:tcPr>
          <w:p w14:paraId="7591A8DC" w14:textId="22AA6355"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t>Pamatlīdzekļu izveidošana un nepabeigtā būvniecība</w:t>
            </w:r>
          </w:p>
        </w:tc>
        <w:tc>
          <w:tcPr>
            <w:tcW w:w="522" w:type="pct"/>
            <w:tcBorders>
              <w:top w:val="single" w:sz="4" w:space="0" w:color="17365D"/>
              <w:bottom w:val="single" w:sz="4" w:space="0" w:color="17365D"/>
            </w:tcBorders>
            <w:shd w:val="clear" w:color="auto" w:fill="auto"/>
            <w:noWrap/>
            <w:vAlign w:val="center"/>
          </w:tcPr>
          <w:p w14:paraId="70080358" w14:textId="328BF39E" w:rsidR="00583DB2" w:rsidRPr="00BF4C61" w:rsidRDefault="00583DB2" w:rsidP="00583DB2">
            <w:pPr>
              <w:spacing w:after="0" w:line="240" w:lineRule="auto"/>
              <w:jc w:val="right"/>
              <w:rPr>
                <w:rFonts w:cs="Times New Roman"/>
                <w:color w:val="17365D"/>
                <w:sz w:val="18"/>
                <w:szCs w:val="18"/>
              </w:rPr>
            </w:pPr>
            <w:r w:rsidRPr="00E72168">
              <w:rPr>
                <w:rFonts w:cs="Times New Roman"/>
                <w:color w:val="17365D"/>
                <w:sz w:val="18"/>
                <w:szCs w:val="18"/>
              </w:rPr>
              <w:t>KB.1.2.1.</w:t>
            </w:r>
          </w:p>
        </w:tc>
        <w:tc>
          <w:tcPr>
            <w:tcW w:w="797" w:type="pct"/>
            <w:tcBorders>
              <w:top w:val="single" w:sz="4" w:space="0" w:color="17365D"/>
              <w:bottom w:val="single" w:sz="4" w:space="0" w:color="17365D"/>
            </w:tcBorders>
            <w:shd w:val="clear" w:color="auto" w:fill="auto"/>
            <w:vAlign w:val="center"/>
          </w:tcPr>
          <w:p w14:paraId="7E7537E2" w14:textId="0335719F" w:rsidR="00583DB2" w:rsidRPr="00267A95" w:rsidRDefault="00583DB2" w:rsidP="00267A95">
            <w:pPr>
              <w:pStyle w:val="Tabskaiti"/>
              <w:rPr>
                <w:highlight w:val="yellow"/>
              </w:rPr>
            </w:pPr>
            <w:r w:rsidRPr="00267A95">
              <w:t>1 493 373 360</w:t>
            </w:r>
          </w:p>
        </w:tc>
        <w:tc>
          <w:tcPr>
            <w:tcW w:w="798" w:type="pct"/>
            <w:gridSpan w:val="2"/>
            <w:tcBorders>
              <w:top w:val="single" w:sz="4" w:space="0" w:color="17365D"/>
              <w:bottom w:val="single" w:sz="4" w:space="0" w:color="17365D"/>
            </w:tcBorders>
            <w:shd w:val="clear" w:color="auto" w:fill="auto"/>
            <w:vAlign w:val="center"/>
          </w:tcPr>
          <w:p w14:paraId="71EDCF1C" w14:textId="299CF2CC" w:rsidR="00583DB2" w:rsidRPr="00267A95" w:rsidRDefault="00583DB2" w:rsidP="00267A95">
            <w:pPr>
              <w:pStyle w:val="Tabskaiti"/>
              <w:rPr>
                <w:highlight w:val="yellow"/>
              </w:rPr>
            </w:pPr>
            <w:r w:rsidRPr="00267A95">
              <w:t>970 993 145</w:t>
            </w:r>
          </w:p>
        </w:tc>
        <w:tc>
          <w:tcPr>
            <w:tcW w:w="681" w:type="pct"/>
            <w:tcBorders>
              <w:top w:val="single" w:sz="4" w:space="0" w:color="17365D"/>
              <w:bottom w:val="single" w:sz="4" w:space="0" w:color="17365D"/>
            </w:tcBorders>
            <w:shd w:val="clear" w:color="auto" w:fill="auto"/>
            <w:noWrap/>
            <w:vAlign w:val="center"/>
          </w:tcPr>
          <w:p w14:paraId="4B2F68AC" w14:textId="00D4C9F5" w:rsidR="00583DB2" w:rsidRPr="00267A95" w:rsidRDefault="00583DB2" w:rsidP="00267A95">
            <w:pPr>
              <w:pStyle w:val="Tabskaiti"/>
              <w:rPr>
                <w:highlight w:val="yellow"/>
              </w:rPr>
            </w:pPr>
            <w:r w:rsidRPr="00267A95">
              <w:t>522 380 215</w:t>
            </w:r>
          </w:p>
        </w:tc>
        <w:tc>
          <w:tcPr>
            <w:tcW w:w="682" w:type="pct"/>
            <w:tcBorders>
              <w:top w:val="single" w:sz="4" w:space="0" w:color="17365D"/>
              <w:bottom w:val="single" w:sz="4" w:space="0" w:color="17365D"/>
            </w:tcBorders>
            <w:shd w:val="clear" w:color="auto" w:fill="auto"/>
            <w:noWrap/>
            <w:vAlign w:val="center"/>
          </w:tcPr>
          <w:p w14:paraId="74CF5FEE" w14:textId="58DF0550" w:rsidR="00583DB2" w:rsidRPr="00267A95" w:rsidRDefault="00583DB2" w:rsidP="00267A95">
            <w:pPr>
              <w:pStyle w:val="Tabskaiti"/>
              <w:rPr>
                <w:highlight w:val="yellow"/>
              </w:rPr>
            </w:pPr>
            <w:r w:rsidRPr="00267A95">
              <w:t>53.80</w:t>
            </w:r>
          </w:p>
        </w:tc>
      </w:tr>
      <w:tr w:rsidR="00583DB2" w:rsidRPr="00E72168" w14:paraId="03E15F94" w14:textId="77777777" w:rsidTr="001F7CCC">
        <w:trPr>
          <w:trHeight w:val="266"/>
        </w:trPr>
        <w:tc>
          <w:tcPr>
            <w:tcW w:w="1520" w:type="pct"/>
            <w:tcBorders>
              <w:top w:val="single" w:sz="4" w:space="0" w:color="17365D"/>
              <w:bottom w:val="single" w:sz="4" w:space="0" w:color="17365D"/>
            </w:tcBorders>
            <w:shd w:val="clear" w:color="auto" w:fill="auto"/>
            <w:vAlign w:val="center"/>
            <w:hideMark/>
          </w:tcPr>
          <w:p w14:paraId="62D16970" w14:textId="035C820A"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t>Turējumā nodotie valsts un pašvaldību īpašumi</w:t>
            </w:r>
          </w:p>
        </w:tc>
        <w:tc>
          <w:tcPr>
            <w:tcW w:w="522" w:type="pct"/>
            <w:tcBorders>
              <w:top w:val="single" w:sz="4" w:space="0" w:color="17365D"/>
              <w:bottom w:val="single" w:sz="4" w:space="0" w:color="17365D"/>
            </w:tcBorders>
            <w:shd w:val="clear" w:color="auto" w:fill="auto"/>
            <w:noWrap/>
            <w:vAlign w:val="center"/>
          </w:tcPr>
          <w:p w14:paraId="16C6C641" w14:textId="1A72BC30" w:rsidR="00583DB2" w:rsidRPr="00BF4C61" w:rsidRDefault="00583DB2" w:rsidP="00583DB2">
            <w:pPr>
              <w:spacing w:after="0" w:line="240" w:lineRule="auto"/>
              <w:jc w:val="right"/>
              <w:rPr>
                <w:rFonts w:cs="Times New Roman"/>
                <w:color w:val="17365D"/>
                <w:sz w:val="18"/>
                <w:szCs w:val="18"/>
              </w:rPr>
            </w:pPr>
          </w:p>
        </w:tc>
        <w:tc>
          <w:tcPr>
            <w:tcW w:w="797" w:type="pct"/>
            <w:tcBorders>
              <w:top w:val="single" w:sz="4" w:space="0" w:color="17365D"/>
              <w:bottom w:val="single" w:sz="4" w:space="0" w:color="17365D"/>
            </w:tcBorders>
            <w:shd w:val="clear" w:color="auto" w:fill="auto"/>
            <w:vAlign w:val="center"/>
          </w:tcPr>
          <w:p w14:paraId="62B079E9" w14:textId="0A67BACA" w:rsidR="00583DB2" w:rsidRPr="00267A95" w:rsidRDefault="00583DB2" w:rsidP="00267A95">
            <w:pPr>
              <w:pStyle w:val="Tabskaiti"/>
              <w:rPr>
                <w:highlight w:val="yellow"/>
              </w:rPr>
            </w:pPr>
            <w:r w:rsidRPr="00267A95">
              <w:t>1 517 779 270</w:t>
            </w:r>
          </w:p>
        </w:tc>
        <w:tc>
          <w:tcPr>
            <w:tcW w:w="798" w:type="pct"/>
            <w:gridSpan w:val="2"/>
            <w:tcBorders>
              <w:top w:val="single" w:sz="4" w:space="0" w:color="17365D"/>
              <w:bottom w:val="single" w:sz="4" w:space="0" w:color="17365D"/>
              <w:right w:val="nil"/>
            </w:tcBorders>
            <w:shd w:val="clear" w:color="auto" w:fill="auto"/>
            <w:vAlign w:val="center"/>
          </w:tcPr>
          <w:p w14:paraId="2741D8BB" w14:textId="5FAAB39C" w:rsidR="00583DB2" w:rsidRPr="00267A95" w:rsidRDefault="00583DB2" w:rsidP="00267A95">
            <w:pPr>
              <w:pStyle w:val="Tabskaiti"/>
              <w:rPr>
                <w:highlight w:val="yellow"/>
              </w:rPr>
            </w:pPr>
            <w:r w:rsidRPr="00267A95">
              <w:t>1 527 221 768</w:t>
            </w:r>
          </w:p>
        </w:tc>
        <w:tc>
          <w:tcPr>
            <w:tcW w:w="681" w:type="pct"/>
            <w:tcBorders>
              <w:top w:val="single" w:sz="4" w:space="0" w:color="17365D"/>
              <w:left w:val="nil"/>
              <w:bottom w:val="single" w:sz="4" w:space="0" w:color="17365D"/>
              <w:right w:val="nil"/>
            </w:tcBorders>
            <w:shd w:val="clear" w:color="FFFFCC" w:fill="FFFFFF"/>
            <w:noWrap/>
            <w:vAlign w:val="center"/>
          </w:tcPr>
          <w:p w14:paraId="242445CB" w14:textId="0BCD6554" w:rsidR="00583DB2" w:rsidRPr="00267A95" w:rsidRDefault="00583DB2" w:rsidP="00267A95">
            <w:pPr>
              <w:pStyle w:val="Tabskaiti"/>
              <w:rPr>
                <w:highlight w:val="yellow"/>
              </w:rPr>
            </w:pPr>
            <w:r w:rsidRPr="00267A95">
              <w:t>-9 442 498</w:t>
            </w:r>
          </w:p>
        </w:tc>
        <w:tc>
          <w:tcPr>
            <w:tcW w:w="682" w:type="pct"/>
            <w:tcBorders>
              <w:top w:val="single" w:sz="4" w:space="0" w:color="17365D"/>
              <w:left w:val="nil"/>
              <w:bottom w:val="single" w:sz="4" w:space="0" w:color="17365D"/>
              <w:right w:val="nil"/>
            </w:tcBorders>
            <w:shd w:val="clear" w:color="FFFFCC" w:fill="FFFFFF"/>
            <w:noWrap/>
            <w:vAlign w:val="center"/>
          </w:tcPr>
          <w:p w14:paraId="1E9637A4" w14:textId="4F6E306E" w:rsidR="00583DB2" w:rsidRPr="00267A95" w:rsidRDefault="00583DB2" w:rsidP="00267A95">
            <w:pPr>
              <w:pStyle w:val="Tabskaiti"/>
              <w:rPr>
                <w:highlight w:val="yellow"/>
              </w:rPr>
            </w:pPr>
            <w:r w:rsidRPr="00267A95">
              <w:t>-0.62</w:t>
            </w:r>
          </w:p>
        </w:tc>
      </w:tr>
      <w:tr w:rsidR="00583DB2" w:rsidRPr="00E72168" w14:paraId="387C8092" w14:textId="77777777" w:rsidTr="001F7CCC">
        <w:trPr>
          <w:trHeight w:val="266"/>
        </w:trPr>
        <w:tc>
          <w:tcPr>
            <w:tcW w:w="1520" w:type="pct"/>
            <w:tcBorders>
              <w:top w:val="single" w:sz="4" w:space="0" w:color="17365D"/>
              <w:bottom w:val="single" w:sz="4" w:space="0" w:color="17365D"/>
            </w:tcBorders>
            <w:shd w:val="clear" w:color="auto" w:fill="auto"/>
            <w:vAlign w:val="center"/>
          </w:tcPr>
          <w:p w14:paraId="64335699" w14:textId="37F80110"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lastRenderedPageBreak/>
              <w:t>Bioloģiskie un pazemes aktīvi</w:t>
            </w:r>
          </w:p>
        </w:tc>
        <w:tc>
          <w:tcPr>
            <w:tcW w:w="522" w:type="pct"/>
            <w:tcBorders>
              <w:top w:val="single" w:sz="4" w:space="0" w:color="17365D"/>
              <w:bottom w:val="single" w:sz="4" w:space="0" w:color="17365D"/>
            </w:tcBorders>
            <w:shd w:val="clear" w:color="auto" w:fill="auto"/>
            <w:noWrap/>
            <w:vAlign w:val="center"/>
          </w:tcPr>
          <w:p w14:paraId="208E18FB" w14:textId="00AFF986" w:rsidR="00583DB2" w:rsidRPr="00E72168" w:rsidRDefault="00583DB2" w:rsidP="00583DB2">
            <w:pPr>
              <w:spacing w:after="0" w:line="240" w:lineRule="auto"/>
              <w:jc w:val="right"/>
              <w:rPr>
                <w:rFonts w:cs="Times New Roman"/>
                <w:color w:val="17365D"/>
                <w:sz w:val="18"/>
                <w:szCs w:val="18"/>
              </w:rPr>
            </w:pPr>
          </w:p>
        </w:tc>
        <w:tc>
          <w:tcPr>
            <w:tcW w:w="797" w:type="pct"/>
            <w:tcBorders>
              <w:top w:val="single" w:sz="4" w:space="0" w:color="17365D"/>
              <w:bottom w:val="single" w:sz="4" w:space="0" w:color="17365D"/>
            </w:tcBorders>
            <w:shd w:val="clear" w:color="auto" w:fill="auto"/>
            <w:vAlign w:val="center"/>
          </w:tcPr>
          <w:p w14:paraId="06611028" w14:textId="78EADE79" w:rsidR="00583DB2" w:rsidRPr="00267A95" w:rsidRDefault="00583DB2" w:rsidP="00267A95">
            <w:pPr>
              <w:pStyle w:val="Tabskaiti"/>
              <w:rPr>
                <w:highlight w:val="yellow"/>
              </w:rPr>
            </w:pPr>
            <w:r w:rsidRPr="00267A95">
              <w:t>267 071 046</w:t>
            </w:r>
          </w:p>
        </w:tc>
        <w:tc>
          <w:tcPr>
            <w:tcW w:w="798" w:type="pct"/>
            <w:gridSpan w:val="2"/>
            <w:tcBorders>
              <w:top w:val="single" w:sz="4" w:space="0" w:color="17365D"/>
              <w:bottom w:val="single" w:sz="4" w:space="0" w:color="17365D"/>
            </w:tcBorders>
            <w:shd w:val="clear" w:color="auto" w:fill="auto"/>
            <w:vAlign w:val="center"/>
          </w:tcPr>
          <w:p w14:paraId="54B58022" w14:textId="0DA2944C" w:rsidR="00583DB2" w:rsidRPr="00267A95" w:rsidRDefault="00583DB2" w:rsidP="00267A95">
            <w:pPr>
              <w:pStyle w:val="Tabskaiti"/>
              <w:rPr>
                <w:highlight w:val="yellow"/>
              </w:rPr>
            </w:pPr>
            <w:r w:rsidRPr="00267A95">
              <w:t>258 232 551</w:t>
            </w:r>
          </w:p>
        </w:tc>
        <w:tc>
          <w:tcPr>
            <w:tcW w:w="681" w:type="pct"/>
            <w:tcBorders>
              <w:top w:val="single" w:sz="4" w:space="0" w:color="17365D"/>
              <w:bottom w:val="single" w:sz="4" w:space="0" w:color="17365D"/>
            </w:tcBorders>
            <w:shd w:val="clear" w:color="auto" w:fill="auto"/>
            <w:noWrap/>
            <w:vAlign w:val="center"/>
          </w:tcPr>
          <w:p w14:paraId="52017BA1" w14:textId="3174A684" w:rsidR="00583DB2" w:rsidRPr="00267A95" w:rsidRDefault="00583DB2" w:rsidP="00267A95">
            <w:pPr>
              <w:pStyle w:val="Tabskaiti"/>
              <w:rPr>
                <w:highlight w:val="yellow"/>
              </w:rPr>
            </w:pPr>
            <w:r w:rsidRPr="00267A95">
              <w:t>8 838 495</w:t>
            </w:r>
          </w:p>
        </w:tc>
        <w:tc>
          <w:tcPr>
            <w:tcW w:w="682" w:type="pct"/>
            <w:tcBorders>
              <w:top w:val="single" w:sz="4" w:space="0" w:color="17365D"/>
              <w:bottom w:val="single" w:sz="4" w:space="0" w:color="17365D"/>
            </w:tcBorders>
            <w:shd w:val="clear" w:color="auto" w:fill="auto"/>
            <w:noWrap/>
            <w:vAlign w:val="center"/>
          </w:tcPr>
          <w:p w14:paraId="1DF0C32E" w14:textId="56371D36" w:rsidR="00583DB2" w:rsidRPr="00267A95" w:rsidRDefault="00583DB2" w:rsidP="00267A95">
            <w:pPr>
              <w:pStyle w:val="Tabskaiti"/>
              <w:rPr>
                <w:highlight w:val="yellow"/>
              </w:rPr>
            </w:pPr>
            <w:r w:rsidRPr="00267A95">
              <w:t>3.42</w:t>
            </w:r>
          </w:p>
        </w:tc>
      </w:tr>
      <w:tr w:rsidR="00583DB2" w:rsidRPr="00E72168" w14:paraId="30A9D281" w14:textId="77777777" w:rsidTr="001F7CCC">
        <w:trPr>
          <w:trHeight w:val="266"/>
        </w:trPr>
        <w:tc>
          <w:tcPr>
            <w:tcW w:w="1520" w:type="pct"/>
            <w:tcBorders>
              <w:top w:val="single" w:sz="4" w:space="0" w:color="17365D"/>
              <w:bottom w:val="single" w:sz="4" w:space="0" w:color="17365D"/>
            </w:tcBorders>
            <w:shd w:val="clear" w:color="auto" w:fill="auto"/>
            <w:vAlign w:val="center"/>
          </w:tcPr>
          <w:p w14:paraId="1B5D381C" w14:textId="734279FE"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t>Ilgtermiņa ieguldījumi nomātajos pamatlīdzekļos</w:t>
            </w:r>
          </w:p>
        </w:tc>
        <w:tc>
          <w:tcPr>
            <w:tcW w:w="522" w:type="pct"/>
            <w:tcBorders>
              <w:top w:val="single" w:sz="4" w:space="0" w:color="17365D"/>
              <w:bottom w:val="single" w:sz="4" w:space="0" w:color="17365D"/>
            </w:tcBorders>
            <w:shd w:val="clear" w:color="auto" w:fill="auto"/>
            <w:noWrap/>
            <w:vAlign w:val="center"/>
          </w:tcPr>
          <w:p w14:paraId="623E4032" w14:textId="7F78C7DC" w:rsidR="00583DB2" w:rsidRPr="00E72168" w:rsidRDefault="00583DB2" w:rsidP="00583DB2">
            <w:pPr>
              <w:spacing w:after="0" w:line="240" w:lineRule="auto"/>
              <w:jc w:val="right"/>
              <w:rPr>
                <w:rFonts w:cs="Times New Roman"/>
                <w:color w:val="17365D"/>
                <w:sz w:val="18"/>
                <w:szCs w:val="18"/>
              </w:rPr>
            </w:pPr>
          </w:p>
        </w:tc>
        <w:tc>
          <w:tcPr>
            <w:tcW w:w="797" w:type="pct"/>
            <w:tcBorders>
              <w:top w:val="single" w:sz="4" w:space="0" w:color="17365D"/>
              <w:bottom w:val="single" w:sz="4" w:space="0" w:color="17365D"/>
            </w:tcBorders>
            <w:shd w:val="clear" w:color="auto" w:fill="auto"/>
            <w:vAlign w:val="center"/>
          </w:tcPr>
          <w:p w14:paraId="09319695" w14:textId="17081ED9" w:rsidR="00583DB2" w:rsidRPr="00267A95" w:rsidRDefault="00583DB2" w:rsidP="00267A95">
            <w:pPr>
              <w:pStyle w:val="Tabskaiti"/>
              <w:rPr>
                <w:highlight w:val="yellow"/>
              </w:rPr>
            </w:pPr>
            <w:r w:rsidRPr="00267A95">
              <w:t>10 944 690</w:t>
            </w:r>
          </w:p>
        </w:tc>
        <w:tc>
          <w:tcPr>
            <w:tcW w:w="798" w:type="pct"/>
            <w:gridSpan w:val="2"/>
            <w:tcBorders>
              <w:top w:val="single" w:sz="4" w:space="0" w:color="17365D"/>
              <w:bottom w:val="single" w:sz="4" w:space="0" w:color="17365D"/>
            </w:tcBorders>
            <w:shd w:val="clear" w:color="auto" w:fill="auto"/>
            <w:vAlign w:val="center"/>
          </w:tcPr>
          <w:p w14:paraId="4E6A927E" w14:textId="298909C6" w:rsidR="00583DB2" w:rsidRPr="00267A95" w:rsidRDefault="00583DB2" w:rsidP="00267A95">
            <w:pPr>
              <w:pStyle w:val="Tabskaiti"/>
              <w:rPr>
                <w:highlight w:val="yellow"/>
              </w:rPr>
            </w:pPr>
            <w:r w:rsidRPr="00267A95">
              <w:t>8 433 151</w:t>
            </w:r>
          </w:p>
        </w:tc>
        <w:tc>
          <w:tcPr>
            <w:tcW w:w="681" w:type="pct"/>
            <w:tcBorders>
              <w:top w:val="single" w:sz="4" w:space="0" w:color="17365D"/>
              <w:bottom w:val="single" w:sz="4" w:space="0" w:color="17365D"/>
            </w:tcBorders>
            <w:shd w:val="clear" w:color="auto" w:fill="auto"/>
            <w:noWrap/>
            <w:vAlign w:val="center"/>
          </w:tcPr>
          <w:p w14:paraId="6982C6BC" w14:textId="46393487" w:rsidR="00583DB2" w:rsidRPr="00267A95" w:rsidRDefault="00583DB2" w:rsidP="00267A95">
            <w:pPr>
              <w:pStyle w:val="Tabskaiti"/>
              <w:rPr>
                <w:highlight w:val="yellow"/>
              </w:rPr>
            </w:pPr>
            <w:r w:rsidRPr="00267A95">
              <w:t>2 511 539</w:t>
            </w:r>
          </w:p>
        </w:tc>
        <w:tc>
          <w:tcPr>
            <w:tcW w:w="682" w:type="pct"/>
            <w:tcBorders>
              <w:top w:val="single" w:sz="4" w:space="0" w:color="17365D"/>
              <w:bottom w:val="single" w:sz="4" w:space="0" w:color="17365D"/>
            </w:tcBorders>
            <w:shd w:val="clear" w:color="auto" w:fill="auto"/>
            <w:noWrap/>
            <w:vAlign w:val="center"/>
          </w:tcPr>
          <w:p w14:paraId="590F07C4" w14:textId="163F3D5D" w:rsidR="00583DB2" w:rsidRPr="00267A95" w:rsidRDefault="00583DB2" w:rsidP="00267A95">
            <w:pPr>
              <w:pStyle w:val="Tabskaiti"/>
              <w:rPr>
                <w:highlight w:val="yellow"/>
              </w:rPr>
            </w:pPr>
            <w:r w:rsidRPr="00267A95">
              <w:t>29.78</w:t>
            </w:r>
          </w:p>
        </w:tc>
      </w:tr>
      <w:tr w:rsidR="00583DB2" w:rsidRPr="00E72168" w14:paraId="2D63EB94" w14:textId="77777777" w:rsidTr="001F7CCC">
        <w:trPr>
          <w:trHeight w:val="266"/>
        </w:trPr>
        <w:tc>
          <w:tcPr>
            <w:tcW w:w="1520" w:type="pct"/>
            <w:tcBorders>
              <w:top w:val="single" w:sz="4" w:space="0" w:color="17365D"/>
              <w:bottom w:val="single" w:sz="4" w:space="0" w:color="17365D"/>
            </w:tcBorders>
            <w:shd w:val="clear" w:color="auto" w:fill="auto"/>
            <w:vAlign w:val="center"/>
          </w:tcPr>
          <w:p w14:paraId="7DFD72B4" w14:textId="7336B69C" w:rsidR="00583DB2" w:rsidRPr="00E72168" w:rsidRDefault="00583DB2" w:rsidP="00583DB2">
            <w:pPr>
              <w:spacing w:after="0" w:line="240" w:lineRule="auto"/>
              <w:rPr>
                <w:rFonts w:cs="Times New Roman"/>
                <w:color w:val="17365D"/>
                <w:sz w:val="18"/>
                <w:szCs w:val="18"/>
              </w:rPr>
            </w:pPr>
            <w:r w:rsidRPr="00E72168">
              <w:rPr>
                <w:rFonts w:cs="Times New Roman"/>
                <w:color w:val="17365D"/>
                <w:sz w:val="18"/>
                <w:szCs w:val="18"/>
              </w:rPr>
              <w:t>Avansa maksājumi par pamatlīdzekļiem</w:t>
            </w:r>
          </w:p>
        </w:tc>
        <w:tc>
          <w:tcPr>
            <w:tcW w:w="522" w:type="pct"/>
            <w:tcBorders>
              <w:top w:val="single" w:sz="4" w:space="0" w:color="17365D"/>
              <w:bottom w:val="single" w:sz="4" w:space="0" w:color="17365D"/>
            </w:tcBorders>
            <w:shd w:val="clear" w:color="auto" w:fill="auto"/>
            <w:noWrap/>
            <w:vAlign w:val="center"/>
          </w:tcPr>
          <w:p w14:paraId="7F266D68" w14:textId="392B1073" w:rsidR="00583DB2" w:rsidRPr="00E72168" w:rsidRDefault="00583DB2" w:rsidP="00583DB2">
            <w:pPr>
              <w:spacing w:after="0" w:line="240" w:lineRule="auto"/>
              <w:jc w:val="right"/>
              <w:rPr>
                <w:rFonts w:cs="Times New Roman"/>
                <w:color w:val="17365D"/>
                <w:sz w:val="18"/>
                <w:szCs w:val="18"/>
              </w:rPr>
            </w:pPr>
            <w:r w:rsidRPr="00E72168">
              <w:rPr>
                <w:rFonts w:cs="Times New Roman"/>
                <w:color w:val="17365D"/>
                <w:sz w:val="18"/>
                <w:szCs w:val="18"/>
              </w:rPr>
              <w:t>KB.1.2.</w:t>
            </w:r>
            <w:r>
              <w:rPr>
                <w:rFonts w:cs="Times New Roman"/>
                <w:color w:val="17365D"/>
                <w:sz w:val="18"/>
                <w:szCs w:val="18"/>
              </w:rPr>
              <w:t>2</w:t>
            </w:r>
            <w:r w:rsidRPr="00E72168">
              <w:rPr>
                <w:rFonts w:cs="Times New Roman"/>
                <w:color w:val="17365D"/>
                <w:sz w:val="18"/>
                <w:szCs w:val="18"/>
              </w:rPr>
              <w:t>.</w:t>
            </w:r>
          </w:p>
        </w:tc>
        <w:tc>
          <w:tcPr>
            <w:tcW w:w="797" w:type="pct"/>
            <w:tcBorders>
              <w:top w:val="single" w:sz="4" w:space="0" w:color="17365D"/>
              <w:bottom w:val="single" w:sz="4" w:space="0" w:color="17365D"/>
            </w:tcBorders>
            <w:shd w:val="clear" w:color="auto" w:fill="auto"/>
            <w:vAlign w:val="center"/>
          </w:tcPr>
          <w:p w14:paraId="00401F1A" w14:textId="077BFEAB" w:rsidR="00583DB2" w:rsidRPr="00267A95" w:rsidRDefault="00583DB2" w:rsidP="00267A95">
            <w:pPr>
              <w:pStyle w:val="Tabskaiti"/>
              <w:rPr>
                <w:highlight w:val="yellow"/>
              </w:rPr>
            </w:pPr>
            <w:r w:rsidRPr="00267A95">
              <w:t>518 318 307</w:t>
            </w:r>
          </w:p>
        </w:tc>
        <w:tc>
          <w:tcPr>
            <w:tcW w:w="798" w:type="pct"/>
            <w:gridSpan w:val="2"/>
            <w:tcBorders>
              <w:top w:val="single" w:sz="4" w:space="0" w:color="17365D"/>
              <w:bottom w:val="single" w:sz="4" w:space="0" w:color="17365D"/>
            </w:tcBorders>
            <w:shd w:val="clear" w:color="auto" w:fill="auto"/>
            <w:vAlign w:val="center"/>
          </w:tcPr>
          <w:p w14:paraId="36F5E6B6" w14:textId="15453421" w:rsidR="00583DB2" w:rsidRPr="00267A95" w:rsidRDefault="00583DB2" w:rsidP="00267A95">
            <w:pPr>
              <w:pStyle w:val="Tabskaiti"/>
              <w:rPr>
                <w:highlight w:val="yellow"/>
              </w:rPr>
            </w:pPr>
            <w:r w:rsidRPr="00267A95">
              <w:t>338 537 612</w:t>
            </w:r>
          </w:p>
        </w:tc>
        <w:tc>
          <w:tcPr>
            <w:tcW w:w="681" w:type="pct"/>
            <w:tcBorders>
              <w:top w:val="single" w:sz="4" w:space="0" w:color="17365D"/>
              <w:bottom w:val="single" w:sz="4" w:space="0" w:color="17365D"/>
            </w:tcBorders>
            <w:shd w:val="clear" w:color="auto" w:fill="auto"/>
            <w:noWrap/>
            <w:vAlign w:val="center"/>
          </w:tcPr>
          <w:p w14:paraId="12A0ABCA" w14:textId="251013CB" w:rsidR="00583DB2" w:rsidRPr="00267A95" w:rsidRDefault="00583DB2" w:rsidP="00267A95">
            <w:pPr>
              <w:pStyle w:val="Tabskaiti"/>
              <w:rPr>
                <w:highlight w:val="yellow"/>
              </w:rPr>
            </w:pPr>
            <w:r w:rsidRPr="00267A95">
              <w:t>179 780 695</w:t>
            </w:r>
          </w:p>
        </w:tc>
        <w:tc>
          <w:tcPr>
            <w:tcW w:w="682" w:type="pct"/>
            <w:tcBorders>
              <w:top w:val="single" w:sz="4" w:space="0" w:color="17365D"/>
              <w:bottom w:val="single" w:sz="4" w:space="0" w:color="17365D"/>
            </w:tcBorders>
            <w:shd w:val="clear" w:color="auto" w:fill="auto"/>
            <w:noWrap/>
            <w:vAlign w:val="center"/>
          </w:tcPr>
          <w:p w14:paraId="38EB13D0" w14:textId="133B714A" w:rsidR="00583DB2" w:rsidRPr="00267A95" w:rsidRDefault="00583DB2" w:rsidP="00267A95">
            <w:pPr>
              <w:pStyle w:val="Tabskaiti"/>
              <w:rPr>
                <w:highlight w:val="yellow"/>
              </w:rPr>
            </w:pPr>
            <w:r w:rsidRPr="00267A95">
              <w:t>53.11</w:t>
            </w:r>
          </w:p>
        </w:tc>
      </w:tr>
      <w:tr w:rsidR="000C1009" w:rsidRPr="00E72168" w14:paraId="27816B8D" w14:textId="77777777" w:rsidTr="001F7CCC">
        <w:trPr>
          <w:trHeight w:val="202"/>
        </w:trPr>
        <w:tc>
          <w:tcPr>
            <w:tcW w:w="1520" w:type="pct"/>
            <w:tcBorders>
              <w:top w:val="single" w:sz="4" w:space="0" w:color="17365D"/>
            </w:tcBorders>
            <w:shd w:val="clear" w:color="auto" w:fill="B9CDE5"/>
            <w:vAlign w:val="center"/>
          </w:tcPr>
          <w:p w14:paraId="751E093E" w14:textId="77777777" w:rsidR="00A3314A" w:rsidRPr="00E72168" w:rsidRDefault="00A3314A" w:rsidP="00A3314A">
            <w:pPr>
              <w:spacing w:after="0"/>
              <w:rPr>
                <w:rFonts w:eastAsia="Times New Roman" w:cs="Times New Roman"/>
                <w:color w:val="17365D"/>
                <w:sz w:val="18"/>
                <w:szCs w:val="18"/>
                <w:lang w:eastAsia="lv-LV"/>
              </w:rPr>
            </w:pPr>
          </w:p>
        </w:tc>
        <w:tc>
          <w:tcPr>
            <w:tcW w:w="522" w:type="pct"/>
            <w:tcBorders>
              <w:top w:val="single" w:sz="4" w:space="0" w:color="17365D"/>
            </w:tcBorders>
            <w:shd w:val="clear" w:color="auto" w:fill="B9CDE5"/>
            <w:noWrap/>
            <w:vAlign w:val="center"/>
          </w:tcPr>
          <w:p w14:paraId="1C557906" w14:textId="77777777" w:rsidR="00A3314A" w:rsidRPr="00E72168" w:rsidRDefault="00A3314A" w:rsidP="00A3314A">
            <w:pPr>
              <w:spacing w:after="0"/>
              <w:jc w:val="center"/>
              <w:rPr>
                <w:rFonts w:eastAsia="Times New Roman" w:cs="Times New Roman"/>
                <w:color w:val="17365D"/>
                <w:sz w:val="18"/>
                <w:szCs w:val="18"/>
                <w:lang w:eastAsia="lv-LV"/>
              </w:rPr>
            </w:pPr>
          </w:p>
        </w:tc>
        <w:tc>
          <w:tcPr>
            <w:tcW w:w="797" w:type="pct"/>
            <w:tcBorders>
              <w:top w:val="single" w:sz="4" w:space="0" w:color="17365D"/>
            </w:tcBorders>
            <w:shd w:val="clear" w:color="auto" w:fill="B9CDE5"/>
            <w:noWrap/>
            <w:vAlign w:val="center"/>
          </w:tcPr>
          <w:p w14:paraId="1610AB6E" w14:textId="77777777" w:rsidR="00A3314A" w:rsidRPr="00E72168" w:rsidRDefault="00A3314A" w:rsidP="00A3314A">
            <w:pPr>
              <w:spacing w:after="0"/>
              <w:jc w:val="right"/>
              <w:rPr>
                <w:rFonts w:eastAsia="Times New Roman" w:cs="Times New Roman"/>
                <w:color w:val="17365D"/>
                <w:sz w:val="18"/>
                <w:szCs w:val="18"/>
                <w:lang w:eastAsia="lv-LV"/>
              </w:rPr>
            </w:pPr>
          </w:p>
        </w:tc>
        <w:tc>
          <w:tcPr>
            <w:tcW w:w="786" w:type="pct"/>
            <w:tcBorders>
              <w:top w:val="single" w:sz="4" w:space="0" w:color="17365D"/>
            </w:tcBorders>
            <w:shd w:val="clear" w:color="auto" w:fill="B9CDE5"/>
            <w:noWrap/>
            <w:vAlign w:val="center"/>
          </w:tcPr>
          <w:p w14:paraId="188D630B" w14:textId="77777777" w:rsidR="00A3314A" w:rsidRPr="00E72168" w:rsidRDefault="00A3314A" w:rsidP="00A3314A">
            <w:pPr>
              <w:spacing w:after="0"/>
              <w:jc w:val="right"/>
              <w:rPr>
                <w:rFonts w:eastAsia="Times New Roman" w:cs="Times New Roman"/>
                <w:color w:val="17365D"/>
                <w:sz w:val="18"/>
                <w:szCs w:val="18"/>
                <w:lang w:eastAsia="lv-LV"/>
              </w:rPr>
            </w:pPr>
          </w:p>
        </w:tc>
        <w:tc>
          <w:tcPr>
            <w:tcW w:w="693" w:type="pct"/>
            <w:gridSpan w:val="2"/>
            <w:tcBorders>
              <w:top w:val="single" w:sz="4" w:space="0" w:color="17365D"/>
            </w:tcBorders>
            <w:shd w:val="clear" w:color="auto" w:fill="B9CDE5"/>
            <w:noWrap/>
            <w:vAlign w:val="center"/>
          </w:tcPr>
          <w:p w14:paraId="031D6CCC" w14:textId="77777777" w:rsidR="00A3314A" w:rsidRPr="00E72168" w:rsidRDefault="00A3314A" w:rsidP="00A3314A">
            <w:pPr>
              <w:spacing w:after="0"/>
              <w:jc w:val="right"/>
              <w:rPr>
                <w:rFonts w:eastAsia="Times New Roman" w:cs="Times New Roman"/>
                <w:color w:val="17365D"/>
                <w:sz w:val="18"/>
                <w:szCs w:val="18"/>
                <w:lang w:eastAsia="lv-LV"/>
              </w:rPr>
            </w:pPr>
          </w:p>
        </w:tc>
        <w:tc>
          <w:tcPr>
            <w:tcW w:w="682" w:type="pct"/>
            <w:tcBorders>
              <w:top w:val="single" w:sz="4" w:space="0" w:color="17365D"/>
            </w:tcBorders>
            <w:shd w:val="clear" w:color="auto" w:fill="B9CDE5"/>
            <w:noWrap/>
            <w:vAlign w:val="center"/>
          </w:tcPr>
          <w:p w14:paraId="1AE392BF" w14:textId="77777777" w:rsidR="00A3314A" w:rsidRPr="00E72168" w:rsidRDefault="00A3314A" w:rsidP="00A3314A">
            <w:pPr>
              <w:spacing w:after="0"/>
              <w:jc w:val="right"/>
              <w:rPr>
                <w:rFonts w:eastAsia="Times New Roman" w:cs="Times New Roman"/>
                <w:color w:val="17365D"/>
                <w:sz w:val="18"/>
                <w:szCs w:val="18"/>
                <w:lang w:eastAsia="lv-LV"/>
              </w:rPr>
            </w:pPr>
          </w:p>
        </w:tc>
      </w:tr>
    </w:tbl>
    <w:p w14:paraId="04185719" w14:textId="49ACA00D" w:rsidR="004E3537" w:rsidRPr="00E72168" w:rsidRDefault="00A07F6B" w:rsidP="000D2C39">
      <w:pPr>
        <w:pStyle w:val="Heading5"/>
      </w:pPr>
      <w:r w:rsidRPr="00E72168">
        <w:t>Piezīme Nr. KB.</w:t>
      </w:r>
      <w:r w:rsidR="00EE7A9E" w:rsidRPr="00E72168">
        <w:t>1.</w:t>
      </w:r>
      <w:r w:rsidRPr="00E72168">
        <w:t>2.</w:t>
      </w:r>
      <w:r w:rsidR="00F60FD9" w:rsidRPr="00E72168" w:rsidDel="007D63EC">
        <w:t>1</w:t>
      </w:r>
      <w:r w:rsidRPr="00E72168">
        <w:t xml:space="preserve">. </w:t>
      </w:r>
      <w:r w:rsidR="005779A0" w:rsidRPr="005779A0">
        <w:t>Pamatlīdzekļu izveidošana un nepabeigtā būvniecība</w:t>
      </w:r>
    </w:p>
    <w:p w14:paraId="757BF006" w14:textId="27A32B54" w:rsidR="00CB3465" w:rsidRPr="00110179" w:rsidRDefault="00C03218" w:rsidP="000D2C39">
      <w:pPr>
        <w:pStyle w:val="Pamatteksts1"/>
      </w:pPr>
      <w:r w:rsidRPr="00110179">
        <w:t>Lielākās i</w:t>
      </w:r>
      <w:r w:rsidR="00CB3465" w:rsidRPr="00110179">
        <w:t>zmaiņas posteņa vērtībā:</w:t>
      </w:r>
    </w:p>
    <w:p w14:paraId="2A4D83EE" w14:textId="74F78CDC" w:rsidR="005779A0" w:rsidRPr="00110179" w:rsidRDefault="005779A0" w:rsidP="000D2C39">
      <w:pPr>
        <w:pStyle w:val="Bullets"/>
      </w:pPr>
      <w:r w:rsidRPr="00110179">
        <w:t>Satiksmes ministrijai</w:t>
      </w:r>
      <w:r w:rsidR="008D6113">
        <w:t xml:space="preserve"> </w:t>
      </w:r>
      <w:r w:rsidRPr="00110179">
        <w:t xml:space="preserve">palielinājums saistībā ar </w:t>
      </w:r>
      <w:r w:rsidRPr="00A14209">
        <w:rPr>
          <w:i/>
          <w:iCs/>
        </w:rPr>
        <w:t xml:space="preserve">Rail </w:t>
      </w:r>
      <w:proofErr w:type="spellStart"/>
      <w:r w:rsidRPr="00A14209">
        <w:rPr>
          <w:i/>
          <w:iCs/>
        </w:rPr>
        <w:t>Baltica</w:t>
      </w:r>
      <w:proofErr w:type="spellEnd"/>
      <w:r w:rsidRPr="00110179">
        <w:t xml:space="preserve"> projekta ietvaros veiktajiem būvniecības darbiem 195,6 milj. </w:t>
      </w:r>
      <w:r w:rsidRPr="00110179">
        <w:rPr>
          <w:i/>
          <w:iCs/>
        </w:rPr>
        <w:t>euro</w:t>
      </w:r>
      <w:r w:rsidRPr="00110179">
        <w:t xml:space="preserve"> apmērā, palielinājums saistībā ar ceļu projektiem 54,5 milj. </w:t>
      </w:r>
      <w:r w:rsidRPr="00110179">
        <w:rPr>
          <w:i/>
          <w:iCs/>
        </w:rPr>
        <w:t>euro</w:t>
      </w:r>
      <w:r w:rsidRPr="00110179">
        <w:t xml:space="preserve"> apmērā</w:t>
      </w:r>
      <w:r w:rsidR="00EC7C86" w:rsidRPr="00110179">
        <w:t>;</w:t>
      </w:r>
    </w:p>
    <w:p w14:paraId="7B243E37" w14:textId="59B27F48" w:rsidR="00EC7C86" w:rsidRPr="00110179" w:rsidRDefault="00EC7C86" w:rsidP="000D2C39">
      <w:pPr>
        <w:pStyle w:val="Bullets"/>
      </w:pPr>
      <w:proofErr w:type="spellStart"/>
      <w:r w:rsidRPr="00110179">
        <w:t>Iekšlietu</w:t>
      </w:r>
      <w:proofErr w:type="spellEnd"/>
      <w:r w:rsidRPr="00110179">
        <w:t xml:space="preserve"> ministrijai palielinājums saistībā ar divdesmit katastrofu pārvaldības centru būvniecību 16,2 milj. </w:t>
      </w:r>
      <w:r w:rsidRPr="00110179">
        <w:rPr>
          <w:i/>
          <w:iCs/>
        </w:rPr>
        <w:t xml:space="preserve">euro </w:t>
      </w:r>
      <w:r w:rsidRPr="00110179">
        <w:t xml:space="preserve">apmērā, Latvijas </w:t>
      </w:r>
      <w:r w:rsidR="00A14209">
        <w:t>–</w:t>
      </w:r>
      <w:r w:rsidRPr="00110179">
        <w:t xml:space="preserve"> Krievijas robežjoslas būvniecību 107,1</w:t>
      </w:r>
      <w:r w:rsidR="00060622">
        <w:t> </w:t>
      </w:r>
      <w:r w:rsidRPr="00110179">
        <w:t>milj.</w:t>
      </w:r>
      <w:r w:rsidR="00060622">
        <w:t> </w:t>
      </w:r>
      <w:r w:rsidRPr="00110179">
        <w:rPr>
          <w:i/>
          <w:iCs/>
        </w:rPr>
        <w:t>euro</w:t>
      </w:r>
      <w:r w:rsidRPr="00110179">
        <w:t xml:space="preserve"> apmērā un Latvijas </w:t>
      </w:r>
      <w:r w:rsidR="00A14209">
        <w:t>–</w:t>
      </w:r>
      <w:r w:rsidRPr="00110179">
        <w:t xml:space="preserve"> Baltkrievijas robežjoslas būvniecību 59,7 milj. </w:t>
      </w:r>
      <w:r w:rsidRPr="00110179">
        <w:rPr>
          <w:i/>
          <w:iCs/>
        </w:rPr>
        <w:t>euro</w:t>
      </w:r>
      <w:r w:rsidRPr="00110179">
        <w:t xml:space="preserve"> apmērā</w:t>
      </w:r>
      <w:r w:rsidR="003F0530" w:rsidRPr="00110179">
        <w:t>;</w:t>
      </w:r>
    </w:p>
    <w:p w14:paraId="4DABF2F8" w14:textId="6E1171B5" w:rsidR="00110179" w:rsidRDefault="00110179" w:rsidP="000D2C39">
      <w:pPr>
        <w:pStyle w:val="Bullets"/>
      </w:pPr>
      <w:r w:rsidRPr="00110179">
        <w:t>Tieslietu ministrijai palielinājums saistībā ar jaunā Liepājas cietuma būvniecību 77,7</w:t>
      </w:r>
      <w:r w:rsidR="00060622">
        <w:t> </w:t>
      </w:r>
      <w:r w:rsidRPr="00110179">
        <w:t>milj.</w:t>
      </w:r>
      <w:r w:rsidR="00060622">
        <w:t> </w:t>
      </w:r>
      <w:r w:rsidRPr="00110179">
        <w:rPr>
          <w:i/>
          <w:iCs/>
        </w:rPr>
        <w:t>euro</w:t>
      </w:r>
      <w:r w:rsidRPr="00110179">
        <w:t xml:space="preserve"> apmērā.</w:t>
      </w:r>
    </w:p>
    <w:p w14:paraId="75620CDF" w14:textId="794DD667" w:rsidR="001147E1" w:rsidRDefault="001147E1" w:rsidP="001147E1">
      <w:pPr>
        <w:pStyle w:val="Heading5"/>
      </w:pPr>
      <w:r w:rsidRPr="001147E1">
        <w:t>Piezīme Nr. KB.1.2.2. Avansa maksājumi par pamatlīdzekļiem</w:t>
      </w:r>
    </w:p>
    <w:p w14:paraId="016ED471" w14:textId="39C20A56" w:rsidR="00770BAF" w:rsidRDefault="00770BAF" w:rsidP="00770BAF">
      <w:pPr>
        <w:pStyle w:val="Pamatteksts1"/>
      </w:pPr>
      <w:r w:rsidRPr="00770BAF">
        <w:t>Lielākās izmaiņas posteņa vērtībā:</w:t>
      </w:r>
    </w:p>
    <w:p w14:paraId="52FE033B" w14:textId="697D4A25" w:rsidR="00770BAF" w:rsidRPr="00872133" w:rsidRDefault="00872133" w:rsidP="00872133">
      <w:pPr>
        <w:pStyle w:val="Bullets"/>
      </w:pPr>
      <w:r w:rsidRPr="00872133">
        <w:t>Aizsardzības ministrijai veikti avansa maksājumi par bezpilota lidaparātu iegādi, pretgaisa aizsardzības sistēmu iegādi, par lidlauka būvēm 161</w:t>
      </w:r>
      <w:r>
        <w:t>,3 milj.</w:t>
      </w:r>
      <w:r w:rsidRPr="00872133">
        <w:t xml:space="preserve"> </w:t>
      </w:r>
      <w:r w:rsidRPr="00872133">
        <w:rPr>
          <w:i/>
          <w:iCs/>
        </w:rPr>
        <w:t>euro</w:t>
      </w:r>
      <w:r w:rsidRPr="00872133">
        <w:t xml:space="preserve"> apmērā, par militārās transporta tehnikas iegādi 14</w:t>
      </w:r>
      <w:r>
        <w:t>,</w:t>
      </w:r>
      <w:r w:rsidRPr="00872133">
        <w:t>9</w:t>
      </w:r>
      <w:r>
        <w:t xml:space="preserve"> milj. </w:t>
      </w:r>
      <w:r w:rsidRPr="00872133">
        <w:rPr>
          <w:i/>
          <w:iCs/>
        </w:rPr>
        <w:t>euro</w:t>
      </w:r>
      <w:r w:rsidRPr="00872133">
        <w:t xml:space="preserve"> apmērā</w:t>
      </w:r>
      <w:r w:rsidR="00770BAF" w:rsidRPr="00872133">
        <w:t>;</w:t>
      </w:r>
    </w:p>
    <w:p w14:paraId="4A950C19" w14:textId="4651C94A" w:rsidR="00770BAF" w:rsidRDefault="0096231F" w:rsidP="00770BAF">
      <w:pPr>
        <w:pStyle w:val="Bullets"/>
      </w:pPr>
      <w:r w:rsidRPr="0096231F">
        <w:t xml:space="preserve">Aizsardzības ministrijai samazinājums </w:t>
      </w:r>
      <w:r w:rsidR="00A14209">
        <w:t xml:space="preserve">(53,7) milj. </w:t>
      </w:r>
      <w:r w:rsidR="00A14209" w:rsidRPr="0096231F">
        <w:rPr>
          <w:i/>
          <w:iCs/>
        </w:rPr>
        <w:t>euro</w:t>
      </w:r>
      <w:r w:rsidR="00A14209">
        <w:t xml:space="preserve"> apmērā</w:t>
      </w:r>
      <w:r w:rsidR="00A14209" w:rsidRPr="0096231F">
        <w:t xml:space="preserve"> </w:t>
      </w:r>
      <w:r w:rsidRPr="0096231F">
        <w:t>saistīts ar pamatlīdzekļu izveidošanu</w:t>
      </w:r>
      <w:r w:rsidR="00A14209">
        <w:t xml:space="preserve"> </w:t>
      </w:r>
      <w:r w:rsidRPr="0096231F">
        <w:t xml:space="preserve">(muzeja </w:t>
      </w:r>
      <w:proofErr w:type="spellStart"/>
      <w:r w:rsidRPr="0096231F">
        <w:t>pamatekspozīcija</w:t>
      </w:r>
      <w:proofErr w:type="spellEnd"/>
      <w:r w:rsidRPr="0096231F">
        <w:t>, bezpilota lidaparāti, ugunsdzēsības transportlīdzeklis un aprīkojums)</w:t>
      </w:r>
      <w:r>
        <w:t>;</w:t>
      </w:r>
    </w:p>
    <w:p w14:paraId="368CE0E1" w14:textId="28F7093B" w:rsidR="00770BAF" w:rsidRDefault="00AA7820" w:rsidP="00C7199B">
      <w:pPr>
        <w:pStyle w:val="Bullets"/>
      </w:pPr>
      <w:proofErr w:type="spellStart"/>
      <w:r w:rsidRPr="00AA7820">
        <w:t>Iekšlietu</w:t>
      </w:r>
      <w:proofErr w:type="spellEnd"/>
      <w:r w:rsidRPr="00AA7820">
        <w:t xml:space="preserve"> ministrijai palielinājums saistībā ar tehnoloģiskās infrastruktūras izbūvi</w:t>
      </w:r>
      <w:r>
        <w:t xml:space="preserve"> </w:t>
      </w:r>
      <w:r w:rsidRPr="00AA7820">
        <w:t>35</w:t>
      </w:r>
      <w:r>
        <w:t>,</w:t>
      </w:r>
      <w:r w:rsidRPr="00AA7820">
        <w:t>8</w:t>
      </w:r>
      <w:r w:rsidR="00A14209">
        <w:t> </w:t>
      </w:r>
      <w:r>
        <w:t>milj.</w:t>
      </w:r>
      <w:r w:rsidR="00060622">
        <w:t> </w:t>
      </w:r>
      <w:r w:rsidRPr="00AA7820">
        <w:rPr>
          <w:i/>
          <w:iCs/>
        </w:rPr>
        <w:t xml:space="preserve">euro </w:t>
      </w:r>
      <w:r w:rsidRPr="00AA7820">
        <w:t>apmērā</w:t>
      </w:r>
      <w:r>
        <w:t xml:space="preserve"> un </w:t>
      </w:r>
      <w:r w:rsidRPr="00AA7820">
        <w:t xml:space="preserve">palielinājums saistībā ar Latvijas </w:t>
      </w:r>
      <w:r w:rsidR="00A14209">
        <w:t>–</w:t>
      </w:r>
      <w:r w:rsidRPr="00AA7820">
        <w:t xml:space="preserve"> Krievijas robežjoslas būvniecību</w:t>
      </w:r>
      <w:r>
        <w:t xml:space="preserve"> </w:t>
      </w:r>
      <w:r w:rsidRPr="00AA7820">
        <w:t>18</w:t>
      </w:r>
      <w:r>
        <w:t xml:space="preserve">,7 milj. </w:t>
      </w:r>
      <w:r w:rsidRPr="00AA7820">
        <w:rPr>
          <w:i/>
          <w:iCs/>
        </w:rPr>
        <w:t xml:space="preserve">euro </w:t>
      </w:r>
      <w:r w:rsidRPr="003025A8">
        <w:t>apmērā.</w:t>
      </w:r>
    </w:p>
    <w:p w14:paraId="634FD442" w14:textId="77777777" w:rsidR="002A2F6E" w:rsidRDefault="002A2F6E" w:rsidP="000D2C39">
      <w:pPr>
        <w:pStyle w:val="Pamatteksts1"/>
      </w:pPr>
    </w:p>
    <w:p w14:paraId="34D5FAC9" w14:textId="2B2FC972" w:rsidR="00F804EB" w:rsidRDefault="00EB6D0B" w:rsidP="000D2C39">
      <w:pPr>
        <w:pStyle w:val="Pamatteksts1"/>
      </w:pPr>
      <w:r w:rsidRPr="003025A8">
        <w:t>Pārskata gadā valsts un pašvaldību īpašum</w:t>
      </w:r>
      <w:r w:rsidR="00D83F1B" w:rsidRPr="003025A8">
        <w:t>os</w:t>
      </w:r>
      <w:r w:rsidRPr="003025A8">
        <w:t xml:space="preserve"> veikti kapitālsabiedrību ieguldījumi, kas nav iekļauti pamatlīdzekļu uzskaites vērtībā:</w:t>
      </w:r>
    </w:p>
    <w:p w14:paraId="4DA1D356" w14:textId="0FA56605" w:rsidR="00F804EB" w:rsidRPr="00E72168" w:rsidRDefault="00CA5D9A" w:rsidP="00CF79A6">
      <w:pPr>
        <w:pStyle w:val="Tabulasnosaukums1"/>
        <w:spacing w:before="120"/>
        <w:rPr>
          <w:rFonts w:cs="Times New Roman"/>
          <w:i/>
          <w:color w:val="17365D"/>
        </w:rPr>
      </w:pPr>
      <w:r>
        <w:rPr>
          <w:rFonts w:cs="Times New Roman"/>
          <w:i/>
          <w:color w:val="17365D"/>
        </w:rPr>
        <w:t>1.</w:t>
      </w:r>
      <w:r w:rsidR="00031CD6" w:rsidRPr="00E72168">
        <w:rPr>
          <w:rFonts w:cs="Times New Roman"/>
          <w:i/>
          <w:color w:val="17365D"/>
        </w:rPr>
        <w:t>4</w:t>
      </w:r>
      <w:r w:rsidR="00CF79A6" w:rsidRPr="00E72168">
        <w:rPr>
          <w:rFonts w:cs="Times New Roman"/>
          <w:i/>
          <w:color w:val="17365D"/>
        </w:rPr>
        <w:t>. tabula.</w:t>
      </w:r>
      <w:r w:rsidR="00CF79A6" w:rsidRPr="00E72168">
        <w:rPr>
          <w:rFonts w:cs="Times New Roman"/>
          <w:i/>
          <w:color w:val="17365D"/>
          <w:lang w:eastAsia="lv-LV"/>
        </w:rPr>
        <w:t xml:space="preserve"> Informācija par kapitālsabiedrību ieguldījumu valsts vai pašvaldības īpašumā </w:t>
      </w:r>
      <w:r w:rsidR="00CF79A6" w:rsidRPr="00E72168">
        <w:rPr>
          <w:rFonts w:eastAsia="Times New Roman" w:cs="Times New Roman"/>
          <w:i/>
          <w:color w:val="17365D"/>
          <w:szCs w:val="20"/>
          <w:lang w:eastAsia="lv-LV"/>
        </w:rPr>
        <w:t>(euro)</w:t>
      </w:r>
    </w:p>
    <w:tbl>
      <w:tblPr>
        <w:tblW w:w="5000" w:type="pct"/>
        <w:tblLayout w:type="fixed"/>
        <w:tblLook w:val="04A0" w:firstRow="1" w:lastRow="0" w:firstColumn="1" w:lastColumn="0" w:noHBand="0" w:noVBand="1"/>
      </w:tblPr>
      <w:tblGrid>
        <w:gridCol w:w="2552"/>
        <w:gridCol w:w="1843"/>
        <w:gridCol w:w="1560"/>
        <w:gridCol w:w="140"/>
        <w:gridCol w:w="142"/>
        <w:gridCol w:w="1416"/>
        <w:gridCol w:w="1701"/>
      </w:tblGrid>
      <w:tr w:rsidR="00624760" w:rsidRPr="00E72168" w14:paraId="1D31E7BF" w14:textId="6FB69681" w:rsidTr="00624760">
        <w:trPr>
          <w:trHeight w:val="283"/>
          <w:tblHeader/>
        </w:trPr>
        <w:tc>
          <w:tcPr>
            <w:tcW w:w="1364" w:type="pct"/>
            <w:vMerge w:val="restart"/>
            <w:shd w:val="clear" w:color="auto" w:fill="B9CDE5"/>
            <w:vAlign w:val="center"/>
            <w:hideMark/>
          </w:tcPr>
          <w:p w14:paraId="6E14D756" w14:textId="540013A6" w:rsidR="00624760" w:rsidRPr="00E72168" w:rsidRDefault="00624760" w:rsidP="006010C8">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1819" w:type="pct"/>
            <w:gridSpan w:val="2"/>
            <w:tcBorders>
              <w:bottom w:val="single" w:sz="4" w:space="0" w:color="auto"/>
            </w:tcBorders>
            <w:shd w:val="clear" w:color="auto" w:fill="B9CDE5"/>
            <w:vAlign w:val="center"/>
            <w:hideMark/>
          </w:tcPr>
          <w:p w14:paraId="39369F84" w14:textId="1D04FC1B" w:rsidR="00624760" w:rsidRPr="00E72168" w:rsidRDefault="00624760" w:rsidP="0039076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Kapitālsabiedrības ieguldījums</w:t>
            </w:r>
          </w:p>
        </w:tc>
        <w:tc>
          <w:tcPr>
            <w:tcW w:w="151" w:type="pct"/>
            <w:gridSpan w:val="2"/>
            <w:shd w:val="clear" w:color="auto" w:fill="B9CDE5"/>
            <w:vAlign w:val="center"/>
            <w:hideMark/>
          </w:tcPr>
          <w:p w14:paraId="546FFBD5" w14:textId="4E507513" w:rsidR="00624760" w:rsidRPr="00E72168" w:rsidRDefault="00624760" w:rsidP="0039076C">
            <w:pPr>
              <w:spacing w:after="0"/>
              <w:jc w:val="center"/>
              <w:rPr>
                <w:rFonts w:eastAsia="Times New Roman" w:cs="Times New Roman"/>
                <w:b/>
                <w:color w:val="17365D"/>
                <w:sz w:val="18"/>
                <w:szCs w:val="18"/>
                <w:lang w:eastAsia="lv-LV"/>
              </w:rPr>
            </w:pPr>
          </w:p>
        </w:tc>
        <w:tc>
          <w:tcPr>
            <w:tcW w:w="1666" w:type="pct"/>
            <w:gridSpan w:val="2"/>
            <w:tcBorders>
              <w:bottom w:val="single" w:sz="4" w:space="0" w:color="auto"/>
            </w:tcBorders>
            <w:shd w:val="clear" w:color="auto" w:fill="B9CDE5"/>
            <w:vAlign w:val="center"/>
          </w:tcPr>
          <w:p w14:paraId="4AB8D6F6" w14:textId="523B78C4" w:rsidR="00624760" w:rsidRPr="00E72168" w:rsidRDefault="00624760" w:rsidP="0039076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Uzskaites vērtība</w:t>
            </w:r>
          </w:p>
        </w:tc>
      </w:tr>
      <w:tr w:rsidR="003F0D49" w:rsidRPr="00E72168" w14:paraId="720C83FE" w14:textId="77777777" w:rsidTr="009A4177">
        <w:trPr>
          <w:trHeight w:val="439"/>
          <w:tblHeader/>
        </w:trPr>
        <w:tc>
          <w:tcPr>
            <w:tcW w:w="1364" w:type="pct"/>
            <w:vMerge/>
            <w:tcBorders>
              <w:bottom w:val="single" w:sz="4" w:space="0" w:color="17365D"/>
            </w:tcBorders>
            <w:shd w:val="clear" w:color="auto" w:fill="B9CDE5"/>
            <w:vAlign w:val="center"/>
          </w:tcPr>
          <w:p w14:paraId="51FA2495" w14:textId="77777777" w:rsidR="003F0D49" w:rsidRPr="00E72168" w:rsidRDefault="003F0D49" w:rsidP="006010C8">
            <w:pPr>
              <w:spacing w:after="0"/>
              <w:jc w:val="center"/>
              <w:rPr>
                <w:rFonts w:eastAsia="Times New Roman" w:cs="Times New Roman"/>
                <w:b/>
                <w:color w:val="17365D"/>
                <w:sz w:val="18"/>
                <w:szCs w:val="18"/>
                <w:lang w:eastAsia="lv-LV"/>
              </w:rPr>
            </w:pPr>
          </w:p>
        </w:tc>
        <w:tc>
          <w:tcPr>
            <w:tcW w:w="985" w:type="pct"/>
            <w:tcBorders>
              <w:bottom w:val="single" w:sz="4" w:space="0" w:color="17365D"/>
            </w:tcBorders>
            <w:shd w:val="clear" w:color="auto" w:fill="B9CDE5"/>
            <w:vAlign w:val="center"/>
          </w:tcPr>
          <w:p w14:paraId="045A3935" w14:textId="2E543415" w:rsidR="003F0D49" w:rsidRPr="00E72168" w:rsidRDefault="004B0108">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periodā</w:t>
            </w:r>
          </w:p>
        </w:tc>
        <w:tc>
          <w:tcPr>
            <w:tcW w:w="909" w:type="pct"/>
            <w:gridSpan w:val="2"/>
            <w:tcBorders>
              <w:bottom w:val="single" w:sz="4" w:space="0" w:color="17365D"/>
            </w:tcBorders>
            <w:shd w:val="clear" w:color="auto" w:fill="B9CDE5"/>
          </w:tcPr>
          <w:p w14:paraId="2ECCCA70" w14:textId="03356DBD" w:rsidR="003F0D49" w:rsidRPr="00E72168" w:rsidRDefault="004B010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iepriekšējā pārskata periodā </w:t>
            </w:r>
          </w:p>
        </w:tc>
        <w:tc>
          <w:tcPr>
            <w:tcW w:w="833" w:type="pct"/>
            <w:gridSpan w:val="2"/>
            <w:tcBorders>
              <w:bottom w:val="single" w:sz="4" w:space="0" w:color="17365D"/>
            </w:tcBorders>
            <w:shd w:val="clear" w:color="auto" w:fill="B9CDE5"/>
            <w:vAlign w:val="center"/>
          </w:tcPr>
          <w:p w14:paraId="0D400B63" w14:textId="7B824E62" w:rsidR="003F0D49" w:rsidRPr="00E72168" w:rsidRDefault="003F0D49">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909" w:type="pct"/>
            <w:tcBorders>
              <w:bottom w:val="single" w:sz="4" w:space="0" w:color="17365D"/>
            </w:tcBorders>
            <w:shd w:val="clear" w:color="auto" w:fill="B9CDE5"/>
            <w:vAlign w:val="center"/>
          </w:tcPr>
          <w:p w14:paraId="6D019DB8" w14:textId="37E088B6" w:rsidR="003F0D49" w:rsidRPr="00E72168" w:rsidRDefault="003F0D49">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r>
      <w:tr w:rsidR="000C1009" w:rsidRPr="00E72168" w14:paraId="3451D441" w14:textId="301B7E33" w:rsidTr="009A4177">
        <w:trPr>
          <w:trHeight w:val="223"/>
        </w:trPr>
        <w:tc>
          <w:tcPr>
            <w:tcW w:w="1364" w:type="pct"/>
            <w:tcBorders>
              <w:top w:val="single" w:sz="4" w:space="0" w:color="17365D"/>
              <w:bottom w:val="single" w:sz="4" w:space="0" w:color="17365D"/>
            </w:tcBorders>
            <w:shd w:val="clear" w:color="auto" w:fill="auto"/>
            <w:vAlign w:val="center"/>
            <w:hideMark/>
          </w:tcPr>
          <w:p w14:paraId="1E9455D8" w14:textId="77777777" w:rsidR="00C74879" w:rsidRPr="00E72168" w:rsidRDefault="00C74879" w:rsidP="006010C8">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985" w:type="pct"/>
            <w:tcBorders>
              <w:top w:val="single" w:sz="4" w:space="0" w:color="17365D"/>
              <w:bottom w:val="single" w:sz="4" w:space="0" w:color="17365D"/>
            </w:tcBorders>
            <w:shd w:val="clear" w:color="auto" w:fill="auto"/>
            <w:vAlign w:val="center"/>
            <w:hideMark/>
          </w:tcPr>
          <w:p w14:paraId="3BADEF93" w14:textId="53492A71" w:rsidR="00C74879" w:rsidRPr="00E72168" w:rsidRDefault="00C74879"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909" w:type="pct"/>
            <w:gridSpan w:val="2"/>
            <w:tcBorders>
              <w:top w:val="single" w:sz="4" w:space="0" w:color="17365D"/>
              <w:bottom w:val="single" w:sz="4" w:space="0" w:color="17365D"/>
            </w:tcBorders>
          </w:tcPr>
          <w:p w14:paraId="7C31B683" w14:textId="19414FC6" w:rsidR="00C74879" w:rsidRPr="00E72168" w:rsidRDefault="00C74879"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833" w:type="pct"/>
            <w:gridSpan w:val="2"/>
            <w:tcBorders>
              <w:top w:val="single" w:sz="4" w:space="0" w:color="17365D"/>
              <w:bottom w:val="single" w:sz="4" w:space="0" w:color="17365D"/>
            </w:tcBorders>
            <w:shd w:val="clear" w:color="auto" w:fill="auto"/>
            <w:vAlign w:val="center"/>
            <w:hideMark/>
          </w:tcPr>
          <w:p w14:paraId="1ACCA568" w14:textId="1AAC3CFD" w:rsidR="00C74879" w:rsidRPr="00E72168" w:rsidRDefault="00C74879"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909" w:type="pct"/>
            <w:tcBorders>
              <w:top w:val="single" w:sz="4" w:space="0" w:color="17365D"/>
              <w:bottom w:val="single" w:sz="4" w:space="0" w:color="17365D"/>
            </w:tcBorders>
            <w:vAlign w:val="center"/>
          </w:tcPr>
          <w:p w14:paraId="29C53469" w14:textId="15D328F8" w:rsidR="00C74879" w:rsidRPr="00E72168" w:rsidRDefault="00C74879"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3025A8" w:rsidRPr="00E72168" w14:paraId="7F83D5E5" w14:textId="0D78575F" w:rsidTr="009A4177">
        <w:trPr>
          <w:trHeight w:val="264"/>
        </w:trPr>
        <w:tc>
          <w:tcPr>
            <w:tcW w:w="1364" w:type="pct"/>
            <w:tcBorders>
              <w:top w:val="single" w:sz="4" w:space="0" w:color="17365D"/>
              <w:bottom w:val="single" w:sz="4" w:space="0" w:color="17365D"/>
            </w:tcBorders>
            <w:shd w:val="clear" w:color="auto" w:fill="auto"/>
            <w:vAlign w:val="center"/>
            <w:hideMark/>
          </w:tcPr>
          <w:p w14:paraId="42489AEE" w14:textId="76A32CF5" w:rsidR="003025A8" w:rsidRPr="00E72168" w:rsidRDefault="003025A8" w:rsidP="003025A8">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Pamatlīdzekļi</w:t>
            </w:r>
          </w:p>
        </w:tc>
        <w:tc>
          <w:tcPr>
            <w:tcW w:w="985" w:type="pct"/>
            <w:tcBorders>
              <w:top w:val="single" w:sz="4" w:space="0" w:color="17365D"/>
              <w:bottom w:val="single" w:sz="4" w:space="0" w:color="17365D"/>
            </w:tcBorders>
            <w:shd w:val="clear" w:color="auto" w:fill="auto"/>
            <w:vAlign w:val="center"/>
            <w:hideMark/>
          </w:tcPr>
          <w:p w14:paraId="766C63B7" w14:textId="6465D32C" w:rsidR="003025A8" w:rsidRPr="003025A8" w:rsidRDefault="003025A8" w:rsidP="003025A8">
            <w:pPr>
              <w:spacing w:after="0" w:line="240" w:lineRule="auto"/>
              <w:jc w:val="right"/>
              <w:rPr>
                <w:rFonts w:cs="Times New Roman"/>
                <w:b/>
                <w:bCs/>
                <w:color w:val="17365D"/>
                <w:sz w:val="18"/>
                <w:szCs w:val="18"/>
              </w:rPr>
            </w:pPr>
            <w:r w:rsidRPr="003025A8">
              <w:rPr>
                <w:rFonts w:cs="Times New Roman"/>
                <w:b/>
                <w:bCs/>
                <w:color w:val="17365D"/>
                <w:sz w:val="18"/>
                <w:szCs w:val="18"/>
              </w:rPr>
              <w:t>8 415 065</w:t>
            </w:r>
          </w:p>
        </w:tc>
        <w:tc>
          <w:tcPr>
            <w:tcW w:w="909" w:type="pct"/>
            <w:gridSpan w:val="2"/>
            <w:tcBorders>
              <w:top w:val="single" w:sz="4" w:space="0" w:color="17365D"/>
              <w:bottom w:val="single" w:sz="4" w:space="0" w:color="17365D"/>
            </w:tcBorders>
            <w:vAlign w:val="center"/>
          </w:tcPr>
          <w:p w14:paraId="4C748180" w14:textId="43099953" w:rsidR="003025A8" w:rsidRPr="003025A8" w:rsidRDefault="003025A8" w:rsidP="003025A8">
            <w:pPr>
              <w:spacing w:after="0"/>
              <w:jc w:val="right"/>
              <w:rPr>
                <w:rFonts w:cs="Times New Roman"/>
                <w:b/>
                <w:bCs/>
                <w:color w:val="17365D"/>
                <w:sz w:val="18"/>
                <w:szCs w:val="18"/>
              </w:rPr>
            </w:pPr>
            <w:r w:rsidRPr="003025A8">
              <w:rPr>
                <w:rFonts w:cs="Times New Roman"/>
                <w:b/>
                <w:bCs/>
                <w:color w:val="17365D"/>
                <w:sz w:val="18"/>
                <w:szCs w:val="18"/>
              </w:rPr>
              <w:t>20 586 721</w:t>
            </w:r>
          </w:p>
        </w:tc>
        <w:tc>
          <w:tcPr>
            <w:tcW w:w="833" w:type="pct"/>
            <w:gridSpan w:val="2"/>
            <w:tcBorders>
              <w:top w:val="single" w:sz="4" w:space="0" w:color="17365D"/>
              <w:bottom w:val="single" w:sz="4" w:space="0" w:color="17365D"/>
            </w:tcBorders>
            <w:shd w:val="clear" w:color="auto" w:fill="auto"/>
            <w:vAlign w:val="center"/>
            <w:hideMark/>
          </w:tcPr>
          <w:p w14:paraId="373A59B8" w14:textId="10FEE73F" w:rsidR="003025A8" w:rsidRPr="003025A8" w:rsidRDefault="003025A8" w:rsidP="003025A8">
            <w:pPr>
              <w:spacing w:after="0" w:line="240" w:lineRule="auto"/>
              <w:jc w:val="right"/>
              <w:rPr>
                <w:rFonts w:cs="Times New Roman"/>
                <w:b/>
                <w:bCs/>
                <w:color w:val="17365D"/>
                <w:sz w:val="18"/>
                <w:szCs w:val="18"/>
              </w:rPr>
            </w:pPr>
            <w:r w:rsidRPr="003025A8">
              <w:rPr>
                <w:rFonts w:cs="Times New Roman"/>
                <w:b/>
                <w:bCs/>
                <w:color w:val="17365D"/>
                <w:sz w:val="18"/>
                <w:szCs w:val="18"/>
              </w:rPr>
              <w:t>606 044 345</w:t>
            </w:r>
          </w:p>
        </w:tc>
        <w:tc>
          <w:tcPr>
            <w:tcW w:w="909" w:type="pct"/>
            <w:tcBorders>
              <w:top w:val="single" w:sz="4" w:space="0" w:color="17365D"/>
              <w:bottom w:val="single" w:sz="4" w:space="0" w:color="17365D"/>
            </w:tcBorders>
            <w:vAlign w:val="center"/>
          </w:tcPr>
          <w:p w14:paraId="5CBC85F7" w14:textId="1D15357E" w:rsidR="003025A8" w:rsidRPr="003025A8" w:rsidRDefault="003025A8" w:rsidP="003025A8">
            <w:pPr>
              <w:spacing w:after="0" w:line="240" w:lineRule="auto"/>
              <w:jc w:val="right"/>
              <w:rPr>
                <w:rFonts w:cs="Times New Roman"/>
                <w:b/>
                <w:bCs/>
                <w:color w:val="17365D"/>
                <w:sz w:val="18"/>
                <w:szCs w:val="18"/>
              </w:rPr>
            </w:pPr>
            <w:r w:rsidRPr="003025A8">
              <w:rPr>
                <w:rFonts w:cs="Times New Roman"/>
                <w:b/>
                <w:bCs/>
                <w:color w:val="17365D"/>
                <w:sz w:val="18"/>
                <w:szCs w:val="18"/>
              </w:rPr>
              <w:t>669 629 866</w:t>
            </w:r>
          </w:p>
        </w:tc>
      </w:tr>
      <w:tr w:rsidR="003025A8" w:rsidRPr="00E72168" w14:paraId="121595BD" w14:textId="476C463F" w:rsidTr="009A4177">
        <w:trPr>
          <w:trHeight w:val="54"/>
        </w:trPr>
        <w:tc>
          <w:tcPr>
            <w:tcW w:w="1364" w:type="pct"/>
            <w:tcBorders>
              <w:top w:val="single" w:sz="4" w:space="0" w:color="17365D"/>
              <w:bottom w:val="single" w:sz="4" w:space="0" w:color="17365D"/>
            </w:tcBorders>
            <w:shd w:val="clear" w:color="auto" w:fill="auto"/>
            <w:vAlign w:val="center"/>
            <w:hideMark/>
          </w:tcPr>
          <w:p w14:paraId="7FB1AE32" w14:textId="4DE7F596" w:rsidR="003025A8" w:rsidRPr="00E72168" w:rsidRDefault="003025A8" w:rsidP="003025A8">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Turējumā nodotie valsts un pašvaldību īpašumi</w:t>
            </w:r>
          </w:p>
        </w:tc>
        <w:tc>
          <w:tcPr>
            <w:tcW w:w="985" w:type="pct"/>
            <w:tcBorders>
              <w:top w:val="single" w:sz="4" w:space="0" w:color="17365D"/>
              <w:bottom w:val="single" w:sz="4" w:space="0" w:color="17365D"/>
            </w:tcBorders>
            <w:shd w:val="clear" w:color="auto" w:fill="auto"/>
            <w:noWrap/>
            <w:vAlign w:val="center"/>
            <w:hideMark/>
          </w:tcPr>
          <w:p w14:paraId="5E74A5AE" w14:textId="76E76F9F" w:rsidR="003025A8" w:rsidRPr="003025A8" w:rsidRDefault="003025A8" w:rsidP="003025A8">
            <w:pPr>
              <w:spacing w:after="0" w:line="240" w:lineRule="auto"/>
              <w:jc w:val="right"/>
              <w:rPr>
                <w:rFonts w:cs="Times New Roman"/>
                <w:color w:val="17365D"/>
                <w:sz w:val="18"/>
                <w:szCs w:val="18"/>
              </w:rPr>
            </w:pPr>
            <w:r w:rsidRPr="003025A8">
              <w:rPr>
                <w:rFonts w:cs="Times New Roman"/>
                <w:color w:val="17365D"/>
                <w:sz w:val="18"/>
                <w:szCs w:val="18"/>
              </w:rPr>
              <w:t>8 415 065</w:t>
            </w:r>
          </w:p>
        </w:tc>
        <w:tc>
          <w:tcPr>
            <w:tcW w:w="909" w:type="pct"/>
            <w:gridSpan w:val="2"/>
            <w:tcBorders>
              <w:top w:val="single" w:sz="4" w:space="0" w:color="17365D"/>
              <w:bottom w:val="single" w:sz="4" w:space="0" w:color="17365D"/>
            </w:tcBorders>
            <w:vAlign w:val="center"/>
          </w:tcPr>
          <w:p w14:paraId="007DADF6" w14:textId="79BB75D2" w:rsidR="003025A8" w:rsidRPr="003025A8" w:rsidRDefault="003025A8" w:rsidP="003025A8">
            <w:pPr>
              <w:spacing w:after="0"/>
              <w:jc w:val="right"/>
              <w:rPr>
                <w:rFonts w:cs="Times New Roman"/>
                <w:color w:val="17365D"/>
                <w:sz w:val="18"/>
                <w:szCs w:val="18"/>
              </w:rPr>
            </w:pPr>
            <w:r w:rsidRPr="003025A8">
              <w:rPr>
                <w:rFonts w:cs="Times New Roman"/>
                <w:color w:val="17365D"/>
                <w:sz w:val="18"/>
                <w:szCs w:val="18"/>
              </w:rPr>
              <w:t>20 586 721</w:t>
            </w:r>
          </w:p>
        </w:tc>
        <w:tc>
          <w:tcPr>
            <w:tcW w:w="833" w:type="pct"/>
            <w:gridSpan w:val="2"/>
            <w:tcBorders>
              <w:top w:val="single" w:sz="4" w:space="0" w:color="17365D"/>
              <w:bottom w:val="single" w:sz="4" w:space="0" w:color="17365D"/>
            </w:tcBorders>
            <w:shd w:val="clear" w:color="auto" w:fill="auto"/>
            <w:vAlign w:val="center"/>
            <w:hideMark/>
          </w:tcPr>
          <w:p w14:paraId="3C04E53E" w14:textId="56FADBDD" w:rsidR="003025A8" w:rsidRPr="003025A8" w:rsidRDefault="003025A8" w:rsidP="003025A8">
            <w:pPr>
              <w:spacing w:after="0" w:line="240" w:lineRule="auto"/>
              <w:jc w:val="right"/>
              <w:rPr>
                <w:rFonts w:cs="Times New Roman"/>
                <w:color w:val="17365D"/>
                <w:sz w:val="18"/>
                <w:szCs w:val="18"/>
              </w:rPr>
            </w:pPr>
            <w:r w:rsidRPr="003025A8">
              <w:rPr>
                <w:rFonts w:cs="Times New Roman"/>
                <w:color w:val="17365D"/>
                <w:sz w:val="18"/>
                <w:szCs w:val="18"/>
              </w:rPr>
              <w:t>606 044 345</w:t>
            </w:r>
          </w:p>
        </w:tc>
        <w:tc>
          <w:tcPr>
            <w:tcW w:w="909" w:type="pct"/>
            <w:tcBorders>
              <w:top w:val="single" w:sz="4" w:space="0" w:color="17365D"/>
              <w:bottom w:val="single" w:sz="4" w:space="0" w:color="17365D"/>
            </w:tcBorders>
            <w:vAlign w:val="center"/>
          </w:tcPr>
          <w:p w14:paraId="1FCFBFD9" w14:textId="3347B0A2" w:rsidR="003025A8" w:rsidRPr="003025A8" w:rsidRDefault="003025A8" w:rsidP="003025A8">
            <w:pPr>
              <w:spacing w:after="0" w:line="240" w:lineRule="auto"/>
              <w:jc w:val="right"/>
              <w:rPr>
                <w:rFonts w:cs="Times New Roman"/>
                <w:color w:val="17365D"/>
                <w:sz w:val="18"/>
                <w:szCs w:val="18"/>
              </w:rPr>
            </w:pPr>
            <w:r w:rsidRPr="003025A8">
              <w:rPr>
                <w:rFonts w:cs="Times New Roman"/>
                <w:color w:val="17365D"/>
                <w:sz w:val="18"/>
                <w:szCs w:val="18"/>
              </w:rPr>
              <w:t>669 629 866</w:t>
            </w:r>
          </w:p>
        </w:tc>
      </w:tr>
      <w:tr w:rsidR="000C1009" w:rsidRPr="00E72168" w14:paraId="308C18A7" w14:textId="7FFF9CF4" w:rsidTr="009A4177">
        <w:trPr>
          <w:trHeight w:val="202"/>
        </w:trPr>
        <w:tc>
          <w:tcPr>
            <w:tcW w:w="1364" w:type="pct"/>
            <w:tcBorders>
              <w:top w:val="single" w:sz="4" w:space="0" w:color="17365D"/>
            </w:tcBorders>
            <w:shd w:val="clear" w:color="auto" w:fill="B9CDE5"/>
            <w:vAlign w:val="center"/>
          </w:tcPr>
          <w:p w14:paraId="497B1832" w14:textId="77777777" w:rsidR="00C74879" w:rsidRPr="00E72168" w:rsidRDefault="00C74879" w:rsidP="00CF79A6">
            <w:pPr>
              <w:spacing w:after="0"/>
              <w:rPr>
                <w:rFonts w:eastAsia="Times New Roman" w:cs="Times New Roman"/>
                <w:color w:val="17365D"/>
                <w:sz w:val="18"/>
                <w:szCs w:val="18"/>
                <w:lang w:eastAsia="lv-LV"/>
              </w:rPr>
            </w:pPr>
          </w:p>
        </w:tc>
        <w:tc>
          <w:tcPr>
            <w:tcW w:w="985" w:type="pct"/>
            <w:tcBorders>
              <w:top w:val="single" w:sz="4" w:space="0" w:color="17365D"/>
            </w:tcBorders>
            <w:shd w:val="clear" w:color="auto" w:fill="B9CDE5"/>
            <w:noWrap/>
            <w:vAlign w:val="center"/>
          </w:tcPr>
          <w:p w14:paraId="125C1361" w14:textId="77777777" w:rsidR="00C74879" w:rsidRPr="00E72168" w:rsidRDefault="00C74879" w:rsidP="00CF79A6">
            <w:pPr>
              <w:spacing w:after="0"/>
              <w:jc w:val="center"/>
              <w:rPr>
                <w:rFonts w:eastAsia="Times New Roman" w:cs="Times New Roman"/>
                <w:color w:val="17365D"/>
                <w:sz w:val="18"/>
                <w:szCs w:val="18"/>
                <w:lang w:eastAsia="lv-LV"/>
              </w:rPr>
            </w:pPr>
          </w:p>
        </w:tc>
        <w:tc>
          <w:tcPr>
            <w:tcW w:w="909" w:type="pct"/>
            <w:gridSpan w:val="2"/>
            <w:tcBorders>
              <w:top w:val="single" w:sz="4" w:space="0" w:color="17365D"/>
            </w:tcBorders>
            <w:shd w:val="clear" w:color="auto" w:fill="B9CDE5"/>
          </w:tcPr>
          <w:p w14:paraId="182A9BAB" w14:textId="77777777" w:rsidR="00C74879" w:rsidRPr="00E72168" w:rsidRDefault="00C74879" w:rsidP="0039076C">
            <w:pPr>
              <w:spacing w:after="0"/>
              <w:jc w:val="center"/>
              <w:rPr>
                <w:rFonts w:eastAsia="Times New Roman" w:cs="Times New Roman"/>
                <w:b/>
                <w:color w:val="17365D"/>
                <w:sz w:val="18"/>
                <w:szCs w:val="18"/>
                <w:lang w:eastAsia="lv-LV"/>
              </w:rPr>
            </w:pPr>
          </w:p>
        </w:tc>
        <w:tc>
          <w:tcPr>
            <w:tcW w:w="833" w:type="pct"/>
            <w:gridSpan w:val="2"/>
            <w:tcBorders>
              <w:top w:val="single" w:sz="4" w:space="0" w:color="17365D"/>
            </w:tcBorders>
            <w:shd w:val="clear" w:color="auto" w:fill="B9CDE5"/>
            <w:noWrap/>
            <w:vAlign w:val="center"/>
          </w:tcPr>
          <w:p w14:paraId="71602236" w14:textId="50AC01A0" w:rsidR="00C74879" w:rsidRPr="00E72168" w:rsidRDefault="00C74879" w:rsidP="00CF79A6">
            <w:pPr>
              <w:spacing w:after="0"/>
              <w:jc w:val="right"/>
              <w:rPr>
                <w:rFonts w:eastAsia="Times New Roman" w:cs="Times New Roman"/>
                <w:color w:val="17365D"/>
                <w:sz w:val="18"/>
                <w:szCs w:val="18"/>
                <w:lang w:eastAsia="lv-LV"/>
              </w:rPr>
            </w:pPr>
          </w:p>
        </w:tc>
        <w:tc>
          <w:tcPr>
            <w:tcW w:w="909" w:type="pct"/>
            <w:tcBorders>
              <w:top w:val="single" w:sz="4" w:space="0" w:color="17365D"/>
            </w:tcBorders>
            <w:shd w:val="clear" w:color="auto" w:fill="B9CDE5"/>
          </w:tcPr>
          <w:p w14:paraId="0C353488" w14:textId="77777777" w:rsidR="00C74879" w:rsidRPr="00E72168" w:rsidRDefault="00C74879" w:rsidP="00CF79A6">
            <w:pPr>
              <w:spacing w:after="0"/>
              <w:jc w:val="right"/>
              <w:rPr>
                <w:rFonts w:eastAsia="Times New Roman" w:cs="Times New Roman"/>
                <w:color w:val="17365D"/>
                <w:sz w:val="18"/>
                <w:szCs w:val="18"/>
                <w:lang w:eastAsia="lv-LV"/>
              </w:rPr>
            </w:pPr>
          </w:p>
        </w:tc>
      </w:tr>
    </w:tbl>
    <w:p w14:paraId="0A7850B0" w14:textId="77777777" w:rsidR="00DC4C99" w:rsidRDefault="00DC4C99" w:rsidP="000D2C39">
      <w:pPr>
        <w:pStyle w:val="Pamatteksts1"/>
        <w:rPr>
          <w:highlight w:val="yellow"/>
        </w:rPr>
      </w:pPr>
    </w:p>
    <w:p w14:paraId="099FB5A5" w14:textId="55006039" w:rsidR="00783BFF" w:rsidRPr="00DC4C99" w:rsidRDefault="001C52C0" w:rsidP="000D2C39">
      <w:pPr>
        <w:pStyle w:val="Pamatteksts1"/>
      </w:pPr>
      <w:r w:rsidRPr="00DC4C99">
        <w:t xml:space="preserve">Būtisks vērtības samazinājums pamatlīdzekļiem un avansa maksājumiem par pamatlīdzekļiem pārskata gadā nav veidots. </w:t>
      </w:r>
    </w:p>
    <w:p w14:paraId="6E22E7D6" w14:textId="7678DE93" w:rsidR="002D515E" w:rsidRDefault="001C52C0" w:rsidP="000D2C39">
      <w:pPr>
        <w:pStyle w:val="Pamatteksts1"/>
      </w:pPr>
      <w:r w:rsidRPr="008E5420">
        <w:lastRenderedPageBreak/>
        <w:t xml:space="preserve">Pamatlīdzekļu vērtības samazinājuma noteikšanai galvenokārt lietota </w:t>
      </w:r>
      <w:r w:rsidR="008E5420" w:rsidRPr="008E5420">
        <w:t>atjaunošanas izmaksu metode</w:t>
      </w:r>
      <w:r w:rsidRPr="008E5420">
        <w:t>. Vērtības samazin</w:t>
      </w:r>
      <w:r w:rsidR="00D8568F" w:rsidRPr="008E5420">
        <w:t>ājums</w:t>
      </w:r>
      <w:r w:rsidRPr="008E5420">
        <w:t xml:space="preserve"> avansa maksājumiem par pamatlīdzekļiem</w:t>
      </w:r>
      <w:r w:rsidR="00D8568F" w:rsidRPr="008E5420">
        <w:t xml:space="preserve"> aprēķināts atbilstoši izpildes termiņa kavēto </w:t>
      </w:r>
      <w:r w:rsidR="00590AF1" w:rsidRPr="008E5420">
        <w:t>dienu skaitam vai pilnā apmērā</w:t>
      </w:r>
      <w:r w:rsidR="00D8568F" w:rsidRPr="008E5420">
        <w:t xml:space="preserve"> </w:t>
      </w:r>
      <w:r w:rsidR="00590AF1" w:rsidRPr="008E5420">
        <w:t>atbilstoši budžeta iestāžu grāmatvedības uzskaites kārtībā noteiktajam.</w:t>
      </w:r>
      <w:r w:rsidR="005B7A11" w:rsidRPr="00E72168">
        <w:t xml:space="preserve"> </w:t>
      </w:r>
    </w:p>
    <w:p w14:paraId="41D09838" w14:textId="7A63512D" w:rsidR="005C3DE8" w:rsidRPr="00E72168" w:rsidRDefault="006F3DC9" w:rsidP="00414252">
      <w:pPr>
        <w:pStyle w:val="Heading4"/>
        <w:spacing w:before="200" w:after="160"/>
        <w:rPr>
          <w:rFonts w:cs="Times New Roman"/>
        </w:rPr>
      </w:pPr>
      <w:r w:rsidRPr="00E72168">
        <w:rPr>
          <w:rFonts w:cs="Times New Roman"/>
        </w:rPr>
        <w:t xml:space="preserve">Piezīme Nr. </w:t>
      </w:r>
      <w:r w:rsidR="003E4135" w:rsidRPr="00E72168">
        <w:rPr>
          <w:rFonts w:cs="Times New Roman"/>
        </w:rPr>
        <w:t>KB.</w:t>
      </w:r>
      <w:r w:rsidR="00F35EDE" w:rsidRPr="00E72168">
        <w:rPr>
          <w:rFonts w:cs="Times New Roman"/>
        </w:rPr>
        <w:t>1.</w:t>
      </w:r>
      <w:r w:rsidR="003E4135" w:rsidRPr="00E72168">
        <w:rPr>
          <w:rFonts w:cs="Times New Roman"/>
        </w:rPr>
        <w:t xml:space="preserve">3. </w:t>
      </w:r>
      <w:r w:rsidR="00414B4E" w:rsidRPr="00E72168">
        <w:rPr>
          <w:rFonts w:cs="Times New Roman"/>
        </w:rPr>
        <w:t>Ilgtermiņa finanšu ieguldījumi</w:t>
      </w:r>
    </w:p>
    <w:p w14:paraId="7A6C7A73" w14:textId="6F853167" w:rsidR="00414B4E" w:rsidRPr="00E72168" w:rsidRDefault="00CA5D9A" w:rsidP="00A75AB2">
      <w:pPr>
        <w:pStyle w:val="Tabulasnosaukums1"/>
        <w:spacing w:before="120"/>
        <w:rPr>
          <w:rFonts w:cs="Times New Roman"/>
          <w:i/>
          <w:color w:val="17365D"/>
        </w:rPr>
      </w:pPr>
      <w:r>
        <w:rPr>
          <w:rFonts w:cs="Times New Roman"/>
          <w:i/>
          <w:color w:val="17365D"/>
        </w:rPr>
        <w:t>1.</w:t>
      </w:r>
      <w:r w:rsidR="00212DF3" w:rsidRPr="00E72168">
        <w:rPr>
          <w:rFonts w:cs="Times New Roman"/>
          <w:i/>
          <w:color w:val="17365D"/>
        </w:rPr>
        <w:t>5</w:t>
      </w:r>
      <w:r w:rsidR="00414B4E" w:rsidRPr="00E72168">
        <w:rPr>
          <w:rFonts w:cs="Times New Roman"/>
          <w:i/>
          <w:color w:val="17365D"/>
        </w:rPr>
        <w:t>. tabula</w:t>
      </w:r>
      <w:r w:rsidR="003D15F9" w:rsidRPr="00E72168">
        <w:rPr>
          <w:rFonts w:cs="Times New Roman"/>
          <w:i/>
          <w:color w:val="17365D"/>
        </w:rPr>
        <w:t>.</w:t>
      </w:r>
      <w:r w:rsidR="003D15F9" w:rsidRPr="00E72168">
        <w:rPr>
          <w:rFonts w:cs="Times New Roman"/>
          <w:i/>
          <w:color w:val="17365D"/>
          <w:lang w:eastAsia="lv-LV"/>
        </w:rPr>
        <w:t xml:space="preserve"> Ilgtermiņa finanšu ieguldījumi </w:t>
      </w:r>
      <w:r w:rsidR="003D15F9" w:rsidRPr="00E72168">
        <w:rPr>
          <w:rFonts w:eastAsia="Times New Roman" w:cs="Times New Roman"/>
          <w:i/>
          <w:color w:val="17365D"/>
          <w:szCs w:val="20"/>
          <w:lang w:eastAsia="lv-LV"/>
        </w:rPr>
        <w:t>(</w:t>
      </w:r>
      <w:r w:rsidR="00D02702" w:rsidRPr="00E72168">
        <w:rPr>
          <w:rFonts w:eastAsia="Times New Roman" w:cs="Times New Roman"/>
          <w:i/>
          <w:color w:val="17365D"/>
          <w:szCs w:val="20"/>
          <w:lang w:eastAsia="lv-LV"/>
        </w:rPr>
        <w:t>euro</w:t>
      </w:r>
      <w:r w:rsidR="003D15F9" w:rsidRPr="00E72168">
        <w:rPr>
          <w:rFonts w:eastAsia="Times New Roman" w:cs="Times New Roman"/>
          <w:i/>
          <w:color w:val="17365D"/>
          <w:szCs w:val="20"/>
          <w:lang w:eastAsia="lv-LV"/>
        </w:rPr>
        <w:t>)</w:t>
      </w:r>
    </w:p>
    <w:tbl>
      <w:tblPr>
        <w:tblW w:w="5000" w:type="pct"/>
        <w:tblBorders>
          <w:insideH w:val="single" w:sz="4" w:space="0" w:color="012169"/>
        </w:tblBorders>
        <w:tblLayout w:type="fixed"/>
        <w:tblLook w:val="04A0" w:firstRow="1" w:lastRow="0" w:firstColumn="1" w:lastColumn="0" w:noHBand="0" w:noVBand="1"/>
      </w:tblPr>
      <w:tblGrid>
        <w:gridCol w:w="2652"/>
        <w:gridCol w:w="235"/>
        <w:gridCol w:w="676"/>
        <w:gridCol w:w="282"/>
        <w:gridCol w:w="1184"/>
        <w:gridCol w:w="277"/>
        <w:gridCol w:w="1188"/>
        <w:gridCol w:w="256"/>
        <w:gridCol w:w="1276"/>
        <w:gridCol w:w="71"/>
        <w:gridCol w:w="1257"/>
      </w:tblGrid>
      <w:tr w:rsidR="000C1009" w:rsidRPr="00E72168" w14:paraId="089D335D" w14:textId="77777777" w:rsidTr="003C09DC">
        <w:trPr>
          <w:trHeight w:val="601"/>
          <w:tblHeader/>
        </w:trPr>
        <w:tc>
          <w:tcPr>
            <w:tcW w:w="1417" w:type="pct"/>
            <w:tcBorders>
              <w:top w:val="nil"/>
              <w:bottom w:val="single" w:sz="4" w:space="0" w:color="17365D"/>
            </w:tcBorders>
            <w:shd w:val="clear" w:color="auto" w:fill="B9CDE5"/>
            <w:vAlign w:val="center"/>
            <w:hideMark/>
          </w:tcPr>
          <w:p w14:paraId="0F2C3296" w14:textId="7C0D463F" w:rsidR="00B131AA" w:rsidRPr="00E72168" w:rsidRDefault="007611AA" w:rsidP="00B52074">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486" w:type="pct"/>
            <w:gridSpan w:val="2"/>
            <w:tcBorders>
              <w:top w:val="nil"/>
              <w:bottom w:val="single" w:sz="4" w:space="0" w:color="17365D"/>
            </w:tcBorders>
            <w:shd w:val="clear" w:color="auto" w:fill="B9CDE5"/>
            <w:vAlign w:val="center"/>
            <w:hideMark/>
          </w:tcPr>
          <w:p w14:paraId="2D9D703F"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84" w:type="pct"/>
            <w:gridSpan w:val="2"/>
            <w:tcBorders>
              <w:top w:val="nil"/>
              <w:bottom w:val="single" w:sz="4" w:space="0" w:color="17365D"/>
            </w:tcBorders>
            <w:shd w:val="clear" w:color="auto" w:fill="B9CDE5"/>
            <w:vAlign w:val="center"/>
            <w:hideMark/>
          </w:tcPr>
          <w:p w14:paraId="0BE7ECDE"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783" w:type="pct"/>
            <w:gridSpan w:val="2"/>
            <w:tcBorders>
              <w:top w:val="nil"/>
              <w:bottom w:val="single" w:sz="4" w:space="0" w:color="17365D"/>
            </w:tcBorders>
            <w:shd w:val="clear" w:color="auto" w:fill="B9CDE5"/>
            <w:vAlign w:val="center"/>
            <w:hideMark/>
          </w:tcPr>
          <w:p w14:paraId="5B76BB2B"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819" w:type="pct"/>
            <w:gridSpan w:val="2"/>
            <w:tcBorders>
              <w:top w:val="nil"/>
              <w:bottom w:val="single" w:sz="4" w:space="0" w:color="17365D"/>
            </w:tcBorders>
            <w:shd w:val="clear" w:color="auto" w:fill="B9CDE5"/>
            <w:vAlign w:val="center"/>
            <w:hideMark/>
          </w:tcPr>
          <w:p w14:paraId="74F73523" w14:textId="334B5730"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t>(+,</w:t>
            </w:r>
            <w:r w:rsidR="002B1B27" w:rsidRPr="00E72168">
              <w:rPr>
                <w:rFonts w:eastAsia="Times New Roman" w:cs="Times New Roman"/>
                <w:b/>
                <w:color w:val="17365D"/>
                <w:sz w:val="18"/>
                <w:szCs w:val="18"/>
                <w:lang w:eastAsia="lv-LV"/>
              </w:rPr>
              <w:t xml:space="preserve"> –</w:t>
            </w:r>
            <w:r w:rsidRPr="00E72168">
              <w:rPr>
                <w:rFonts w:eastAsia="Times New Roman" w:cs="Times New Roman"/>
                <w:b/>
                <w:color w:val="17365D"/>
                <w:sz w:val="18"/>
                <w:szCs w:val="18"/>
                <w:lang w:eastAsia="lv-LV"/>
              </w:rPr>
              <w:t>)</w:t>
            </w:r>
          </w:p>
        </w:tc>
        <w:tc>
          <w:tcPr>
            <w:tcW w:w="710" w:type="pct"/>
            <w:gridSpan w:val="2"/>
            <w:tcBorders>
              <w:top w:val="nil"/>
              <w:bottom w:val="single" w:sz="4" w:space="0" w:color="17365D"/>
            </w:tcBorders>
            <w:shd w:val="clear" w:color="auto" w:fill="B9CDE5"/>
            <w:vAlign w:val="center"/>
            <w:hideMark/>
          </w:tcPr>
          <w:p w14:paraId="4ABE7BB9"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A27896" w:rsidRPr="00E72168" w14:paraId="1037E777" w14:textId="77777777" w:rsidTr="00A45AE1">
        <w:trPr>
          <w:trHeight w:val="190"/>
        </w:trPr>
        <w:tc>
          <w:tcPr>
            <w:tcW w:w="1417" w:type="pct"/>
            <w:tcBorders>
              <w:top w:val="single" w:sz="4" w:space="0" w:color="17365D"/>
              <w:bottom w:val="single" w:sz="4" w:space="0" w:color="auto"/>
            </w:tcBorders>
            <w:shd w:val="clear" w:color="auto" w:fill="auto"/>
            <w:vAlign w:val="center"/>
            <w:hideMark/>
          </w:tcPr>
          <w:p w14:paraId="11C83162"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486" w:type="pct"/>
            <w:gridSpan w:val="2"/>
            <w:tcBorders>
              <w:top w:val="single" w:sz="4" w:space="0" w:color="17365D"/>
              <w:bottom w:val="single" w:sz="4" w:space="0" w:color="auto"/>
            </w:tcBorders>
            <w:shd w:val="clear" w:color="auto" w:fill="auto"/>
            <w:vAlign w:val="center"/>
            <w:hideMark/>
          </w:tcPr>
          <w:p w14:paraId="481B31BA"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84" w:type="pct"/>
            <w:gridSpan w:val="2"/>
            <w:tcBorders>
              <w:top w:val="single" w:sz="4" w:space="0" w:color="17365D"/>
              <w:bottom w:val="single" w:sz="4" w:space="0" w:color="auto"/>
            </w:tcBorders>
            <w:shd w:val="clear" w:color="auto" w:fill="auto"/>
            <w:vAlign w:val="center"/>
            <w:hideMark/>
          </w:tcPr>
          <w:p w14:paraId="564F7E17"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783" w:type="pct"/>
            <w:gridSpan w:val="2"/>
            <w:tcBorders>
              <w:top w:val="single" w:sz="4" w:space="0" w:color="17365D"/>
              <w:bottom w:val="single" w:sz="4" w:space="0" w:color="auto"/>
            </w:tcBorders>
            <w:shd w:val="clear" w:color="auto" w:fill="auto"/>
            <w:vAlign w:val="center"/>
            <w:hideMark/>
          </w:tcPr>
          <w:p w14:paraId="42A52A2C"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819" w:type="pct"/>
            <w:gridSpan w:val="2"/>
            <w:tcBorders>
              <w:top w:val="single" w:sz="4" w:space="0" w:color="17365D"/>
              <w:bottom w:val="single" w:sz="4" w:space="0" w:color="auto"/>
            </w:tcBorders>
            <w:shd w:val="clear" w:color="auto" w:fill="auto"/>
            <w:vAlign w:val="center"/>
            <w:hideMark/>
          </w:tcPr>
          <w:p w14:paraId="554FB073"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710" w:type="pct"/>
            <w:gridSpan w:val="2"/>
            <w:tcBorders>
              <w:top w:val="single" w:sz="4" w:space="0" w:color="17365D"/>
              <w:bottom w:val="single" w:sz="4" w:space="0" w:color="auto"/>
            </w:tcBorders>
            <w:shd w:val="clear" w:color="auto" w:fill="auto"/>
            <w:vAlign w:val="center"/>
            <w:hideMark/>
          </w:tcPr>
          <w:p w14:paraId="6D311D24"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0C622C" w:rsidRPr="00E72168" w14:paraId="6E7C7975" w14:textId="77777777" w:rsidTr="00A45AE1">
        <w:trPr>
          <w:trHeight w:val="264"/>
        </w:trPr>
        <w:tc>
          <w:tcPr>
            <w:tcW w:w="1417" w:type="pct"/>
            <w:tcBorders>
              <w:top w:val="single" w:sz="4" w:space="0" w:color="auto"/>
              <w:bottom w:val="single" w:sz="4" w:space="0" w:color="auto"/>
              <w:right w:val="nil"/>
            </w:tcBorders>
            <w:shd w:val="clear" w:color="auto" w:fill="auto"/>
            <w:vAlign w:val="center"/>
            <w:hideMark/>
          </w:tcPr>
          <w:p w14:paraId="4BB77D99" w14:textId="4C7DF01F" w:rsidR="000C622C" w:rsidRPr="00E72168" w:rsidRDefault="000C622C" w:rsidP="000C622C">
            <w:pPr>
              <w:spacing w:after="0" w:line="240" w:lineRule="auto"/>
              <w:rPr>
                <w:rFonts w:cs="Times New Roman"/>
                <w:b/>
                <w:color w:val="17365D"/>
                <w:sz w:val="18"/>
                <w:szCs w:val="18"/>
              </w:rPr>
            </w:pPr>
            <w:r w:rsidRPr="00E72168">
              <w:rPr>
                <w:rFonts w:cs="Times New Roman"/>
                <w:b/>
                <w:color w:val="17365D"/>
                <w:sz w:val="18"/>
                <w:szCs w:val="18"/>
              </w:rPr>
              <w:t>Ilgtermiņa finanšu ieguldījumi</w:t>
            </w:r>
          </w:p>
        </w:tc>
        <w:tc>
          <w:tcPr>
            <w:tcW w:w="486" w:type="pct"/>
            <w:gridSpan w:val="2"/>
            <w:tcBorders>
              <w:top w:val="single" w:sz="4" w:space="0" w:color="auto"/>
              <w:left w:val="nil"/>
              <w:bottom w:val="single" w:sz="4" w:space="0" w:color="auto"/>
              <w:right w:val="nil"/>
            </w:tcBorders>
            <w:shd w:val="clear" w:color="auto" w:fill="auto"/>
            <w:vAlign w:val="center"/>
            <w:hideMark/>
          </w:tcPr>
          <w:p w14:paraId="595A275A" w14:textId="3BD208EA" w:rsidR="000C622C" w:rsidRPr="00E72168" w:rsidRDefault="000C622C" w:rsidP="000C622C">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KB.1.3.</w:t>
            </w:r>
          </w:p>
        </w:tc>
        <w:tc>
          <w:tcPr>
            <w:tcW w:w="784" w:type="pct"/>
            <w:gridSpan w:val="2"/>
            <w:tcBorders>
              <w:top w:val="single" w:sz="4" w:space="0" w:color="auto"/>
              <w:left w:val="nil"/>
              <w:bottom w:val="single" w:sz="4" w:space="0" w:color="auto"/>
              <w:right w:val="nil"/>
            </w:tcBorders>
            <w:shd w:val="clear" w:color="auto" w:fill="auto"/>
            <w:hideMark/>
          </w:tcPr>
          <w:p w14:paraId="72A4A08D" w14:textId="32189D31" w:rsidR="000C622C" w:rsidRPr="000C622C" w:rsidRDefault="000C622C" w:rsidP="000C622C">
            <w:pPr>
              <w:spacing w:after="0" w:line="240" w:lineRule="auto"/>
              <w:jc w:val="right"/>
              <w:rPr>
                <w:rFonts w:cs="Times New Roman"/>
                <w:b/>
                <w:bCs/>
                <w:color w:val="17365D"/>
                <w:sz w:val="18"/>
                <w:szCs w:val="18"/>
              </w:rPr>
            </w:pPr>
            <w:r w:rsidRPr="000C622C">
              <w:rPr>
                <w:rFonts w:cs="Times New Roman"/>
                <w:b/>
                <w:bCs/>
                <w:color w:val="17365D"/>
                <w:sz w:val="18"/>
                <w:szCs w:val="18"/>
              </w:rPr>
              <w:t>18 714 761 971</w:t>
            </w:r>
          </w:p>
        </w:tc>
        <w:tc>
          <w:tcPr>
            <w:tcW w:w="783" w:type="pct"/>
            <w:gridSpan w:val="2"/>
            <w:tcBorders>
              <w:top w:val="single" w:sz="4" w:space="0" w:color="auto"/>
              <w:left w:val="nil"/>
              <w:bottom w:val="single" w:sz="4" w:space="0" w:color="auto"/>
              <w:right w:val="nil"/>
            </w:tcBorders>
            <w:shd w:val="clear" w:color="auto" w:fill="auto"/>
            <w:hideMark/>
          </w:tcPr>
          <w:p w14:paraId="30B040E7" w14:textId="14B87A5B" w:rsidR="000C622C" w:rsidRPr="000C622C" w:rsidRDefault="000C622C" w:rsidP="000C622C">
            <w:pPr>
              <w:spacing w:after="0" w:line="240" w:lineRule="auto"/>
              <w:jc w:val="right"/>
              <w:rPr>
                <w:rFonts w:cs="Times New Roman"/>
                <w:b/>
                <w:bCs/>
                <w:color w:val="17365D"/>
                <w:sz w:val="18"/>
                <w:szCs w:val="18"/>
              </w:rPr>
            </w:pPr>
            <w:r w:rsidRPr="000C622C">
              <w:rPr>
                <w:rFonts w:cs="Times New Roman"/>
                <w:b/>
                <w:bCs/>
                <w:color w:val="17365D"/>
                <w:sz w:val="18"/>
                <w:szCs w:val="18"/>
              </w:rPr>
              <w:t>16 256 620 458</w:t>
            </w:r>
          </w:p>
        </w:tc>
        <w:tc>
          <w:tcPr>
            <w:tcW w:w="819" w:type="pct"/>
            <w:gridSpan w:val="2"/>
            <w:tcBorders>
              <w:top w:val="single" w:sz="4" w:space="0" w:color="auto"/>
              <w:left w:val="nil"/>
              <w:bottom w:val="single" w:sz="4" w:space="0" w:color="auto"/>
              <w:right w:val="nil"/>
            </w:tcBorders>
            <w:shd w:val="clear" w:color="auto" w:fill="auto"/>
            <w:noWrap/>
            <w:hideMark/>
          </w:tcPr>
          <w:p w14:paraId="74B6A52C" w14:textId="5CA7BBAD" w:rsidR="000C622C" w:rsidRPr="000C622C" w:rsidRDefault="000C622C" w:rsidP="000C622C">
            <w:pPr>
              <w:spacing w:after="0" w:line="240" w:lineRule="auto"/>
              <w:jc w:val="right"/>
              <w:rPr>
                <w:rFonts w:cs="Times New Roman"/>
                <w:b/>
                <w:bCs/>
                <w:color w:val="17365D"/>
                <w:sz w:val="18"/>
                <w:szCs w:val="18"/>
              </w:rPr>
            </w:pPr>
            <w:r w:rsidRPr="000C622C">
              <w:rPr>
                <w:rFonts w:cs="Times New Roman"/>
                <w:b/>
                <w:bCs/>
                <w:color w:val="17365D"/>
                <w:sz w:val="18"/>
                <w:szCs w:val="18"/>
              </w:rPr>
              <w:t>2 458 141 513</w:t>
            </w:r>
          </w:p>
        </w:tc>
        <w:tc>
          <w:tcPr>
            <w:tcW w:w="710" w:type="pct"/>
            <w:gridSpan w:val="2"/>
            <w:tcBorders>
              <w:top w:val="single" w:sz="4" w:space="0" w:color="auto"/>
              <w:left w:val="nil"/>
              <w:bottom w:val="single" w:sz="4" w:space="0" w:color="auto"/>
              <w:right w:val="nil"/>
            </w:tcBorders>
            <w:shd w:val="clear" w:color="auto" w:fill="auto"/>
            <w:noWrap/>
            <w:hideMark/>
          </w:tcPr>
          <w:p w14:paraId="1DEB7F39" w14:textId="56F4097C" w:rsidR="000C622C" w:rsidRPr="000C622C" w:rsidRDefault="000C622C" w:rsidP="000C622C">
            <w:pPr>
              <w:spacing w:after="0" w:line="240" w:lineRule="auto"/>
              <w:jc w:val="right"/>
              <w:rPr>
                <w:rFonts w:cs="Times New Roman"/>
                <w:b/>
                <w:bCs/>
                <w:color w:val="17365D"/>
                <w:sz w:val="18"/>
                <w:szCs w:val="18"/>
              </w:rPr>
            </w:pPr>
            <w:r w:rsidRPr="000C622C">
              <w:rPr>
                <w:rFonts w:cs="Times New Roman"/>
                <w:b/>
                <w:bCs/>
                <w:color w:val="17365D"/>
                <w:sz w:val="18"/>
                <w:szCs w:val="18"/>
              </w:rPr>
              <w:t>15.12</w:t>
            </w:r>
          </w:p>
        </w:tc>
      </w:tr>
      <w:tr w:rsidR="000C622C" w:rsidRPr="00E72168" w14:paraId="7B450828" w14:textId="77777777" w:rsidTr="00A45AE1">
        <w:trPr>
          <w:trHeight w:val="264"/>
        </w:trPr>
        <w:tc>
          <w:tcPr>
            <w:tcW w:w="1417" w:type="pct"/>
            <w:tcBorders>
              <w:top w:val="single" w:sz="4" w:space="0" w:color="auto"/>
              <w:bottom w:val="single" w:sz="4" w:space="0" w:color="auto"/>
              <w:right w:val="nil"/>
            </w:tcBorders>
            <w:shd w:val="clear" w:color="auto" w:fill="auto"/>
            <w:vAlign w:val="center"/>
            <w:hideMark/>
          </w:tcPr>
          <w:p w14:paraId="384C6FD8" w14:textId="13588851" w:rsidR="000C622C" w:rsidRPr="00E72168" w:rsidRDefault="000C622C" w:rsidP="000C622C">
            <w:pPr>
              <w:spacing w:after="0" w:line="240" w:lineRule="auto"/>
              <w:rPr>
                <w:rFonts w:cs="Times New Roman"/>
                <w:color w:val="17365D"/>
                <w:sz w:val="18"/>
                <w:szCs w:val="18"/>
              </w:rPr>
            </w:pPr>
            <w:r w:rsidRPr="00E72168">
              <w:rPr>
                <w:rFonts w:cs="Times New Roman"/>
                <w:color w:val="17365D"/>
                <w:sz w:val="18"/>
                <w:szCs w:val="18"/>
              </w:rPr>
              <w:t>Līdzdalība radniecīgo kapitālsabiedrību kapitālā</w:t>
            </w:r>
          </w:p>
        </w:tc>
        <w:tc>
          <w:tcPr>
            <w:tcW w:w="486" w:type="pct"/>
            <w:gridSpan w:val="2"/>
            <w:tcBorders>
              <w:top w:val="single" w:sz="4" w:space="0" w:color="auto"/>
              <w:left w:val="nil"/>
              <w:bottom w:val="single" w:sz="4" w:space="0" w:color="auto"/>
              <w:right w:val="nil"/>
            </w:tcBorders>
            <w:shd w:val="clear" w:color="auto" w:fill="auto"/>
            <w:noWrap/>
            <w:vAlign w:val="center"/>
            <w:hideMark/>
          </w:tcPr>
          <w:p w14:paraId="676B9280" w14:textId="4C26EF6F" w:rsidR="000C622C" w:rsidRPr="00E72168" w:rsidRDefault="000C622C" w:rsidP="000C622C">
            <w:pPr>
              <w:spacing w:after="0" w:line="240" w:lineRule="auto"/>
              <w:jc w:val="center"/>
              <w:rPr>
                <w:rFonts w:eastAsia="Times New Roman" w:cs="Times New Roman"/>
                <w:color w:val="17365D"/>
                <w:sz w:val="18"/>
                <w:szCs w:val="18"/>
                <w:lang w:eastAsia="lv-LV"/>
              </w:rPr>
            </w:pPr>
          </w:p>
        </w:tc>
        <w:tc>
          <w:tcPr>
            <w:tcW w:w="784" w:type="pct"/>
            <w:gridSpan w:val="2"/>
            <w:tcBorders>
              <w:top w:val="single" w:sz="4" w:space="0" w:color="auto"/>
              <w:left w:val="nil"/>
              <w:bottom w:val="single" w:sz="4" w:space="0" w:color="auto"/>
              <w:right w:val="nil"/>
            </w:tcBorders>
            <w:shd w:val="clear" w:color="auto" w:fill="auto"/>
            <w:vAlign w:val="center"/>
            <w:hideMark/>
          </w:tcPr>
          <w:p w14:paraId="24E01AF5" w14:textId="4630E884"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8 484 182 231</w:t>
            </w:r>
          </w:p>
        </w:tc>
        <w:tc>
          <w:tcPr>
            <w:tcW w:w="783" w:type="pct"/>
            <w:gridSpan w:val="2"/>
            <w:tcBorders>
              <w:top w:val="single" w:sz="4" w:space="0" w:color="auto"/>
              <w:left w:val="nil"/>
              <w:bottom w:val="single" w:sz="4" w:space="0" w:color="auto"/>
              <w:right w:val="nil"/>
            </w:tcBorders>
            <w:shd w:val="clear" w:color="auto" w:fill="auto"/>
            <w:vAlign w:val="center"/>
            <w:hideMark/>
          </w:tcPr>
          <w:p w14:paraId="4476F668" w14:textId="202944EF" w:rsidR="000C622C" w:rsidRPr="000C622C" w:rsidRDefault="000C622C" w:rsidP="00AD4A66">
            <w:pPr>
              <w:spacing w:after="0" w:line="240" w:lineRule="auto"/>
              <w:jc w:val="right"/>
              <w:rPr>
                <w:rFonts w:cs="Times New Roman"/>
                <w:color w:val="17365D"/>
                <w:sz w:val="18"/>
                <w:szCs w:val="18"/>
              </w:rPr>
            </w:pPr>
            <w:r w:rsidRPr="000C622C">
              <w:rPr>
                <w:rFonts w:cs="Times New Roman"/>
                <w:color w:val="17365D"/>
                <w:sz w:val="18"/>
                <w:szCs w:val="18"/>
              </w:rPr>
              <w:t>7 849 893 329</w:t>
            </w:r>
          </w:p>
        </w:tc>
        <w:tc>
          <w:tcPr>
            <w:tcW w:w="819" w:type="pct"/>
            <w:gridSpan w:val="2"/>
            <w:tcBorders>
              <w:top w:val="single" w:sz="4" w:space="0" w:color="auto"/>
              <w:left w:val="nil"/>
              <w:bottom w:val="single" w:sz="4" w:space="0" w:color="auto"/>
              <w:right w:val="nil"/>
            </w:tcBorders>
            <w:shd w:val="clear" w:color="auto" w:fill="auto"/>
            <w:noWrap/>
            <w:vAlign w:val="center"/>
            <w:hideMark/>
          </w:tcPr>
          <w:p w14:paraId="22D7BF9C" w14:textId="25C4D2CC"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634 288 902</w:t>
            </w:r>
          </w:p>
        </w:tc>
        <w:tc>
          <w:tcPr>
            <w:tcW w:w="710" w:type="pct"/>
            <w:gridSpan w:val="2"/>
            <w:tcBorders>
              <w:top w:val="single" w:sz="4" w:space="0" w:color="auto"/>
              <w:left w:val="nil"/>
              <w:bottom w:val="single" w:sz="4" w:space="0" w:color="auto"/>
              <w:right w:val="nil"/>
            </w:tcBorders>
            <w:shd w:val="clear" w:color="auto" w:fill="auto"/>
            <w:noWrap/>
            <w:vAlign w:val="center"/>
            <w:hideMark/>
          </w:tcPr>
          <w:p w14:paraId="49DE969E" w14:textId="0EB7109C"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8.08</w:t>
            </w:r>
          </w:p>
        </w:tc>
      </w:tr>
      <w:tr w:rsidR="000C622C" w:rsidRPr="00E72168" w14:paraId="5E86C90F" w14:textId="77777777" w:rsidTr="00A45AE1">
        <w:trPr>
          <w:trHeight w:val="408"/>
        </w:trPr>
        <w:tc>
          <w:tcPr>
            <w:tcW w:w="1417" w:type="pct"/>
            <w:tcBorders>
              <w:top w:val="single" w:sz="4" w:space="0" w:color="auto"/>
              <w:bottom w:val="single" w:sz="4" w:space="0" w:color="auto"/>
              <w:right w:val="nil"/>
            </w:tcBorders>
            <w:shd w:val="clear" w:color="auto" w:fill="auto"/>
            <w:vAlign w:val="center"/>
            <w:hideMark/>
          </w:tcPr>
          <w:p w14:paraId="2256E1CA" w14:textId="00C2197C" w:rsidR="000C622C" w:rsidRPr="00E72168" w:rsidRDefault="000C622C" w:rsidP="000C622C">
            <w:pPr>
              <w:spacing w:after="0" w:line="240" w:lineRule="auto"/>
              <w:rPr>
                <w:rFonts w:cs="Times New Roman"/>
                <w:color w:val="17365D"/>
                <w:sz w:val="18"/>
                <w:szCs w:val="18"/>
              </w:rPr>
            </w:pPr>
            <w:r w:rsidRPr="00E72168">
              <w:rPr>
                <w:rFonts w:cs="Times New Roman"/>
                <w:color w:val="17365D"/>
                <w:sz w:val="18"/>
                <w:szCs w:val="18"/>
              </w:rPr>
              <w:t>Līdzdalība asociēto kapitālsabiedrību kapitālā</w:t>
            </w:r>
          </w:p>
        </w:tc>
        <w:tc>
          <w:tcPr>
            <w:tcW w:w="486" w:type="pct"/>
            <w:gridSpan w:val="2"/>
            <w:tcBorders>
              <w:top w:val="single" w:sz="4" w:space="0" w:color="auto"/>
              <w:left w:val="nil"/>
              <w:bottom w:val="single" w:sz="4" w:space="0" w:color="auto"/>
              <w:right w:val="nil"/>
            </w:tcBorders>
            <w:shd w:val="clear" w:color="auto" w:fill="auto"/>
            <w:noWrap/>
            <w:vAlign w:val="center"/>
          </w:tcPr>
          <w:p w14:paraId="7A20D493" w14:textId="3D8474B3" w:rsidR="000C622C" w:rsidRPr="00E72168" w:rsidRDefault="000C622C" w:rsidP="000C622C">
            <w:pPr>
              <w:spacing w:after="0" w:line="240" w:lineRule="auto"/>
              <w:jc w:val="center"/>
              <w:rPr>
                <w:rFonts w:eastAsia="Times New Roman" w:cs="Times New Roman"/>
                <w:color w:val="17365D"/>
                <w:sz w:val="18"/>
                <w:szCs w:val="18"/>
                <w:lang w:eastAsia="lv-LV"/>
              </w:rPr>
            </w:pPr>
          </w:p>
        </w:tc>
        <w:tc>
          <w:tcPr>
            <w:tcW w:w="784" w:type="pct"/>
            <w:gridSpan w:val="2"/>
            <w:tcBorders>
              <w:top w:val="single" w:sz="4" w:space="0" w:color="auto"/>
              <w:left w:val="nil"/>
              <w:bottom w:val="single" w:sz="4" w:space="0" w:color="auto"/>
              <w:right w:val="nil"/>
            </w:tcBorders>
            <w:shd w:val="clear" w:color="auto" w:fill="auto"/>
            <w:vAlign w:val="center"/>
            <w:hideMark/>
          </w:tcPr>
          <w:p w14:paraId="58881592" w14:textId="78830286"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23 096 381</w:t>
            </w:r>
          </w:p>
        </w:tc>
        <w:tc>
          <w:tcPr>
            <w:tcW w:w="783" w:type="pct"/>
            <w:gridSpan w:val="2"/>
            <w:tcBorders>
              <w:top w:val="single" w:sz="4" w:space="0" w:color="auto"/>
              <w:left w:val="nil"/>
              <w:bottom w:val="single" w:sz="4" w:space="0" w:color="auto"/>
              <w:right w:val="nil"/>
            </w:tcBorders>
            <w:shd w:val="clear" w:color="auto" w:fill="auto"/>
            <w:vAlign w:val="center"/>
            <w:hideMark/>
          </w:tcPr>
          <w:p w14:paraId="77B059C7" w14:textId="32202144"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28 691 565</w:t>
            </w:r>
          </w:p>
        </w:tc>
        <w:tc>
          <w:tcPr>
            <w:tcW w:w="819" w:type="pct"/>
            <w:gridSpan w:val="2"/>
            <w:tcBorders>
              <w:top w:val="single" w:sz="4" w:space="0" w:color="auto"/>
              <w:left w:val="nil"/>
              <w:bottom w:val="single" w:sz="4" w:space="0" w:color="auto"/>
              <w:right w:val="nil"/>
            </w:tcBorders>
            <w:shd w:val="clear" w:color="auto" w:fill="auto"/>
            <w:noWrap/>
            <w:vAlign w:val="center"/>
            <w:hideMark/>
          </w:tcPr>
          <w:p w14:paraId="43711C08" w14:textId="103FD4EC"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-5 595 184</w:t>
            </w:r>
          </w:p>
        </w:tc>
        <w:tc>
          <w:tcPr>
            <w:tcW w:w="710" w:type="pct"/>
            <w:gridSpan w:val="2"/>
            <w:tcBorders>
              <w:top w:val="single" w:sz="4" w:space="0" w:color="auto"/>
              <w:left w:val="nil"/>
              <w:bottom w:val="single" w:sz="4" w:space="0" w:color="auto"/>
              <w:right w:val="nil"/>
            </w:tcBorders>
            <w:shd w:val="clear" w:color="auto" w:fill="auto"/>
            <w:noWrap/>
            <w:vAlign w:val="center"/>
            <w:hideMark/>
          </w:tcPr>
          <w:p w14:paraId="654D38BE" w14:textId="2C4AE370"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-19.50</w:t>
            </w:r>
          </w:p>
        </w:tc>
      </w:tr>
      <w:tr w:rsidR="000C622C" w:rsidRPr="00E72168" w14:paraId="26E67C7E" w14:textId="77777777" w:rsidTr="00A45AE1">
        <w:trPr>
          <w:trHeight w:val="264"/>
        </w:trPr>
        <w:tc>
          <w:tcPr>
            <w:tcW w:w="1417" w:type="pct"/>
            <w:tcBorders>
              <w:top w:val="single" w:sz="4" w:space="0" w:color="auto"/>
              <w:bottom w:val="single" w:sz="4" w:space="0" w:color="auto"/>
              <w:right w:val="nil"/>
            </w:tcBorders>
            <w:shd w:val="clear" w:color="auto" w:fill="auto"/>
            <w:vAlign w:val="center"/>
            <w:hideMark/>
          </w:tcPr>
          <w:p w14:paraId="73DC1DD6" w14:textId="77BF6F3E" w:rsidR="000C622C" w:rsidRPr="00E72168" w:rsidRDefault="000C622C" w:rsidP="000C622C">
            <w:pPr>
              <w:spacing w:after="0" w:line="240" w:lineRule="auto"/>
              <w:rPr>
                <w:rFonts w:cs="Times New Roman"/>
                <w:color w:val="17365D"/>
                <w:sz w:val="18"/>
                <w:szCs w:val="18"/>
              </w:rPr>
            </w:pPr>
            <w:r w:rsidRPr="00E72168">
              <w:rPr>
                <w:rFonts w:cs="Times New Roman"/>
                <w:color w:val="17365D"/>
                <w:sz w:val="18"/>
                <w:szCs w:val="18"/>
              </w:rPr>
              <w:t>Ilgtermiņa aizdevumi</w:t>
            </w:r>
          </w:p>
        </w:tc>
        <w:tc>
          <w:tcPr>
            <w:tcW w:w="486" w:type="pct"/>
            <w:gridSpan w:val="2"/>
            <w:tcBorders>
              <w:top w:val="single" w:sz="4" w:space="0" w:color="auto"/>
              <w:left w:val="nil"/>
              <w:bottom w:val="single" w:sz="4" w:space="0" w:color="auto"/>
              <w:right w:val="nil"/>
            </w:tcBorders>
            <w:shd w:val="clear" w:color="auto" w:fill="auto"/>
            <w:noWrap/>
            <w:vAlign w:val="center"/>
          </w:tcPr>
          <w:p w14:paraId="5E718F54" w14:textId="1D4110D6" w:rsidR="000C622C" w:rsidRPr="00E72168" w:rsidRDefault="000C622C" w:rsidP="000C622C">
            <w:pPr>
              <w:spacing w:after="0" w:line="240" w:lineRule="auto"/>
              <w:jc w:val="center"/>
              <w:rPr>
                <w:rFonts w:eastAsia="Times New Roman" w:cs="Times New Roman"/>
                <w:color w:val="17365D"/>
                <w:sz w:val="18"/>
                <w:szCs w:val="18"/>
                <w:lang w:eastAsia="lv-LV"/>
              </w:rPr>
            </w:pPr>
          </w:p>
        </w:tc>
        <w:tc>
          <w:tcPr>
            <w:tcW w:w="784" w:type="pct"/>
            <w:gridSpan w:val="2"/>
            <w:tcBorders>
              <w:top w:val="single" w:sz="4" w:space="0" w:color="auto"/>
              <w:left w:val="nil"/>
              <w:bottom w:val="single" w:sz="4" w:space="0" w:color="auto"/>
              <w:right w:val="nil"/>
            </w:tcBorders>
            <w:shd w:val="clear" w:color="auto" w:fill="auto"/>
            <w:vAlign w:val="center"/>
          </w:tcPr>
          <w:p w14:paraId="45947BA2" w14:textId="44495046"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380 541 311</w:t>
            </w:r>
          </w:p>
        </w:tc>
        <w:tc>
          <w:tcPr>
            <w:tcW w:w="783" w:type="pct"/>
            <w:gridSpan w:val="2"/>
            <w:tcBorders>
              <w:top w:val="single" w:sz="4" w:space="0" w:color="auto"/>
              <w:left w:val="nil"/>
              <w:bottom w:val="single" w:sz="4" w:space="0" w:color="auto"/>
              <w:right w:val="nil"/>
            </w:tcBorders>
            <w:shd w:val="clear" w:color="auto" w:fill="auto"/>
            <w:vAlign w:val="center"/>
          </w:tcPr>
          <w:p w14:paraId="6C57C1D4" w14:textId="55276A3D"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415 120 683</w:t>
            </w:r>
          </w:p>
        </w:tc>
        <w:tc>
          <w:tcPr>
            <w:tcW w:w="819" w:type="pct"/>
            <w:gridSpan w:val="2"/>
            <w:tcBorders>
              <w:top w:val="single" w:sz="4" w:space="0" w:color="auto"/>
              <w:left w:val="nil"/>
              <w:bottom w:val="single" w:sz="4" w:space="0" w:color="auto"/>
              <w:right w:val="nil"/>
            </w:tcBorders>
            <w:shd w:val="clear" w:color="auto" w:fill="auto"/>
            <w:noWrap/>
            <w:vAlign w:val="center"/>
          </w:tcPr>
          <w:p w14:paraId="7DB3C2E5" w14:textId="44DAA4AB"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-34 579 372</w:t>
            </w:r>
          </w:p>
        </w:tc>
        <w:tc>
          <w:tcPr>
            <w:tcW w:w="710" w:type="pct"/>
            <w:gridSpan w:val="2"/>
            <w:tcBorders>
              <w:top w:val="single" w:sz="4" w:space="0" w:color="auto"/>
              <w:left w:val="nil"/>
              <w:bottom w:val="single" w:sz="4" w:space="0" w:color="auto"/>
              <w:right w:val="nil"/>
            </w:tcBorders>
            <w:shd w:val="clear" w:color="auto" w:fill="auto"/>
            <w:noWrap/>
            <w:vAlign w:val="center"/>
          </w:tcPr>
          <w:p w14:paraId="7448C625" w14:textId="029BC22B"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-8.33</w:t>
            </w:r>
          </w:p>
        </w:tc>
      </w:tr>
      <w:tr w:rsidR="000C622C" w:rsidRPr="00E72168" w14:paraId="094A7E2D" w14:textId="77777777" w:rsidTr="00A45AE1">
        <w:trPr>
          <w:trHeight w:val="396"/>
        </w:trPr>
        <w:tc>
          <w:tcPr>
            <w:tcW w:w="1417" w:type="pct"/>
            <w:tcBorders>
              <w:top w:val="single" w:sz="4" w:space="0" w:color="auto"/>
              <w:bottom w:val="single" w:sz="4" w:space="0" w:color="auto"/>
              <w:right w:val="nil"/>
            </w:tcBorders>
            <w:shd w:val="clear" w:color="auto" w:fill="auto"/>
            <w:vAlign w:val="center"/>
            <w:hideMark/>
          </w:tcPr>
          <w:p w14:paraId="7342BBC5" w14:textId="13AAC35C" w:rsidR="000C622C" w:rsidRPr="00E72168" w:rsidRDefault="000C622C" w:rsidP="000C622C">
            <w:pPr>
              <w:spacing w:after="0" w:line="240" w:lineRule="auto"/>
              <w:rPr>
                <w:rFonts w:cs="Times New Roman"/>
                <w:color w:val="17365D"/>
                <w:sz w:val="18"/>
                <w:szCs w:val="18"/>
              </w:rPr>
            </w:pPr>
            <w:r w:rsidRPr="00E72168">
              <w:rPr>
                <w:rFonts w:cs="Times New Roman"/>
                <w:color w:val="17365D"/>
                <w:sz w:val="18"/>
                <w:szCs w:val="18"/>
              </w:rPr>
              <w:t>Ilgtermiņa finanšu ieguldījumi vērtspapīros</w:t>
            </w:r>
          </w:p>
        </w:tc>
        <w:tc>
          <w:tcPr>
            <w:tcW w:w="486" w:type="pct"/>
            <w:gridSpan w:val="2"/>
            <w:tcBorders>
              <w:top w:val="single" w:sz="4" w:space="0" w:color="auto"/>
              <w:left w:val="nil"/>
              <w:bottom w:val="single" w:sz="4" w:space="0" w:color="auto"/>
              <w:right w:val="nil"/>
            </w:tcBorders>
            <w:shd w:val="clear" w:color="auto" w:fill="auto"/>
            <w:noWrap/>
            <w:vAlign w:val="center"/>
          </w:tcPr>
          <w:p w14:paraId="622A7824" w14:textId="34A94C8E" w:rsidR="000C622C" w:rsidRPr="00E72168" w:rsidRDefault="000C622C" w:rsidP="000C622C">
            <w:pPr>
              <w:spacing w:after="0" w:line="240" w:lineRule="auto"/>
              <w:jc w:val="center"/>
              <w:rPr>
                <w:rFonts w:eastAsia="Times New Roman" w:cs="Times New Roman"/>
                <w:color w:val="17365D"/>
                <w:sz w:val="18"/>
                <w:szCs w:val="18"/>
                <w:lang w:eastAsia="lv-LV"/>
              </w:rPr>
            </w:pPr>
          </w:p>
        </w:tc>
        <w:tc>
          <w:tcPr>
            <w:tcW w:w="784" w:type="pct"/>
            <w:gridSpan w:val="2"/>
            <w:tcBorders>
              <w:top w:val="single" w:sz="4" w:space="0" w:color="auto"/>
              <w:left w:val="nil"/>
              <w:bottom w:val="single" w:sz="4" w:space="0" w:color="auto"/>
              <w:right w:val="nil"/>
            </w:tcBorders>
            <w:shd w:val="clear" w:color="auto" w:fill="auto"/>
            <w:vAlign w:val="center"/>
          </w:tcPr>
          <w:p w14:paraId="124FD56C" w14:textId="0F3C6874"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50 005 265</w:t>
            </w:r>
          </w:p>
        </w:tc>
        <w:tc>
          <w:tcPr>
            <w:tcW w:w="783" w:type="pct"/>
            <w:gridSpan w:val="2"/>
            <w:tcBorders>
              <w:top w:val="single" w:sz="4" w:space="0" w:color="auto"/>
              <w:left w:val="nil"/>
              <w:bottom w:val="single" w:sz="4" w:space="0" w:color="auto"/>
              <w:right w:val="nil"/>
            </w:tcBorders>
            <w:shd w:val="clear" w:color="auto" w:fill="auto"/>
            <w:vAlign w:val="center"/>
          </w:tcPr>
          <w:p w14:paraId="1BBB49A2" w14:textId="121B36F2"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6 194</w:t>
            </w:r>
          </w:p>
        </w:tc>
        <w:tc>
          <w:tcPr>
            <w:tcW w:w="819" w:type="pct"/>
            <w:gridSpan w:val="2"/>
            <w:tcBorders>
              <w:top w:val="single" w:sz="4" w:space="0" w:color="auto"/>
              <w:left w:val="nil"/>
              <w:bottom w:val="single" w:sz="4" w:space="0" w:color="auto"/>
              <w:right w:val="nil"/>
            </w:tcBorders>
            <w:shd w:val="clear" w:color="auto" w:fill="auto"/>
            <w:noWrap/>
            <w:vAlign w:val="center"/>
          </w:tcPr>
          <w:p w14:paraId="7B048492" w14:textId="5AC1F85E"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49 999 071</w:t>
            </w:r>
          </w:p>
        </w:tc>
        <w:tc>
          <w:tcPr>
            <w:tcW w:w="710" w:type="pct"/>
            <w:gridSpan w:val="2"/>
            <w:tcBorders>
              <w:top w:val="single" w:sz="4" w:space="0" w:color="auto"/>
              <w:left w:val="nil"/>
              <w:bottom w:val="single" w:sz="4" w:space="0" w:color="auto"/>
              <w:right w:val="nil"/>
            </w:tcBorders>
            <w:shd w:val="clear" w:color="auto" w:fill="auto"/>
            <w:noWrap/>
            <w:vAlign w:val="center"/>
          </w:tcPr>
          <w:p w14:paraId="775EC222" w14:textId="72F01A09"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807 217.81</w:t>
            </w:r>
          </w:p>
        </w:tc>
      </w:tr>
      <w:tr w:rsidR="000C622C" w:rsidRPr="00E72168" w14:paraId="5FB50A46" w14:textId="77777777" w:rsidTr="00A45AE1">
        <w:trPr>
          <w:trHeight w:val="408"/>
        </w:trPr>
        <w:tc>
          <w:tcPr>
            <w:tcW w:w="1417" w:type="pct"/>
            <w:tcBorders>
              <w:top w:val="single" w:sz="4" w:space="0" w:color="auto"/>
              <w:bottom w:val="single" w:sz="4" w:space="0" w:color="auto"/>
              <w:right w:val="nil"/>
            </w:tcBorders>
            <w:shd w:val="clear" w:color="auto" w:fill="auto"/>
            <w:vAlign w:val="center"/>
            <w:hideMark/>
          </w:tcPr>
          <w:p w14:paraId="09D74683" w14:textId="403042C9" w:rsidR="000C622C" w:rsidRPr="00E72168" w:rsidRDefault="000C622C" w:rsidP="000C622C">
            <w:pPr>
              <w:spacing w:after="0" w:line="240" w:lineRule="auto"/>
              <w:rPr>
                <w:rFonts w:cs="Times New Roman"/>
                <w:color w:val="17365D"/>
                <w:sz w:val="18"/>
                <w:szCs w:val="18"/>
              </w:rPr>
            </w:pPr>
            <w:bookmarkStart w:id="67" w:name="_Hlk197616818"/>
            <w:r w:rsidRPr="00E72168">
              <w:rPr>
                <w:rFonts w:cs="Times New Roman"/>
                <w:color w:val="17365D"/>
                <w:sz w:val="18"/>
                <w:szCs w:val="18"/>
              </w:rPr>
              <w:t>Pārējie ilgtermiņa finanšu ieguldījumi</w:t>
            </w:r>
            <w:bookmarkEnd w:id="67"/>
          </w:p>
        </w:tc>
        <w:tc>
          <w:tcPr>
            <w:tcW w:w="486" w:type="pct"/>
            <w:gridSpan w:val="2"/>
            <w:tcBorders>
              <w:top w:val="single" w:sz="4" w:space="0" w:color="auto"/>
              <w:left w:val="nil"/>
              <w:bottom w:val="single" w:sz="4" w:space="0" w:color="auto"/>
              <w:right w:val="nil"/>
            </w:tcBorders>
            <w:shd w:val="clear" w:color="auto" w:fill="auto"/>
            <w:noWrap/>
            <w:vAlign w:val="center"/>
          </w:tcPr>
          <w:p w14:paraId="22B8D1FA" w14:textId="40C47771" w:rsidR="000C622C" w:rsidRPr="00E72168" w:rsidRDefault="000C622C" w:rsidP="000C622C">
            <w:pPr>
              <w:spacing w:after="0" w:line="240" w:lineRule="auto"/>
              <w:jc w:val="center"/>
              <w:rPr>
                <w:rFonts w:eastAsia="Times New Roman" w:cs="Times New Roman"/>
                <w:color w:val="17365D"/>
                <w:sz w:val="18"/>
                <w:szCs w:val="18"/>
                <w:lang w:eastAsia="lv-LV"/>
              </w:rPr>
            </w:pPr>
            <w:r w:rsidRPr="00E72168">
              <w:rPr>
                <w:rFonts w:cs="Times New Roman"/>
                <w:color w:val="17365D"/>
                <w:sz w:val="18"/>
                <w:szCs w:val="18"/>
              </w:rPr>
              <w:t>KB.1.3.</w:t>
            </w:r>
            <w:r>
              <w:rPr>
                <w:rFonts w:cs="Times New Roman"/>
                <w:color w:val="17365D"/>
                <w:sz w:val="18"/>
                <w:szCs w:val="18"/>
              </w:rPr>
              <w:t>1</w:t>
            </w:r>
            <w:r w:rsidRPr="00E72168">
              <w:rPr>
                <w:rFonts w:cs="Times New Roman"/>
                <w:color w:val="17365D"/>
                <w:sz w:val="18"/>
                <w:szCs w:val="18"/>
              </w:rPr>
              <w:t>.</w:t>
            </w:r>
          </w:p>
        </w:tc>
        <w:tc>
          <w:tcPr>
            <w:tcW w:w="784" w:type="pct"/>
            <w:gridSpan w:val="2"/>
            <w:tcBorders>
              <w:top w:val="single" w:sz="4" w:space="0" w:color="auto"/>
              <w:left w:val="nil"/>
              <w:bottom w:val="single" w:sz="4" w:space="0" w:color="auto"/>
              <w:right w:val="nil"/>
            </w:tcBorders>
            <w:shd w:val="clear" w:color="auto" w:fill="auto"/>
            <w:vAlign w:val="center"/>
          </w:tcPr>
          <w:p w14:paraId="275C3B1D" w14:textId="75C66F5B"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9 588 041 449</w:t>
            </w:r>
          </w:p>
        </w:tc>
        <w:tc>
          <w:tcPr>
            <w:tcW w:w="783" w:type="pct"/>
            <w:gridSpan w:val="2"/>
            <w:tcBorders>
              <w:top w:val="single" w:sz="4" w:space="0" w:color="auto"/>
              <w:left w:val="nil"/>
              <w:bottom w:val="single" w:sz="4" w:space="0" w:color="auto"/>
              <w:right w:val="nil"/>
            </w:tcBorders>
            <w:shd w:val="clear" w:color="auto" w:fill="auto"/>
            <w:vAlign w:val="center"/>
          </w:tcPr>
          <w:p w14:paraId="18549277" w14:textId="323D6252"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7 817 291 934</w:t>
            </w:r>
          </w:p>
        </w:tc>
        <w:tc>
          <w:tcPr>
            <w:tcW w:w="819" w:type="pct"/>
            <w:gridSpan w:val="2"/>
            <w:tcBorders>
              <w:top w:val="single" w:sz="4" w:space="0" w:color="auto"/>
              <w:left w:val="nil"/>
              <w:bottom w:val="single" w:sz="4" w:space="0" w:color="auto"/>
              <w:right w:val="nil"/>
            </w:tcBorders>
            <w:shd w:val="clear" w:color="auto" w:fill="auto"/>
            <w:noWrap/>
            <w:vAlign w:val="center"/>
          </w:tcPr>
          <w:p w14:paraId="7F83AB47" w14:textId="0EF38773"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1 770 749 515</w:t>
            </w:r>
          </w:p>
        </w:tc>
        <w:tc>
          <w:tcPr>
            <w:tcW w:w="710" w:type="pct"/>
            <w:gridSpan w:val="2"/>
            <w:tcBorders>
              <w:top w:val="single" w:sz="4" w:space="0" w:color="auto"/>
              <w:left w:val="nil"/>
              <w:bottom w:val="single" w:sz="4" w:space="0" w:color="auto"/>
              <w:right w:val="nil"/>
            </w:tcBorders>
            <w:shd w:val="clear" w:color="auto" w:fill="auto"/>
            <w:noWrap/>
            <w:vAlign w:val="center"/>
          </w:tcPr>
          <w:p w14:paraId="794ED101" w14:textId="286FD45B"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22.65</w:t>
            </w:r>
          </w:p>
        </w:tc>
      </w:tr>
      <w:tr w:rsidR="000C622C" w:rsidRPr="00E72168" w14:paraId="35D184FE" w14:textId="77777777" w:rsidTr="00A45AE1">
        <w:trPr>
          <w:trHeight w:val="408"/>
        </w:trPr>
        <w:tc>
          <w:tcPr>
            <w:tcW w:w="1417" w:type="pct"/>
            <w:tcBorders>
              <w:top w:val="single" w:sz="4" w:space="0" w:color="auto"/>
              <w:bottom w:val="single" w:sz="4" w:space="0" w:color="auto"/>
              <w:right w:val="nil"/>
            </w:tcBorders>
            <w:shd w:val="clear" w:color="auto" w:fill="auto"/>
            <w:vAlign w:val="center"/>
          </w:tcPr>
          <w:p w14:paraId="3F580376" w14:textId="3ABB5799" w:rsidR="000C622C" w:rsidRPr="00E72168" w:rsidRDefault="000C622C" w:rsidP="000C622C">
            <w:pPr>
              <w:spacing w:after="0" w:line="240" w:lineRule="auto"/>
              <w:rPr>
                <w:rFonts w:cs="Times New Roman"/>
                <w:color w:val="17365D"/>
                <w:sz w:val="18"/>
                <w:szCs w:val="18"/>
              </w:rPr>
            </w:pPr>
            <w:r w:rsidRPr="00E72168">
              <w:rPr>
                <w:rFonts w:cs="Times New Roman"/>
                <w:color w:val="17365D"/>
                <w:sz w:val="18"/>
                <w:szCs w:val="18"/>
              </w:rPr>
              <w:t>Turējumā nodoti ilgtermiņa finanšu ieguldījumi</w:t>
            </w:r>
          </w:p>
        </w:tc>
        <w:tc>
          <w:tcPr>
            <w:tcW w:w="486" w:type="pct"/>
            <w:gridSpan w:val="2"/>
            <w:tcBorders>
              <w:top w:val="single" w:sz="4" w:space="0" w:color="auto"/>
              <w:left w:val="nil"/>
              <w:bottom w:val="single" w:sz="4" w:space="0" w:color="auto"/>
              <w:right w:val="nil"/>
            </w:tcBorders>
            <w:shd w:val="clear" w:color="auto" w:fill="auto"/>
            <w:noWrap/>
            <w:vAlign w:val="center"/>
          </w:tcPr>
          <w:p w14:paraId="2E898C27" w14:textId="125B7558" w:rsidR="000C622C" w:rsidRPr="00E72168" w:rsidRDefault="000C622C" w:rsidP="000C622C">
            <w:pPr>
              <w:spacing w:after="0" w:line="240" w:lineRule="auto"/>
              <w:jc w:val="right"/>
              <w:rPr>
                <w:rFonts w:cs="Times New Roman"/>
                <w:color w:val="17365D"/>
                <w:sz w:val="18"/>
                <w:szCs w:val="18"/>
              </w:rPr>
            </w:pPr>
          </w:p>
        </w:tc>
        <w:tc>
          <w:tcPr>
            <w:tcW w:w="784" w:type="pct"/>
            <w:gridSpan w:val="2"/>
            <w:tcBorders>
              <w:top w:val="single" w:sz="4" w:space="0" w:color="auto"/>
              <w:left w:val="nil"/>
              <w:bottom w:val="single" w:sz="4" w:space="0" w:color="auto"/>
              <w:right w:val="nil"/>
            </w:tcBorders>
            <w:shd w:val="clear" w:color="auto" w:fill="auto"/>
            <w:vAlign w:val="center"/>
          </w:tcPr>
          <w:p w14:paraId="6DD2762D" w14:textId="59323B25"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139 220 284</w:t>
            </w:r>
          </w:p>
        </w:tc>
        <w:tc>
          <w:tcPr>
            <w:tcW w:w="783" w:type="pct"/>
            <w:gridSpan w:val="2"/>
            <w:tcBorders>
              <w:top w:val="single" w:sz="4" w:space="0" w:color="auto"/>
              <w:left w:val="nil"/>
              <w:bottom w:val="single" w:sz="4" w:space="0" w:color="auto"/>
              <w:right w:val="nil"/>
            </w:tcBorders>
            <w:shd w:val="clear" w:color="auto" w:fill="auto"/>
            <w:vAlign w:val="center"/>
          </w:tcPr>
          <w:p w14:paraId="3E0C9D86" w14:textId="515E81D3"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131 342 980</w:t>
            </w:r>
          </w:p>
        </w:tc>
        <w:tc>
          <w:tcPr>
            <w:tcW w:w="819" w:type="pct"/>
            <w:gridSpan w:val="2"/>
            <w:tcBorders>
              <w:top w:val="single" w:sz="4" w:space="0" w:color="auto"/>
              <w:left w:val="nil"/>
              <w:bottom w:val="single" w:sz="4" w:space="0" w:color="auto"/>
              <w:right w:val="nil"/>
            </w:tcBorders>
            <w:shd w:val="clear" w:color="auto" w:fill="auto"/>
            <w:noWrap/>
            <w:vAlign w:val="center"/>
          </w:tcPr>
          <w:p w14:paraId="0503FD38" w14:textId="7BEF0FC9"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7 877 304</w:t>
            </w:r>
          </w:p>
        </w:tc>
        <w:tc>
          <w:tcPr>
            <w:tcW w:w="710" w:type="pct"/>
            <w:gridSpan w:val="2"/>
            <w:tcBorders>
              <w:top w:val="single" w:sz="4" w:space="0" w:color="auto"/>
              <w:left w:val="nil"/>
              <w:bottom w:val="single" w:sz="4" w:space="0" w:color="auto"/>
              <w:right w:val="nil"/>
            </w:tcBorders>
            <w:shd w:val="clear" w:color="auto" w:fill="auto"/>
            <w:noWrap/>
            <w:vAlign w:val="center"/>
          </w:tcPr>
          <w:p w14:paraId="0515F12A" w14:textId="5ED19E6F"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6.00</w:t>
            </w:r>
          </w:p>
        </w:tc>
      </w:tr>
      <w:tr w:rsidR="000C622C" w:rsidRPr="00E72168" w14:paraId="799BF281" w14:textId="77777777" w:rsidTr="00A45AE1">
        <w:trPr>
          <w:trHeight w:val="408"/>
        </w:trPr>
        <w:tc>
          <w:tcPr>
            <w:tcW w:w="1417" w:type="pct"/>
            <w:tcBorders>
              <w:top w:val="single" w:sz="4" w:space="0" w:color="auto"/>
              <w:bottom w:val="single" w:sz="4" w:space="0" w:color="auto"/>
              <w:right w:val="nil"/>
            </w:tcBorders>
            <w:shd w:val="clear" w:color="auto" w:fill="auto"/>
            <w:vAlign w:val="center"/>
          </w:tcPr>
          <w:p w14:paraId="41E7C89C" w14:textId="01E5548D" w:rsidR="000C622C" w:rsidRPr="00E72168" w:rsidRDefault="000C622C" w:rsidP="000C622C">
            <w:pPr>
              <w:spacing w:after="0" w:line="240" w:lineRule="auto"/>
              <w:rPr>
                <w:rFonts w:cs="Times New Roman"/>
                <w:color w:val="17365D"/>
                <w:sz w:val="18"/>
                <w:szCs w:val="18"/>
              </w:rPr>
            </w:pPr>
            <w:r w:rsidRPr="00E72168">
              <w:rPr>
                <w:rFonts w:cs="Times New Roman"/>
                <w:color w:val="17365D"/>
                <w:sz w:val="18"/>
                <w:szCs w:val="18"/>
              </w:rPr>
              <w:t>Avansa maksājumi par ilgtermiņa finanšu ieguldījumiem</w:t>
            </w:r>
          </w:p>
        </w:tc>
        <w:tc>
          <w:tcPr>
            <w:tcW w:w="486" w:type="pct"/>
            <w:gridSpan w:val="2"/>
            <w:tcBorders>
              <w:top w:val="single" w:sz="4" w:space="0" w:color="auto"/>
              <w:left w:val="nil"/>
              <w:bottom w:val="single" w:sz="4" w:space="0" w:color="auto"/>
              <w:right w:val="nil"/>
            </w:tcBorders>
            <w:shd w:val="clear" w:color="auto" w:fill="auto"/>
            <w:noWrap/>
            <w:vAlign w:val="center"/>
          </w:tcPr>
          <w:p w14:paraId="7407D552" w14:textId="39E178DD" w:rsidR="000C622C" w:rsidRPr="00E72168" w:rsidRDefault="000C622C" w:rsidP="000C622C">
            <w:pPr>
              <w:spacing w:after="0" w:line="240" w:lineRule="auto"/>
              <w:jc w:val="right"/>
              <w:rPr>
                <w:rFonts w:cs="Times New Roman"/>
                <w:color w:val="17365D"/>
                <w:sz w:val="18"/>
                <w:szCs w:val="18"/>
              </w:rPr>
            </w:pPr>
          </w:p>
        </w:tc>
        <w:tc>
          <w:tcPr>
            <w:tcW w:w="784" w:type="pct"/>
            <w:gridSpan w:val="2"/>
            <w:tcBorders>
              <w:top w:val="single" w:sz="4" w:space="0" w:color="auto"/>
              <w:left w:val="nil"/>
              <w:bottom w:val="single" w:sz="4" w:space="0" w:color="auto"/>
              <w:right w:val="nil"/>
            </w:tcBorders>
            <w:shd w:val="clear" w:color="auto" w:fill="auto"/>
            <w:vAlign w:val="center"/>
          </w:tcPr>
          <w:p w14:paraId="6B8FA405" w14:textId="6E5A752C"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8 773 137</w:t>
            </w:r>
          </w:p>
        </w:tc>
        <w:tc>
          <w:tcPr>
            <w:tcW w:w="783" w:type="pct"/>
            <w:gridSpan w:val="2"/>
            <w:tcBorders>
              <w:top w:val="single" w:sz="4" w:space="0" w:color="auto"/>
              <w:left w:val="nil"/>
              <w:bottom w:val="single" w:sz="4" w:space="0" w:color="auto"/>
              <w:right w:val="nil"/>
            </w:tcBorders>
            <w:shd w:val="clear" w:color="auto" w:fill="auto"/>
            <w:vAlign w:val="center"/>
          </w:tcPr>
          <w:p w14:paraId="00945020" w14:textId="11E13B7F"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14 273 773</w:t>
            </w:r>
          </w:p>
        </w:tc>
        <w:tc>
          <w:tcPr>
            <w:tcW w:w="819" w:type="pct"/>
            <w:gridSpan w:val="2"/>
            <w:tcBorders>
              <w:top w:val="single" w:sz="4" w:space="0" w:color="auto"/>
              <w:left w:val="nil"/>
              <w:bottom w:val="single" w:sz="4" w:space="0" w:color="auto"/>
              <w:right w:val="nil"/>
            </w:tcBorders>
            <w:shd w:val="clear" w:color="auto" w:fill="auto"/>
            <w:noWrap/>
            <w:vAlign w:val="center"/>
          </w:tcPr>
          <w:p w14:paraId="54D29C4A" w14:textId="030A3841"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-5 500 636</w:t>
            </w:r>
          </w:p>
        </w:tc>
        <w:tc>
          <w:tcPr>
            <w:tcW w:w="710" w:type="pct"/>
            <w:gridSpan w:val="2"/>
            <w:tcBorders>
              <w:top w:val="single" w:sz="4" w:space="0" w:color="auto"/>
              <w:left w:val="nil"/>
              <w:bottom w:val="single" w:sz="4" w:space="0" w:color="auto"/>
              <w:right w:val="nil"/>
            </w:tcBorders>
            <w:shd w:val="clear" w:color="auto" w:fill="auto"/>
            <w:noWrap/>
            <w:vAlign w:val="center"/>
          </w:tcPr>
          <w:p w14:paraId="2EC2935C" w14:textId="7D0DAC85"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-38.54</w:t>
            </w:r>
          </w:p>
        </w:tc>
      </w:tr>
      <w:tr w:rsidR="000C622C" w:rsidRPr="00E72168" w14:paraId="12A3D600" w14:textId="77777777" w:rsidTr="00A45AE1">
        <w:trPr>
          <w:trHeight w:val="408"/>
        </w:trPr>
        <w:tc>
          <w:tcPr>
            <w:tcW w:w="1417" w:type="pct"/>
            <w:tcBorders>
              <w:top w:val="single" w:sz="4" w:space="0" w:color="auto"/>
              <w:bottom w:val="single" w:sz="4" w:space="0" w:color="auto"/>
              <w:right w:val="nil"/>
            </w:tcBorders>
            <w:shd w:val="clear" w:color="auto" w:fill="auto"/>
            <w:vAlign w:val="center"/>
          </w:tcPr>
          <w:p w14:paraId="54842FFA" w14:textId="5C125392" w:rsidR="000C622C" w:rsidRPr="00E72168" w:rsidRDefault="000C622C" w:rsidP="000C622C">
            <w:pPr>
              <w:spacing w:after="0" w:line="240" w:lineRule="auto"/>
              <w:rPr>
                <w:rFonts w:cs="Times New Roman"/>
                <w:color w:val="17365D"/>
                <w:sz w:val="18"/>
                <w:szCs w:val="18"/>
              </w:rPr>
            </w:pPr>
            <w:r w:rsidRPr="00591DB5">
              <w:rPr>
                <w:rFonts w:cs="Times New Roman"/>
                <w:color w:val="17365D"/>
                <w:sz w:val="18"/>
                <w:szCs w:val="18"/>
              </w:rPr>
              <w:t>Ilgtermiņa prasības par atvasinātajiem finanšu instrumentiem</w:t>
            </w:r>
          </w:p>
        </w:tc>
        <w:tc>
          <w:tcPr>
            <w:tcW w:w="486" w:type="pct"/>
            <w:gridSpan w:val="2"/>
            <w:tcBorders>
              <w:top w:val="single" w:sz="4" w:space="0" w:color="auto"/>
              <w:left w:val="nil"/>
              <w:bottom w:val="single" w:sz="4" w:space="0" w:color="auto"/>
              <w:right w:val="nil"/>
            </w:tcBorders>
            <w:shd w:val="clear" w:color="auto" w:fill="auto"/>
            <w:noWrap/>
            <w:vAlign w:val="center"/>
          </w:tcPr>
          <w:p w14:paraId="6E3160F6" w14:textId="77777777" w:rsidR="000C622C" w:rsidRPr="00E72168" w:rsidRDefault="000C622C" w:rsidP="000C622C">
            <w:pPr>
              <w:spacing w:after="0" w:line="240" w:lineRule="auto"/>
              <w:jc w:val="right"/>
              <w:rPr>
                <w:rFonts w:cs="Times New Roman"/>
                <w:color w:val="17365D"/>
                <w:sz w:val="18"/>
                <w:szCs w:val="18"/>
              </w:rPr>
            </w:pPr>
          </w:p>
        </w:tc>
        <w:tc>
          <w:tcPr>
            <w:tcW w:w="784" w:type="pct"/>
            <w:gridSpan w:val="2"/>
            <w:tcBorders>
              <w:top w:val="single" w:sz="4" w:space="0" w:color="auto"/>
              <w:left w:val="nil"/>
              <w:bottom w:val="single" w:sz="4" w:space="0" w:color="auto"/>
              <w:right w:val="nil"/>
            </w:tcBorders>
            <w:shd w:val="clear" w:color="auto" w:fill="auto"/>
            <w:vAlign w:val="center"/>
          </w:tcPr>
          <w:p w14:paraId="7761A0B8" w14:textId="10A056E4"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40 901 913</w:t>
            </w:r>
          </w:p>
        </w:tc>
        <w:tc>
          <w:tcPr>
            <w:tcW w:w="783" w:type="pct"/>
            <w:gridSpan w:val="2"/>
            <w:tcBorders>
              <w:top w:val="single" w:sz="4" w:space="0" w:color="auto"/>
              <w:left w:val="nil"/>
              <w:bottom w:val="single" w:sz="4" w:space="0" w:color="auto"/>
              <w:right w:val="nil"/>
            </w:tcBorders>
            <w:shd w:val="clear" w:color="auto" w:fill="auto"/>
            <w:vAlign w:val="center"/>
          </w:tcPr>
          <w:p w14:paraId="775FADA6" w14:textId="723223F2"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0</w:t>
            </w:r>
          </w:p>
        </w:tc>
        <w:tc>
          <w:tcPr>
            <w:tcW w:w="819" w:type="pct"/>
            <w:gridSpan w:val="2"/>
            <w:tcBorders>
              <w:top w:val="single" w:sz="4" w:space="0" w:color="auto"/>
              <w:left w:val="nil"/>
              <w:bottom w:val="single" w:sz="4" w:space="0" w:color="auto"/>
              <w:right w:val="nil"/>
            </w:tcBorders>
            <w:shd w:val="clear" w:color="auto" w:fill="auto"/>
            <w:noWrap/>
            <w:vAlign w:val="center"/>
          </w:tcPr>
          <w:p w14:paraId="2C95AE6B" w14:textId="0899E0D2"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40 901 913</w:t>
            </w:r>
          </w:p>
        </w:tc>
        <w:tc>
          <w:tcPr>
            <w:tcW w:w="710" w:type="pct"/>
            <w:gridSpan w:val="2"/>
            <w:tcBorders>
              <w:top w:val="single" w:sz="4" w:space="0" w:color="auto"/>
              <w:left w:val="nil"/>
              <w:bottom w:val="single" w:sz="4" w:space="0" w:color="auto"/>
              <w:right w:val="nil"/>
            </w:tcBorders>
            <w:shd w:val="clear" w:color="auto" w:fill="auto"/>
            <w:noWrap/>
            <w:vAlign w:val="center"/>
          </w:tcPr>
          <w:p w14:paraId="0551151E" w14:textId="12528CF7" w:rsidR="000C622C" w:rsidRPr="000C622C" w:rsidRDefault="000C622C" w:rsidP="000C622C">
            <w:pPr>
              <w:spacing w:after="0" w:line="240" w:lineRule="auto"/>
              <w:jc w:val="right"/>
              <w:rPr>
                <w:rFonts w:cs="Times New Roman"/>
                <w:color w:val="17365D"/>
                <w:sz w:val="18"/>
                <w:szCs w:val="18"/>
              </w:rPr>
            </w:pPr>
            <w:r w:rsidRPr="000C622C">
              <w:rPr>
                <w:rFonts w:cs="Times New Roman"/>
                <w:color w:val="17365D"/>
                <w:sz w:val="18"/>
                <w:szCs w:val="18"/>
              </w:rPr>
              <w:t>100.00</w:t>
            </w:r>
          </w:p>
        </w:tc>
      </w:tr>
      <w:tr w:rsidR="000C1009" w:rsidRPr="00E72168" w14:paraId="651642F6" w14:textId="77777777" w:rsidTr="00A45AE1">
        <w:trPr>
          <w:trHeight w:val="202"/>
        </w:trPr>
        <w:tc>
          <w:tcPr>
            <w:tcW w:w="1542" w:type="pct"/>
            <w:gridSpan w:val="2"/>
            <w:tcBorders>
              <w:top w:val="single" w:sz="4" w:space="0" w:color="auto"/>
            </w:tcBorders>
            <w:shd w:val="clear" w:color="auto" w:fill="B9CDE5"/>
            <w:vAlign w:val="center"/>
          </w:tcPr>
          <w:p w14:paraId="72C26D5A" w14:textId="77777777" w:rsidR="00B131AA" w:rsidRPr="00E72168" w:rsidRDefault="00B131AA" w:rsidP="00B52074">
            <w:pPr>
              <w:spacing w:after="0"/>
              <w:rPr>
                <w:rFonts w:eastAsia="Times New Roman" w:cs="Times New Roman"/>
                <w:color w:val="17365D"/>
                <w:sz w:val="18"/>
                <w:szCs w:val="18"/>
                <w:lang w:eastAsia="lv-LV"/>
              </w:rPr>
            </w:pPr>
          </w:p>
        </w:tc>
        <w:tc>
          <w:tcPr>
            <w:tcW w:w="512" w:type="pct"/>
            <w:gridSpan w:val="2"/>
            <w:tcBorders>
              <w:top w:val="single" w:sz="4" w:space="0" w:color="auto"/>
            </w:tcBorders>
            <w:shd w:val="clear" w:color="auto" w:fill="B9CDE5"/>
            <w:noWrap/>
            <w:vAlign w:val="center"/>
          </w:tcPr>
          <w:p w14:paraId="27EA1513" w14:textId="77777777" w:rsidR="00B131AA" w:rsidRPr="00E72168" w:rsidRDefault="00B131AA" w:rsidP="00B52074">
            <w:pPr>
              <w:spacing w:after="0"/>
              <w:jc w:val="center"/>
              <w:rPr>
                <w:rFonts w:eastAsia="Times New Roman" w:cs="Times New Roman"/>
                <w:color w:val="17365D"/>
                <w:sz w:val="18"/>
                <w:szCs w:val="18"/>
                <w:lang w:eastAsia="lv-LV"/>
              </w:rPr>
            </w:pPr>
          </w:p>
        </w:tc>
        <w:tc>
          <w:tcPr>
            <w:tcW w:w="781" w:type="pct"/>
            <w:gridSpan w:val="2"/>
            <w:tcBorders>
              <w:top w:val="single" w:sz="4" w:space="0" w:color="auto"/>
            </w:tcBorders>
            <w:shd w:val="clear" w:color="auto" w:fill="B9CDE5"/>
            <w:noWrap/>
            <w:vAlign w:val="center"/>
          </w:tcPr>
          <w:p w14:paraId="5A374BA6" w14:textId="77777777" w:rsidR="00B131AA" w:rsidRPr="00E72168" w:rsidRDefault="00B131AA" w:rsidP="00B52074">
            <w:pPr>
              <w:spacing w:after="0"/>
              <w:jc w:val="right"/>
              <w:rPr>
                <w:rFonts w:eastAsia="Times New Roman" w:cs="Times New Roman"/>
                <w:color w:val="17365D"/>
                <w:sz w:val="18"/>
                <w:szCs w:val="18"/>
                <w:lang w:eastAsia="lv-LV"/>
              </w:rPr>
            </w:pPr>
          </w:p>
        </w:tc>
        <w:tc>
          <w:tcPr>
            <w:tcW w:w="772" w:type="pct"/>
            <w:gridSpan w:val="2"/>
            <w:tcBorders>
              <w:top w:val="single" w:sz="4" w:space="0" w:color="auto"/>
            </w:tcBorders>
            <w:shd w:val="clear" w:color="auto" w:fill="B9CDE5"/>
            <w:noWrap/>
            <w:vAlign w:val="center"/>
          </w:tcPr>
          <w:p w14:paraId="165DFFAA" w14:textId="77777777" w:rsidR="00B131AA" w:rsidRPr="00E72168" w:rsidRDefault="00B131AA" w:rsidP="00B52074">
            <w:pPr>
              <w:spacing w:after="0"/>
              <w:jc w:val="right"/>
              <w:rPr>
                <w:rFonts w:eastAsia="Times New Roman" w:cs="Times New Roman"/>
                <w:color w:val="17365D"/>
                <w:sz w:val="18"/>
                <w:szCs w:val="18"/>
                <w:lang w:eastAsia="lv-LV"/>
              </w:rPr>
            </w:pPr>
          </w:p>
        </w:tc>
        <w:tc>
          <w:tcPr>
            <w:tcW w:w="720" w:type="pct"/>
            <w:gridSpan w:val="2"/>
            <w:tcBorders>
              <w:top w:val="single" w:sz="4" w:space="0" w:color="auto"/>
            </w:tcBorders>
            <w:shd w:val="clear" w:color="auto" w:fill="B9CDE5"/>
            <w:noWrap/>
            <w:vAlign w:val="center"/>
          </w:tcPr>
          <w:p w14:paraId="2F25E6DD" w14:textId="77777777" w:rsidR="00B131AA" w:rsidRPr="00E72168" w:rsidRDefault="00B131AA" w:rsidP="00B52074">
            <w:pPr>
              <w:spacing w:after="0"/>
              <w:jc w:val="right"/>
              <w:rPr>
                <w:rFonts w:eastAsia="Times New Roman" w:cs="Times New Roman"/>
                <w:color w:val="17365D"/>
                <w:sz w:val="18"/>
                <w:szCs w:val="18"/>
                <w:lang w:eastAsia="lv-LV"/>
              </w:rPr>
            </w:pPr>
          </w:p>
        </w:tc>
        <w:tc>
          <w:tcPr>
            <w:tcW w:w="672" w:type="pct"/>
            <w:tcBorders>
              <w:top w:val="single" w:sz="4" w:space="0" w:color="auto"/>
            </w:tcBorders>
            <w:shd w:val="clear" w:color="auto" w:fill="B9CDE5"/>
            <w:noWrap/>
            <w:vAlign w:val="center"/>
          </w:tcPr>
          <w:p w14:paraId="5C167869" w14:textId="77777777" w:rsidR="00B131AA" w:rsidRPr="00E72168" w:rsidRDefault="00B131AA" w:rsidP="00B52074">
            <w:pPr>
              <w:spacing w:after="0"/>
              <w:jc w:val="right"/>
              <w:rPr>
                <w:rFonts w:eastAsia="Times New Roman" w:cs="Times New Roman"/>
                <w:color w:val="17365D"/>
                <w:sz w:val="18"/>
                <w:szCs w:val="18"/>
                <w:lang w:eastAsia="lv-LV"/>
              </w:rPr>
            </w:pPr>
          </w:p>
        </w:tc>
      </w:tr>
    </w:tbl>
    <w:p w14:paraId="4B2DA1F9" w14:textId="77777777" w:rsidR="00A92371" w:rsidRDefault="00A92371" w:rsidP="000D2C39">
      <w:pPr>
        <w:pStyle w:val="Pamatteksts1"/>
        <w:rPr>
          <w:highlight w:val="yellow"/>
        </w:rPr>
      </w:pPr>
    </w:p>
    <w:p w14:paraId="290F1F87" w14:textId="1FF525F1" w:rsidR="009C482E" w:rsidRPr="009E7723" w:rsidRDefault="00987D7D" w:rsidP="000D2C39">
      <w:pPr>
        <w:pStyle w:val="Pamatteksts1"/>
      </w:pPr>
      <w:r w:rsidRPr="009E7723">
        <w:t>L</w:t>
      </w:r>
      <w:r w:rsidR="002020FF" w:rsidRPr="009E7723">
        <w:t>īdzdalības radniecīgās un asociētās kapitālsabiedrībās</w:t>
      </w:r>
      <w:r w:rsidRPr="009E7723">
        <w:t>, tai skaitā turējumā nodot</w:t>
      </w:r>
      <w:r w:rsidR="002375B3" w:rsidRPr="009E7723">
        <w:t>ā</w:t>
      </w:r>
      <w:r w:rsidRPr="009E7723">
        <w:t>s līdzdalības</w:t>
      </w:r>
      <w:r w:rsidR="002020FF" w:rsidRPr="009E7723">
        <w:t xml:space="preserve"> vērtība pēc pašu kapitāla metodes </w:t>
      </w:r>
      <w:r w:rsidRPr="009E7723">
        <w:t xml:space="preserve">atsevišķos gadījumos </w:t>
      </w:r>
      <w:r w:rsidR="002020FF" w:rsidRPr="009E7723">
        <w:t>pārrēķināta, izmantojot kapitālsabiedrību pašu kapitāla datus par iepriekšējiem pārskata periodiem vai nepilnu pārskata periodu. Dati par pilnu pārskata periodu nav izmantoti, j</w:t>
      </w:r>
      <w:r w:rsidR="000313B4" w:rsidRPr="009E7723">
        <w:t>a</w:t>
      </w:r>
      <w:r w:rsidR="002020FF" w:rsidRPr="009E7723">
        <w:t xml:space="preserve"> attiecīgā kapitālsabiedrība tādus nav iesniegusi, uzsākts</w:t>
      </w:r>
      <w:r w:rsidR="00FE1DE2" w:rsidRPr="009E7723">
        <w:t xml:space="preserve"> kapitālsabiedrības</w:t>
      </w:r>
      <w:r w:rsidR="001235C4" w:rsidRPr="009E7723">
        <w:t xml:space="preserve"> likvidācijas process, </w:t>
      </w:r>
      <w:r w:rsidR="00FE1DE2" w:rsidRPr="009E7723">
        <w:t>attiecīgā kapitālsabiedrība pārskata gadā reorganizēta</w:t>
      </w:r>
      <w:r w:rsidR="001235C4" w:rsidRPr="009E7723">
        <w:t xml:space="preserve"> vai atsavinātas tās kapitāla daļas.</w:t>
      </w:r>
    </w:p>
    <w:p w14:paraId="0D204413" w14:textId="77777777" w:rsidR="00A45AE1" w:rsidRDefault="00A45AE1" w:rsidP="000D2C39">
      <w:pPr>
        <w:pStyle w:val="Pamatteksts1"/>
      </w:pPr>
    </w:p>
    <w:p w14:paraId="12C1E7E9" w14:textId="66D1791D" w:rsidR="00304751" w:rsidRDefault="00304751" w:rsidP="000D2C39">
      <w:pPr>
        <w:pStyle w:val="Pamatteksts1"/>
      </w:pPr>
      <w:r w:rsidRPr="009E7723">
        <w:t>Pielietojot pašu kapitāla metodi līdzdalības radniecīgās un asociētās kapitālsabiedrībās novērtēšanai, ieguldījuma vērtību samazina līdz nullei, ja kapitālsabiedrības pašu kapitāla vērtība ir negatīva. Pārskata perioda beigās saskaņā ar ministriju, centrālo valsts iestāžu un pašvaldību sniegto informāciju</w:t>
      </w:r>
      <w:r w:rsidR="003A5AEB">
        <w:t xml:space="preserve"> 1.6. tabulā uzrādīta cita informācija par līdzdalību radniecīgās un asociētās kapitālsabiedrībās.</w:t>
      </w:r>
    </w:p>
    <w:p w14:paraId="0D2FE9C1" w14:textId="77777777" w:rsidR="00854AC6" w:rsidRDefault="00854AC6" w:rsidP="000D2C39">
      <w:pPr>
        <w:pStyle w:val="Pamatteksts1"/>
      </w:pPr>
    </w:p>
    <w:p w14:paraId="6F8A6748" w14:textId="77777777" w:rsidR="00854AC6" w:rsidRDefault="00854AC6" w:rsidP="000D2C39">
      <w:pPr>
        <w:pStyle w:val="Pamatteksts1"/>
      </w:pPr>
    </w:p>
    <w:p w14:paraId="17A4F176" w14:textId="77777777" w:rsidR="00854AC6" w:rsidRDefault="00854AC6" w:rsidP="000D2C39">
      <w:pPr>
        <w:pStyle w:val="Pamatteksts1"/>
      </w:pPr>
    </w:p>
    <w:p w14:paraId="231A96FE" w14:textId="77777777" w:rsidR="00854AC6" w:rsidRDefault="00854AC6" w:rsidP="000D2C39">
      <w:pPr>
        <w:pStyle w:val="Pamatteksts1"/>
      </w:pPr>
    </w:p>
    <w:p w14:paraId="0ACAB2A3" w14:textId="77777777" w:rsidR="00854AC6" w:rsidRDefault="00854AC6" w:rsidP="000D2C39">
      <w:pPr>
        <w:pStyle w:val="Pamatteksts1"/>
      </w:pPr>
    </w:p>
    <w:p w14:paraId="3E9C0458" w14:textId="77777777" w:rsidR="00854AC6" w:rsidRDefault="00854AC6" w:rsidP="000D2C39">
      <w:pPr>
        <w:pStyle w:val="Pamatteksts1"/>
      </w:pPr>
    </w:p>
    <w:p w14:paraId="6870BB59" w14:textId="77777777" w:rsidR="00854AC6" w:rsidRPr="009E7723" w:rsidRDefault="00854AC6" w:rsidP="000D2C39">
      <w:pPr>
        <w:pStyle w:val="Pamatteksts1"/>
      </w:pPr>
    </w:p>
    <w:p w14:paraId="1D1DC360" w14:textId="77777777" w:rsidR="00A45AE1" w:rsidRDefault="00A45AE1" w:rsidP="00324AC5">
      <w:pPr>
        <w:pStyle w:val="Tabnosauk"/>
      </w:pPr>
    </w:p>
    <w:p w14:paraId="4E0E4A66" w14:textId="77777777" w:rsidR="00A45AE1" w:rsidRDefault="00A45AE1" w:rsidP="00324AC5">
      <w:pPr>
        <w:pStyle w:val="Tabnosauk"/>
      </w:pPr>
    </w:p>
    <w:p w14:paraId="2CE05BC7" w14:textId="77777777" w:rsidR="00A45AE1" w:rsidRDefault="00A45AE1" w:rsidP="00324AC5">
      <w:pPr>
        <w:pStyle w:val="Tabnosauk"/>
      </w:pPr>
    </w:p>
    <w:p w14:paraId="7EDA20CE" w14:textId="53292A51" w:rsidR="00795BB1" w:rsidRDefault="00795BB1" w:rsidP="00324AC5">
      <w:pPr>
        <w:pStyle w:val="Tabnosauk"/>
      </w:pPr>
      <w:r w:rsidRPr="00E264C8">
        <w:lastRenderedPageBreak/>
        <w:t>1.6.tabula. Cita</w:t>
      </w:r>
      <w:r w:rsidRPr="00795BB1">
        <w:t xml:space="preserve"> informācija par kapitālsabiedrību proporcionāli līdzdalības daļai</w:t>
      </w:r>
      <w:r w:rsidR="00A45AE1">
        <w:t xml:space="preserve"> (</w:t>
      </w:r>
      <w:proofErr w:type="spellStart"/>
      <w:r w:rsidR="00A45AE1">
        <w:t>euro</w:t>
      </w:r>
      <w:proofErr w:type="spellEnd"/>
      <w:r w:rsidR="00A45AE1">
        <w:t>)</w:t>
      </w:r>
    </w:p>
    <w:tbl>
      <w:tblPr>
        <w:tblW w:w="9329" w:type="dxa"/>
        <w:tblLayout w:type="fixed"/>
        <w:tblLook w:val="04A0" w:firstRow="1" w:lastRow="0" w:firstColumn="1" w:lastColumn="0" w:noHBand="0" w:noVBand="1"/>
      </w:tblPr>
      <w:tblGrid>
        <w:gridCol w:w="1843"/>
        <w:gridCol w:w="1417"/>
        <w:gridCol w:w="1413"/>
        <w:gridCol w:w="1281"/>
        <w:gridCol w:w="1480"/>
        <w:gridCol w:w="1044"/>
        <w:gridCol w:w="851"/>
      </w:tblGrid>
      <w:tr w:rsidR="00A45AE1" w:rsidRPr="007C78F0" w14:paraId="725C1238" w14:textId="77777777" w:rsidTr="00A45AE1">
        <w:trPr>
          <w:trHeight w:val="765"/>
        </w:trPr>
        <w:tc>
          <w:tcPr>
            <w:tcW w:w="1843" w:type="dxa"/>
            <w:vMerge w:val="restart"/>
            <w:shd w:val="clear" w:color="auto" w:fill="B9CDE5"/>
            <w:vAlign w:val="center"/>
          </w:tcPr>
          <w:p w14:paraId="5A7A75C5" w14:textId="7AE3859C" w:rsidR="00A45AE1" w:rsidRPr="00865D19"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Kapitālsabiedrības nosaukums</w:t>
            </w:r>
          </w:p>
        </w:tc>
        <w:tc>
          <w:tcPr>
            <w:tcW w:w="2830" w:type="dxa"/>
            <w:gridSpan w:val="2"/>
            <w:tcBorders>
              <w:bottom w:val="single" w:sz="4" w:space="0" w:color="17365D"/>
            </w:tcBorders>
            <w:shd w:val="clear" w:color="auto" w:fill="B9CDE5"/>
            <w:vAlign w:val="center"/>
          </w:tcPr>
          <w:p w14:paraId="0371ECD1" w14:textId="782D49FB" w:rsidR="00A45AE1" w:rsidRPr="00865D19"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Kapitālsabiedrības neatzītā zaudējumu daļa, ja kapitāla daļu turētājs pārstājis atzīt savu daļu kapitālsabiedrības zaudējumos</w:t>
            </w:r>
          </w:p>
        </w:tc>
        <w:tc>
          <w:tcPr>
            <w:tcW w:w="1281" w:type="dxa"/>
            <w:vMerge w:val="restart"/>
            <w:shd w:val="clear" w:color="auto" w:fill="B9CDE5"/>
            <w:vAlign w:val="center"/>
          </w:tcPr>
          <w:p w14:paraId="4496BC02" w14:textId="5D24E5B2" w:rsidR="00A45AE1" w:rsidRPr="00865D19"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Peļņas daļa</w:t>
            </w:r>
            <w:r>
              <w:rPr>
                <w:rFonts w:eastAsia="Times New Roman" w:cs="Times New Roman"/>
                <w:b/>
                <w:color w:val="17365D"/>
                <w:sz w:val="18"/>
                <w:szCs w:val="18"/>
                <w:lang w:eastAsia="lv-LV"/>
              </w:rPr>
              <w:t xml:space="preserve">, </w:t>
            </w:r>
            <w:r w:rsidRPr="00865D19">
              <w:rPr>
                <w:rFonts w:eastAsia="Times New Roman" w:cs="Times New Roman"/>
                <w:b/>
                <w:color w:val="17365D"/>
                <w:sz w:val="18"/>
                <w:szCs w:val="18"/>
                <w:lang w:eastAsia="lv-LV"/>
              </w:rPr>
              <w:t>kas nepārsniedz zaudējumus</w:t>
            </w:r>
          </w:p>
        </w:tc>
        <w:tc>
          <w:tcPr>
            <w:tcW w:w="1480" w:type="dxa"/>
            <w:vMerge w:val="restart"/>
            <w:shd w:val="clear" w:color="auto" w:fill="B9CDE5"/>
            <w:vAlign w:val="center"/>
          </w:tcPr>
          <w:p w14:paraId="65B76766" w14:textId="5E86D176" w:rsidR="00A45AE1" w:rsidRPr="00865D19"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Iespējamo saistību summa</w:t>
            </w:r>
            <w:r>
              <w:rPr>
                <w:rFonts w:eastAsia="Times New Roman" w:cs="Times New Roman"/>
                <w:b/>
                <w:color w:val="17365D"/>
                <w:sz w:val="18"/>
                <w:szCs w:val="18"/>
                <w:lang w:eastAsia="lv-LV"/>
              </w:rPr>
              <w:t xml:space="preserve">, kas </w:t>
            </w:r>
            <w:r w:rsidRPr="007611AA">
              <w:rPr>
                <w:rFonts w:eastAsia="Times New Roman" w:cs="Times New Roman"/>
                <w:b/>
                <w:color w:val="17365D"/>
                <w:sz w:val="18"/>
                <w:szCs w:val="18"/>
                <w:lang w:eastAsia="lv-LV"/>
              </w:rPr>
              <w:t xml:space="preserve"> </w:t>
            </w:r>
            <w:r>
              <w:rPr>
                <w:rFonts w:eastAsia="Times New Roman" w:cs="Times New Roman"/>
                <w:b/>
                <w:color w:val="17365D"/>
                <w:sz w:val="18"/>
                <w:szCs w:val="18"/>
                <w:lang w:eastAsia="lv-LV"/>
              </w:rPr>
              <w:t xml:space="preserve">attiecināma </w:t>
            </w:r>
            <w:r w:rsidRPr="007611AA">
              <w:rPr>
                <w:rFonts w:eastAsia="Times New Roman" w:cs="Times New Roman"/>
                <w:b/>
                <w:color w:val="17365D"/>
                <w:sz w:val="18"/>
                <w:szCs w:val="18"/>
                <w:lang w:eastAsia="lv-LV"/>
              </w:rPr>
              <w:t xml:space="preserve">uz ieguldījumiem radniecīgās un asociētās </w:t>
            </w:r>
            <w:proofErr w:type="spellStart"/>
            <w:r w:rsidRPr="007611AA">
              <w:rPr>
                <w:rFonts w:eastAsia="Times New Roman" w:cs="Times New Roman"/>
                <w:b/>
                <w:color w:val="17365D"/>
                <w:sz w:val="18"/>
                <w:szCs w:val="18"/>
                <w:lang w:eastAsia="lv-LV"/>
              </w:rPr>
              <w:t>kapitālsabiedrī</w:t>
            </w:r>
            <w:r>
              <w:rPr>
                <w:rFonts w:eastAsia="Times New Roman" w:cs="Times New Roman"/>
                <w:b/>
                <w:color w:val="17365D"/>
                <w:sz w:val="18"/>
                <w:szCs w:val="18"/>
                <w:lang w:eastAsia="lv-LV"/>
              </w:rPr>
              <w:t>-</w:t>
            </w:r>
            <w:r w:rsidRPr="007611AA">
              <w:rPr>
                <w:rFonts w:eastAsia="Times New Roman" w:cs="Times New Roman"/>
                <w:b/>
                <w:color w:val="17365D"/>
                <w:sz w:val="18"/>
                <w:szCs w:val="18"/>
                <w:lang w:eastAsia="lv-LV"/>
              </w:rPr>
              <w:t>bās</w:t>
            </w:r>
            <w:proofErr w:type="spellEnd"/>
            <w:r>
              <w:rPr>
                <w:rFonts w:eastAsia="Times New Roman" w:cs="Times New Roman"/>
                <w:b/>
                <w:color w:val="17365D"/>
                <w:sz w:val="18"/>
                <w:szCs w:val="18"/>
                <w:lang w:eastAsia="lv-LV"/>
              </w:rPr>
              <w:t>,</w:t>
            </w:r>
            <w:r w:rsidRPr="007611AA">
              <w:rPr>
                <w:rFonts w:eastAsia="Times New Roman" w:cs="Times New Roman"/>
                <w:b/>
                <w:color w:val="17365D"/>
                <w:sz w:val="18"/>
                <w:szCs w:val="18"/>
                <w:lang w:eastAsia="lv-LV"/>
              </w:rPr>
              <w:t xml:space="preserve"> pārskata perioda beigās</w:t>
            </w:r>
          </w:p>
        </w:tc>
        <w:tc>
          <w:tcPr>
            <w:tcW w:w="1895" w:type="dxa"/>
            <w:gridSpan w:val="2"/>
            <w:tcBorders>
              <w:bottom w:val="single" w:sz="4" w:space="0" w:color="17365D"/>
            </w:tcBorders>
            <w:shd w:val="clear" w:color="auto" w:fill="B9CDE5"/>
            <w:vAlign w:val="center"/>
          </w:tcPr>
          <w:p w14:paraId="42A5EC03" w14:textId="0F56A590" w:rsidR="00A45AE1" w:rsidRPr="00865D19"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Ierobežojumi</w:t>
            </w:r>
            <w:r>
              <w:rPr>
                <w:rFonts w:eastAsia="Times New Roman" w:cs="Times New Roman"/>
                <w:b/>
                <w:color w:val="17365D"/>
                <w:sz w:val="18"/>
                <w:szCs w:val="18"/>
                <w:lang w:eastAsia="lv-LV"/>
              </w:rPr>
              <w:t>,</w:t>
            </w:r>
            <w:r>
              <w:t xml:space="preserve"> </w:t>
            </w:r>
            <w:r w:rsidRPr="007611AA">
              <w:rPr>
                <w:rFonts w:eastAsia="Times New Roman" w:cs="Times New Roman"/>
                <w:b/>
                <w:color w:val="17365D"/>
                <w:sz w:val="18"/>
                <w:szCs w:val="18"/>
                <w:lang w:eastAsia="lv-LV"/>
              </w:rPr>
              <w:t>kas ietekmē kapitālsabiedrību spēju pārskaitīt naudas līdzekļus ieguldītājam dividenžu vai tamlīdzīgu maksājumu veidā</w:t>
            </w:r>
          </w:p>
        </w:tc>
      </w:tr>
      <w:tr w:rsidR="00A45AE1" w:rsidRPr="007C78F0" w14:paraId="503192ED" w14:textId="77777777" w:rsidTr="009A4177">
        <w:trPr>
          <w:trHeight w:val="765"/>
        </w:trPr>
        <w:tc>
          <w:tcPr>
            <w:tcW w:w="1843" w:type="dxa"/>
            <w:vMerge/>
            <w:tcBorders>
              <w:bottom w:val="single" w:sz="4" w:space="0" w:color="17365D"/>
            </w:tcBorders>
            <w:shd w:val="clear" w:color="auto" w:fill="B9CDE5"/>
            <w:vAlign w:val="center"/>
          </w:tcPr>
          <w:p w14:paraId="69D2E9FF" w14:textId="77777777" w:rsidR="00A45AE1" w:rsidRPr="00865D19" w:rsidRDefault="00A45AE1" w:rsidP="00865D19">
            <w:pPr>
              <w:spacing w:after="0"/>
              <w:jc w:val="center"/>
              <w:rPr>
                <w:rFonts w:eastAsia="Times New Roman" w:cs="Times New Roman"/>
                <w:b/>
                <w:color w:val="17365D"/>
                <w:sz w:val="18"/>
                <w:szCs w:val="18"/>
                <w:lang w:eastAsia="lv-LV"/>
              </w:rPr>
            </w:pPr>
          </w:p>
        </w:tc>
        <w:tc>
          <w:tcPr>
            <w:tcW w:w="1417" w:type="dxa"/>
            <w:tcBorders>
              <w:top w:val="single" w:sz="4" w:space="0" w:color="17365D"/>
              <w:bottom w:val="single" w:sz="4" w:space="0" w:color="17365D"/>
            </w:tcBorders>
            <w:shd w:val="clear" w:color="auto" w:fill="B9CDE5"/>
            <w:vAlign w:val="center"/>
          </w:tcPr>
          <w:p w14:paraId="5B67B94C" w14:textId="5241B046" w:rsidR="00A45AE1" w:rsidRPr="00E72168"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neatzītā zaudējumu daļa pārskata periodā</w:t>
            </w:r>
          </w:p>
        </w:tc>
        <w:tc>
          <w:tcPr>
            <w:tcW w:w="1413" w:type="dxa"/>
            <w:tcBorders>
              <w:top w:val="single" w:sz="4" w:space="0" w:color="17365D"/>
              <w:bottom w:val="single" w:sz="4" w:space="0" w:color="17365D"/>
            </w:tcBorders>
            <w:shd w:val="clear" w:color="auto" w:fill="B9CDE5"/>
            <w:vAlign w:val="center"/>
          </w:tcPr>
          <w:p w14:paraId="353C7466" w14:textId="4FB8DB36" w:rsidR="00A45AE1" w:rsidRPr="00E72168"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kopējā neatzītā zaudējumu daļa</w:t>
            </w:r>
          </w:p>
        </w:tc>
        <w:tc>
          <w:tcPr>
            <w:tcW w:w="1281" w:type="dxa"/>
            <w:vMerge/>
            <w:tcBorders>
              <w:bottom w:val="single" w:sz="4" w:space="0" w:color="17365D"/>
            </w:tcBorders>
            <w:shd w:val="clear" w:color="auto" w:fill="B9CDE5"/>
            <w:vAlign w:val="center"/>
          </w:tcPr>
          <w:p w14:paraId="6B4A3416" w14:textId="77777777" w:rsidR="00A45AE1" w:rsidRPr="00E72168" w:rsidRDefault="00A45AE1" w:rsidP="00865D19">
            <w:pPr>
              <w:spacing w:after="0"/>
              <w:jc w:val="center"/>
              <w:rPr>
                <w:rFonts w:eastAsia="Times New Roman" w:cs="Times New Roman"/>
                <w:b/>
                <w:color w:val="17365D"/>
                <w:sz w:val="18"/>
                <w:szCs w:val="18"/>
                <w:lang w:eastAsia="lv-LV"/>
              </w:rPr>
            </w:pPr>
          </w:p>
        </w:tc>
        <w:tc>
          <w:tcPr>
            <w:tcW w:w="1480" w:type="dxa"/>
            <w:vMerge/>
            <w:tcBorders>
              <w:bottom w:val="single" w:sz="4" w:space="0" w:color="17365D"/>
            </w:tcBorders>
            <w:shd w:val="clear" w:color="auto" w:fill="B9CDE5"/>
            <w:vAlign w:val="center"/>
          </w:tcPr>
          <w:p w14:paraId="18BD1154" w14:textId="77777777" w:rsidR="00A45AE1" w:rsidRPr="00E72168" w:rsidRDefault="00A45AE1" w:rsidP="00865D19">
            <w:pPr>
              <w:spacing w:after="0"/>
              <w:jc w:val="center"/>
              <w:rPr>
                <w:rFonts w:eastAsia="Times New Roman" w:cs="Times New Roman"/>
                <w:b/>
                <w:color w:val="17365D"/>
                <w:sz w:val="18"/>
                <w:szCs w:val="18"/>
                <w:lang w:eastAsia="lv-LV"/>
              </w:rPr>
            </w:pPr>
          </w:p>
        </w:tc>
        <w:tc>
          <w:tcPr>
            <w:tcW w:w="1044" w:type="dxa"/>
            <w:tcBorders>
              <w:top w:val="single" w:sz="4" w:space="0" w:color="17365D"/>
              <w:bottom w:val="single" w:sz="4" w:space="0" w:color="17365D"/>
            </w:tcBorders>
            <w:shd w:val="clear" w:color="auto" w:fill="B9CDE5"/>
            <w:vAlign w:val="center"/>
          </w:tcPr>
          <w:p w14:paraId="284E7532" w14:textId="4B22241D" w:rsidR="00A45AE1" w:rsidRPr="00E72168"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apraksts</w:t>
            </w:r>
          </w:p>
        </w:tc>
        <w:tc>
          <w:tcPr>
            <w:tcW w:w="851" w:type="dxa"/>
            <w:tcBorders>
              <w:top w:val="single" w:sz="4" w:space="0" w:color="17365D"/>
              <w:bottom w:val="single" w:sz="4" w:space="0" w:color="17365D"/>
            </w:tcBorders>
            <w:shd w:val="clear" w:color="auto" w:fill="B9CDE5"/>
            <w:vAlign w:val="center"/>
          </w:tcPr>
          <w:p w14:paraId="64F2C30C" w14:textId="77D04CD1" w:rsidR="00A45AE1" w:rsidRPr="00E72168" w:rsidRDefault="00A45AE1" w:rsidP="00865D19">
            <w:pPr>
              <w:spacing w:after="0"/>
              <w:jc w:val="center"/>
              <w:rPr>
                <w:rFonts w:eastAsia="Times New Roman" w:cs="Times New Roman"/>
                <w:b/>
                <w:color w:val="17365D"/>
                <w:sz w:val="18"/>
                <w:szCs w:val="18"/>
                <w:lang w:eastAsia="lv-LV"/>
              </w:rPr>
            </w:pPr>
            <w:r w:rsidRPr="007611AA">
              <w:rPr>
                <w:rFonts w:eastAsia="Times New Roman" w:cs="Times New Roman"/>
                <w:b/>
                <w:color w:val="17365D"/>
                <w:sz w:val="18"/>
                <w:szCs w:val="18"/>
                <w:lang w:eastAsia="lv-LV"/>
              </w:rPr>
              <w:t>summa</w:t>
            </w:r>
          </w:p>
        </w:tc>
      </w:tr>
      <w:tr w:rsidR="00795BB1" w:rsidRPr="007C78F0" w14:paraId="1361DC93" w14:textId="77777777" w:rsidTr="009A4177">
        <w:trPr>
          <w:trHeight w:val="288"/>
        </w:trPr>
        <w:tc>
          <w:tcPr>
            <w:tcW w:w="1843" w:type="dxa"/>
            <w:tcBorders>
              <w:top w:val="single" w:sz="4" w:space="0" w:color="17365D"/>
              <w:bottom w:val="single" w:sz="4" w:space="0" w:color="17365D"/>
            </w:tcBorders>
            <w:shd w:val="clear" w:color="auto" w:fill="auto"/>
            <w:vAlign w:val="center"/>
            <w:hideMark/>
          </w:tcPr>
          <w:p w14:paraId="15D21DB1" w14:textId="4A60DD55"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A</w:t>
            </w:r>
          </w:p>
        </w:tc>
        <w:tc>
          <w:tcPr>
            <w:tcW w:w="1417" w:type="dxa"/>
            <w:tcBorders>
              <w:top w:val="single" w:sz="4" w:space="0" w:color="17365D"/>
              <w:bottom w:val="single" w:sz="4" w:space="0" w:color="17365D"/>
            </w:tcBorders>
            <w:shd w:val="clear" w:color="auto" w:fill="auto"/>
            <w:noWrap/>
            <w:vAlign w:val="center"/>
            <w:hideMark/>
          </w:tcPr>
          <w:p w14:paraId="38C9D1C3" w14:textId="77777777"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1</w:t>
            </w:r>
          </w:p>
        </w:tc>
        <w:tc>
          <w:tcPr>
            <w:tcW w:w="1413" w:type="dxa"/>
            <w:tcBorders>
              <w:top w:val="single" w:sz="4" w:space="0" w:color="17365D"/>
              <w:bottom w:val="single" w:sz="4" w:space="0" w:color="17365D"/>
            </w:tcBorders>
            <w:shd w:val="clear" w:color="auto" w:fill="auto"/>
            <w:noWrap/>
            <w:vAlign w:val="center"/>
            <w:hideMark/>
          </w:tcPr>
          <w:p w14:paraId="3181041A" w14:textId="77777777"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2</w:t>
            </w:r>
          </w:p>
        </w:tc>
        <w:tc>
          <w:tcPr>
            <w:tcW w:w="1281" w:type="dxa"/>
            <w:tcBorders>
              <w:top w:val="single" w:sz="4" w:space="0" w:color="17365D"/>
              <w:bottom w:val="single" w:sz="4" w:space="0" w:color="17365D"/>
            </w:tcBorders>
            <w:shd w:val="clear" w:color="auto" w:fill="auto"/>
            <w:vAlign w:val="center"/>
            <w:hideMark/>
          </w:tcPr>
          <w:p w14:paraId="3D872041" w14:textId="77777777"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3</w:t>
            </w:r>
          </w:p>
        </w:tc>
        <w:tc>
          <w:tcPr>
            <w:tcW w:w="1480" w:type="dxa"/>
            <w:tcBorders>
              <w:top w:val="single" w:sz="4" w:space="0" w:color="17365D"/>
              <w:bottom w:val="single" w:sz="4" w:space="0" w:color="17365D"/>
            </w:tcBorders>
            <w:shd w:val="clear" w:color="auto" w:fill="auto"/>
            <w:noWrap/>
            <w:vAlign w:val="center"/>
            <w:hideMark/>
          </w:tcPr>
          <w:p w14:paraId="03ED2A0B" w14:textId="77777777"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4</w:t>
            </w:r>
          </w:p>
        </w:tc>
        <w:tc>
          <w:tcPr>
            <w:tcW w:w="1044" w:type="dxa"/>
            <w:tcBorders>
              <w:top w:val="single" w:sz="4" w:space="0" w:color="17365D"/>
              <w:bottom w:val="single" w:sz="4" w:space="0" w:color="17365D"/>
            </w:tcBorders>
            <w:shd w:val="clear" w:color="auto" w:fill="auto"/>
            <w:noWrap/>
            <w:vAlign w:val="center"/>
            <w:hideMark/>
          </w:tcPr>
          <w:p w14:paraId="3C72A5F6" w14:textId="757237AD"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B</w:t>
            </w:r>
          </w:p>
        </w:tc>
        <w:tc>
          <w:tcPr>
            <w:tcW w:w="851" w:type="dxa"/>
            <w:tcBorders>
              <w:top w:val="single" w:sz="4" w:space="0" w:color="17365D"/>
              <w:bottom w:val="single" w:sz="4" w:space="0" w:color="17365D"/>
            </w:tcBorders>
            <w:shd w:val="clear" w:color="auto" w:fill="auto"/>
            <w:noWrap/>
            <w:vAlign w:val="center"/>
            <w:hideMark/>
          </w:tcPr>
          <w:p w14:paraId="1555B087" w14:textId="77777777" w:rsidR="00865D19" w:rsidRPr="00865D19" w:rsidRDefault="00865D19" w:rsidP="00865D19">
            <w:pPr>
              <w:spacing w:after="0"/>
              <w:jc w:val="center"/>
              <w:rPr>
                <w:rFonts w:eastAsia="Times New Roman" w:cs="Times New Roman"/>
                <w:b/>
                <w:color w:val="17365D"/>
                <w:sz w:val="18"/>
                <w:szCs w:val="18"/>
                <w:lang w:eastAsia="lv-LV"/>
              </w:rPr>
            </w:pPr>
            <w:r w:rsidRPr="00865D19">
              <w:rPr>
                <w:rFonts w:eastAsia="Times New Roman" w:cs="Times New Roman"/>
                <w:b/>
                <w:color w:val="17365D"/>
                <w:sz w:val="18"/>
                <w:szCs w:val="18"/>
                <w:lang w:eastAsia="lv-LV"/>
              </w:rPr>
              <w:t>5</w:t>
            </w:r>
          </w:p>
        </w:tc>
      </w:tr>
      <w:tr w:rsidR="00865D19" w:rsidRPr="007C78F0" w14:paraId="2940180F" w14:textId="77777777" w:rsidTr="00A45AE1">
        <w:trPr>
          <w:trHeight w:val="64"/>
        </w:trPr>
        <w:tc>
          <w:tcPr>
            <w:tcW w:w="1843" w:type="dxa"/>
            <w:tcBorders>
              <w:top w:val="single" w:sz="4" w:space="0" w:color="17365D"/>
              <w:bottom w:val="single" w:sz="4" w:space="0" w:color="17365D"/>
            </w:tcBorders>
            <w:shd w:val="clear" w:color="auto" w:fill="auto"/>
            <w:vAlign w:val="center"/>
            <w:hideMark/>
          </w:tcPr>
          <w:p w14:paraId="2C57A95A" w14:textId="52973495" w:rsidR="00865D19" w:rsidRPr="007C78F0" w:rsidRDefault="00F20528" w:rsidP="00865D19">
            <w:pPr>
              <w:pStyle w:val="Tabteksti"/>
            </w:pPr>
            <w:r>
              <w:t xml:space="preserve">AS </w:t>
            </w:r>
            <w:r w:rsidR="00E264C8">
              <w:t>“</w:t>
            </w:r>
            <w:r w:rsidR="00865D19" w:rsidRPr="007C78F0">
              <w:t>Air Baltic Corporation</w:t>
            </w:r>
            <w:r w:rsidR="00E264C8">
              <w:t>”</w:t>
            </w:r>
          </w:p>
        </w:tc>
        <w:tc>
          <w:tcPr>
            <w:tcW w:w="1417" w:type="dxa"/>
            <w:tcBorders>
              <w:top w:val="single" w:sz="4" w:space="0" w:color="17365D"/>
              <w:bottom w:val="single" w:sz="4" w:space="0" w:color="17365D"/>
            </w:tcBorders>
            <w:shd w:val="clear" w:color="auto" w:fill="auto"/>
            <w:noWrap/>
            <w:vAlign w:val="center"/>
            <w:hideMark/>
          </w:tcPr>
          <w:p w14:paraId="3A08B325" w14:textId="77777777" w:rsidR="00865D19" w:rsidRPr="007C78F0" w:rsidRDefault="00865D19" w:rsidP="00865D19">
            <w:pPr>
              <w:pStyle w:val="Tabskaiti"/>
            </w:pPr>
            <w:r w:rsidRPr="007C78F0">
              <w:t>0</w:t>
            </w:r>
          </w:p>
        </w:tc>
        <w:tc>
          <w:tcPr>
            <w:tcW w:w="1413" w:type="dxa"/>
            <w:tcBorders>
              <w:top w:val="single" w:sz="4" w:space="0" w:color="17365D"/>
              <w:bottom w:val="single" w:sz="4" w:space="0" w:color="17365D"/>
            </w:tcBorders>
            <w:shd w:val="clear" w:color="auto" w:fill="auto"/>
            <w:noWrap/>
            <w:vAlign w:val="center"/>
            <w:hideMark/>
          </w:tcPr>
          <w:p w14:paraId="7ACD56EC" w14:textId="77777777" w:rsidR="00865D19" w:rsidRPr="007C78F0" w:rsidRDefault="00865D19" w:rsidP="00865D19">
            <w:pPr>
              <w:pStyle w:val="Tabskaiti"/>
            </w:pPr>
            <w:r w:rsidRPr="007C78F0">
              <w:t>163 112 781</w:t>
            </w:r>
          </w:p>
        </w:tc>
        <w:tc>
          <w:tcPr>
            <w:tcW w:w="1281" w:type="dxa"/>
            <w:tcBorders>
              <w:top w:val="single" w:sz="4" w:space="0" w:color="17365D"/>
              <w:bottom w:val="single" w:sz="4" w:space="0" w:color="17365D"/>
            </w:tcBorders>
            <w:shd w:val="clear" w:color="auto" w:fill="auto"/>
            <w:noWrap/>
            <w:vAlign w:val="center"/>
            <w:hideMark/>
          </w:tcPr>
          <w:p w14:paraId="328C9CB0" w14:textId="77777777" w:rsidR="00865D19" w:rsidRPr="007C78F0" w:rsidRDefault="00865D19" w:rsidP="00865D19">
            <w:pPr>
              <w:pStyle w:val="Tabskaiti"/>
            </w:pPr>
            <w:r w:rsidRPr="007C78F0">
              <w:t>0</w:t>
            </w:r>
          </w:p>
        </w:tc>
        <w:tc>
          <w:tcPr>
            <w:tcW w:w="1480" w:type="dxa"/>
            <w:tcBorders>
              <w:top w:val="single" w:sz="4" w:space="0" w:color="17365D"/>
              <w:bottom w:val="single" w:sz="4" w:space="0" w:color="17365D"/>
            </w:tcBorders>
            <w:shd w:val="clear" w:color="auto" w:fill="auto"/>
            <w:noWrap/>
            <w:vAlign w:val="center"/>
            <w:hideMark/>
          </w:tcPr>
          <w:p w14:paraId="5763D6A4" w14:textId="77777777" w:rsidR="00865D19" w:rsidRPr="007C78F0" w:rsidRDefault="00865D19" w:rsidP="00865D19">
            <w:pPr>
              <w:pStyle w:val="Tabskaiti"/>
            </w:pPr>
            <w:r w:rsidRPr="007C78F0">
              <w:t>0</w:t>
            </w:r>
          </w:p>
        </w:tc>
        <w:tc>
          <w:tcPr>
            <w:tcW w:w="1044" w:type="dxa"/>
            <w:tcBorders>
              <w:top w:val="single" w:sz="4" w:space="0" w:color="17365D"/>
              <w:bottom w:val="single" w:sz="4" w:space="0" w:color="17365D"/>
            </w:tcBorders>
            <w:shd w:val="clear" w:color="auto" w:fill="auto"/>
            <w:vAlign w:val="center"/>
            <w:hideMark/>
          </w:tcPr>
          <w:p w14:paraId="2C2E2F17"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02D15336" w14:textId="77777777" w:rsidR="00865D19" w:rsidRPr="007C78F0" w:rsidRDefault="00865D19" w:rsidP="00865D19">
            <w:pPr>
              <w:pStyle w:val="Tabskaiti"/>
            </w:pPr>
            <w:r w:rsidRPr="007C78F0">
              <w:t>0</w:t>
            </w:r>
          </w:p>
        </w:tc>
      </w:tr>
      <w:tr w:rsidR="00865D19" w:rsidRPr="007C78F0" w14:paraId="70367A84" w14:textId="77777777" w:rsidTr="00A45AE1">
        <w:trPr>
          <w:trHeight w:val="64"/>
        </w:trPr>
        <w:tc>
          <w:tcPr>
            <w:tcW w:w="1843" w:type="dxa"/>
            <w:tcBorders>
              <w:top w:val="single" w:sz="4" w:space="0" w:color="17365D"/>
              <w:bottom w:val="single" w:sz="4" w:space="0" w:color="17365D"/>
            </w:tcBorders>
            <w:shd w:val="clear" w:color="auto" w:fill="auto"/>
            <w:vAlign w:val="center"/>
            <w:hideMark/>
          </w:tcPr>
          <w:p w14:paraId="33CC06A1" w14:textId="2A683164" w:rsidR="00865D19" w:rsidRPr="007C78F0" w:rsidRDefault="00F20528" w:rsidP="00865D19">
            <w:pPr>
              <w:pStyle w:val="Tabteksti"/>
            </w:pPr>
            <w:r>
              <w:t>SIA</w:t>
            </w:r>
            <w:r w:rsidR="00865D19" w:rsidRPr="007C78F0">
              <w:t xml:space="preserve"> </w:t>
            </w:r>
            <w:r w:rsidR="008B7398">
              <w:t>“</w:t>
            </w:r>
            <w:r w:rsidR="00865D19" w:rsidRPr="007C78F0">
              <w:t>Ogres svēte</w:t>
            </w:r>
            <w:r w:rsidR="008B7398">
              <w:t>”</w:t>
            </w:r>
          </w:p>
        </w:tc>
        <w:tc>
          <w:tcPr>
            <w:tcW w:w="1417" w:type="dxa"/>
            <w:tcBorders>
              <w:top w:val="single" w:sz="4" w:space="0" w:color="17365D"/>
              <w:bottom w:val="single" w:sz="4" w:space="0" w:color="17365D"/>
            </w:tcBorders>
            <w:shd w:val="clear" w:color="auto" w:fill="auto"/>
            <w:noWrap/>
            <w:vAlign w:val="center"/>
            <w:hideMark/>
          </w:tcPr>
          <w:p w14:paraId="35271E23" w14:textId="77777777" w:rsidR="00865D19" w:rsidRPr="007C78F0" w:rsidRDefault="00865D19" w:rsidP="00865D19">
            <w:pPr>
              <w:pStyle w:val="Tabskaiti"/>
            </w:pPr>
            <w:r w:rsidRPr="007C78F0">
              <w:t>324</w:t>
            </w:r>
          </w:p>
        </w:tc>
        <w:tc>
          <w:tcPr>
            <w:tcW w:w="1413" w:type="dxa"/>
            <w:tcBorders>
              <w:top w:val="single" w:sz="4" w:space="0" w:color="17365D"/>
              <w:bottom w:val="single" w:sz="4" w:space="0" w:color="17365D"/>
            </w:tcBorders>
            <w:shd w:val="clear" w:color="auto" w:fill="auto"/>
            <w:noWrap/>
            <w:vAlign w:val="center"/>
            <w:hideMark/>
          </w:tcPr>
          <w:p w14:paraId="38BC01C7" w14:textId="77777777" w:rsidR="00865D19" w:rsidRPr="007C78F0" w:rsidRDefault="00865D19" w:rsidP="00865D19">
            <w:pPr>
              <w:pStyle w:val="Tabskaiti"/>
            </w:pPr>
            <w:r w:rsidRPr="007C78F0">
              <w:t>23 415</w:t>
            </w:r>
          </w:p>
        </w:tc>
        <w:tc>
          <w:tcPr>
            <w:tcW w:w="1281" w:type="dxa"/>
            <w:tcBorders>
              <w:top w:val="single" w:sz="4" w:space="0" w:color="17365D"/>
              <w:bottom w:val="single" w:sz="4" w:space="0" w:color="17365D"/>
            </w:tcBorders>
            <w:shd w:val="clear" w:color="auto" w:fill="auto"/>
            <w:noWrap/>
            <w:vAlign w:val="center"/>
            <w:hideMark/>
          </w:tcPr>
          <w:p w14:paraId="1F9CF9B3" w14:textId="77777777" w:rsidR="00865D19" w:rsidRPr="007C78F0" w:rsidRDefault="00865D19" w:rsidP="00865D19">
            <w:pPr>
              <w:pStyle w:val="Tabskaiti"/>
            </w:pPr>
            <w:r w:rsidRPr="007C78F0">
              <w:t>0</w:t>
            </w:r>
          </w:p>
        </w:tc>
        <w:tc>
          <w:tcPr>
            <w:tcW w:w="1480" w:type="dxa"/>
            <w:tcBorders>
              <w:top w:val="single" w:sz="4" w:space="0" w:color="17365D"/>
              <w:bottom w:val="single" w:sz="4" w:space="0" w:color="17365D"/>
            </w:tcBorders>
            <w:shd w:val="clear" w:color="auto" w:fill="auto"/>
            <w:noWrap/>
            <w:vAlign w:val="center"/>
            <w:hideMark/>
          </w:tcPr>
          <w:p w14:paraId="642409AA" w14:textId="77777777" w:rsidR="00865D19" w:rsidRPr="007C78F0" w:rsidRDefault="00865D19" w:rsidP="00865D19">
            <w:pPr>
              <w:pStyle w:val="Tabskaiti"/>
            </w:pPr>
            <w:r w:rsidRPr="007C78F0">
              <w:t>23 415</w:t>
            </w:r>
          </w:p>
        </w:tc>
        <w:tc>
          <w:tcPr>
            <w:tcW w:w="1044" w:type="dxa"/>
            <w:tcBorders>
              <w:top w:val="single" w:sz="4" w:space="0" w:color="17365D"/>
              <w:bottom w:val="single" w:sz="4" w:space="0" w:color="17365D"/>
            </w:tcBorders>
            <w:shd w:val="clear" w:color="auto" w:fill="auto"/>
            <w:vAlign w:val="center"/>
            <w:hideMark/>
          </w:tcPr>
          <w:p w14:paraId="55939D17"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1AFE6F7F" w14:textId="77777777" w:rsidR="00865D19" w:rsidRPr="007C78F0" w:rsidRDefault="00865D19" w:rsidP="00865D19">
            <w:pPr>
              <w:pStyle w:val="Tabskaiti"/>
            </w:pPr>
            <w:r w:rsidRPr="007C78F0">
              <w:t>0</w:t>
            </w:r>
          </w:p>
        </w:tc>
      </w:tr>
      <w:tr w:rsidR="00865D19" w:rsidRPr="007C78F0" w14:paraId="3095D105" w14:textId="77777777" w:rsidTr="00A45AE1">
        <w:trPr>
          <w:trHeight w:val="288"/>
        </w:trPr>
        <w:tc>
          <w:tcPr>
            <w:tcW w:w="1843" w:type="dxa"/>
            <w:tcBorders>
              <w:top w:val="single" w:sz="4" w:space="0" w:color="17365D"/>
              <w:bottom w:val="single" w:sz="4" w:space="0" w:color="17365D"/>
            </w:tcBorders>
            <w:shd w:val="clear" w:color="auto" w:fill="auto"/>
            <w:vAlign w:val="center"/>
            <w:hideMark/>
          </w:tcPr>
          <w:p w14:paraId="09448AC2" w14:textId="4B8603B5" w:rsidR="00865D19" w:rsidRPr="007C78F0" w:rsidRDefault="00865D19" w:rsidP="00865D19">
            <w:pPr>
              <w:pStyle w:val="Tabteksti"/>
            </w:pPr>
            <w:r w:rsidRPr="007C78F0">
              <w:t xml:space="preserve">SIA </w:t>
            </w:r>
            <w:r w:rsidR="00E264C8">
              <w:t>“</w:t>
            </w:r>
            <w:r w:rsidRPr="007C78F0">
              <w:t>Alūksnes nami</w:t>
            </w:r>
            <w:r w:rsidR="00E264C8">
              <w:t>”</w:t>
            </w:r>
          </w:p>
        </w:tc>
        <w:tc>
          <w:tcPr>
            <w:tcW w:w="1417" w:type="dxa"/>
            <w:tcBorders>
              <w:top w:val="single" w:sz="4" w:space="0" w:color="17365D"/>
              <w:bottom w:val="single" w:sz="4" w:space="0" w:color="17365D"/>
            </w:tcBorders>
            <w:shd w:val="clear" w:color="auto" w:fill="auto"/>
            <w:noWrap/>
            <w:vAlign w:val="center"/>
            <w:hideMark/>
          </w:tcPr>
          <w:p w14:paraId="258BECC0" w14:textId="77777777" w:rsidR="00865D19" w:rsidRPr="007C78F0" w:rsidRDefault="00865D19" w:rsidP="00865D19">
            <w:pPr>
              <w:pStyle w:val="Tabskaiti"/>
            </w:pPr>
            <w:r w:rsidRPr="007C78F0">
              <w:t>27 644</w:t>
            </w:r>
          </w:p>
        </w:tc>
        <w:tc>
          <w:tcPr>
            <w:tcW w:w="1413" w:type="dxa"/>
            <w:tcBorders>
              <w:top w:val="single" w:sz="4" w:space="0" w:color="17365D"/>
              <w:bottom w:val="single" w:sz="4" w:space="0" w:color="17365D"/>
            </w:tcBorders>
            <w:shd w:val="clear" w:color="auto" w:fill="auto"/>
            <w:noWrap/>
            <w:vAlign w:val="center"/>
            <w:hideMark/>
          </w:tcPr>
          <w:p w14:paraId="0406450A" w14:textId="77777777" w:rsidR="00865D19" w:rsidRPr="007C78F0" w:rsidRDefault="00865D19" w:rsidP="00865D19">
            <w:pPr>
              <w:pStyle w:val="Tabskaiti"/>
            </w:pPr>
            <w:r w:rsidRPr="007C78F0">
              <w:t>96 076</w:t>
            </w:r>
          </w:p>
        </w:tc>
        <w:tc>
          <w:tcPr>
            <w:tcW w:w="1281" w:type="dxa"/>
            <w:tcBorders>
              <w:top w:val="single" w:sz="4" w:space="0" w:color="17365D"/>
              <w:bottom w:val="single" w:sz="4" w:space="0" w:color="17365D"/>
            </w:tcBorders>
            <w:shd w:val="clear" w:color="auto" w:fill="auto"/>
            <w:noWrap/>
            <w:vAlign w:val="center"/>
            <w:hideMark/>
          </w:tcPr>
          <w:p w14:paraId="7F934873" w14:textId="77777777" w:rsidR="00865D19" w:rsidRPr="007C78F0" w:rsidRDefault="00865D19" w:rsidP="00865D19">
            <w:pPr>
              <w:pStyle w:val="Tabskaiti"/>
            </w:pPr>
            <w:r w:rsidRPr="007C78F0">
              <w:t>0</w:t>
            </w:r>
          </w:p>
        </w:tc>
        <w:tc>
          <w:tcPr>
            <w:tcW w:w="1480" w:type="dxa"/>
            <w:tcBorders>
              <w:top w:val="single" w:sz="4" w:space="0" w:color="17365D"/>
              <w:bottom w:val="single" w:sz="4" w:space="0" w:color="17365D"/>
            </w:tcBorders>
            <w:shd w:val="clear" w:color="auto" w:fill="auto"/>
            <w:noWrap/>
            <w:vAlign w:val="center"/>
            <w:hideMark/>
          </w:tcPr>
          <w:p w14:paraId="504F7058" w14:textId="77777777" w:rsidR="00865D19" w:rsidRPr="007C78F0" w:rsidRDefault="00865D19" w:rsidP="00865D19">
            <w:pPr>
              <w:pStyle w:val="Tabskaiti"/>
            </w:pPr>
            <w:r w:rsidRPr="007C78F0">
              <w:t>0</w:t>
            </w:r>
          </w:p>
        </w:tc>
        <w:tc>
          <w:tcPr>
            <w:tcW w:w="1044" w:type="dxa"/>
            <w:tcBorders>
              <w:top w:val="single" w:sz="4" w:space="0" w:color="17365D"/>
              <w:bottom w:val="single" w:sz="4" w:space="0" w:color="17365D"/>
            </w:tcBorders>
            <w:shd w:val="clear" w:color="auto" w:fill="auto"/>
            <w:vAlign w:val="center"/>
            <w:hideMark/>
          </w:tcPr>
          <w:p w14:paraId="1295B085"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13A19BE9" w14:textId="77777777" w:rsidR="00865D19" w:rsidRPr="007C78F0" w:rsidRDefault="00865D19" w:rsidP="00865D19">
            <w:pPr>
              <w:pStyle w:val="Tabskaiti"/>
            </w:pPr>
            <w:r w:rsidRPr="007C78F0">
              <w:t>0</w:t>
            </w:r>
          </w:p>
        </w:tc>
      </w:tr>
      <w:tr w:rsidR="00865D19" w:rsidRPr="007C78F0" w14:paraId="3AE4861D" w14:textId="77777777" w:rsidTr="00A45AE1">
        <w:trPr>
          <w:trHeight w:val="64"/>
        </w:trPr>
        <w:tc>
          <w:tcPr>
            <w:tcW w:w="1843" w:type="dxa"/>
            <w:tcBorders>
              <w:top w:val="single" w:sz="4" w:space="0" w:color="17365D"/>
              <w:bottom w:val="single" w:sz="4" w:space="0" w:color="17365D"/>
            </w:tcBorders>
            <w:shd w:val="clear" w:color="auto" w:fill="auto"/>
            <w:vAlign w:val="center"/>
            <w:hideMark/>
          </w:tcPr>
          <w:p w14:paraId="6CE9BB7F" w14:textId="77777777" w:rsidR="00865D19" w:rsidRPr="007C78F0" w:rsidRDefault="00865D19" w:rsidP="00865D19">
            <w:pPr>
              <w:pStyle w:val="Tabteksti"/>
            </w:pPr>
            <w:r w:rsidRPr="007C78F0">
              <w:t>SIA "Liepājas namu apsaimniekotājs"</w:t>
            </w:r>
          </w:p>
        </w:tc>
        <w:tc>
          <w:tcPr>
            <w:tcW w:w="1417" w:type="dxa"/>
            <w:tcBorders>
              <w:top w:val="single" w:sz="4" w:space="0" w:color="17365D"/>
              <w:bottom w:val="single" w:sz="4" w:space="0" w:color="17365D"/>
            </w:tcBorders>
            <w:shd w:val="clear" w:color="auto" w:fill="auto"/>
            <w:noWrap/>
            <w:vAlign w:val="center"/>
            <w:hideMark/>
          </w:tcPr>
          <w:p w14:paraId="5DCAF7F0" w14:textId="77777777" w:rsidR="00865D19" w:rsidRPr="007C78F0" w:rsidRDefault="00865D19" w:rsidP="00865D19">
            <w:pPr>
              <w:pStyle w:val="Tabskaiti"/>
            </w:pPr>
            <w:r w:rsidRPr="007C78F0">
              <w:t>636 299</w:t>
            </w:r>
          </w:p>
        </w:tc>
        <w:tc>
          <w:tcPr>
            <w:tcW w:w="1413" w:type="dxa"/>
            <w:tcBorders>
              <w:top w:val="single" w:sz="4" w:space="0" w:color="17365D"/>
              <w:bottom w:val="single" w:sz="4" w:space="0" w:color="17365D"/>
            </w:tcBorders>
            <w:shd w:val="clear" w:color="auto" w:fill="auto"/>
            <w:noWrap/>
            <w:vAlign w:val="center"/>
            <w:hideMark/>
          </w:tcPr>
          <w:p w14:paraId="4E969551" w14:textId="77777777" w:rsidR="00865D19" w:rsidRPr="007C78F0" w:rsidRDefault="00865D19" w:rsidP="00865D19">
            <w:pPr>
              <w:pStyle w:val="Tabskaiti"/>
            </w:pPr>
            <w:r w:rsidRPr="007C78F0">
              <w:t>636 299</w:t>
            </w:r>
          </w:p>
        </w:tc>
        <w:tc>
          <w:tcPr>
            <w:tcW w:w="1281" w:type="dxa"/>
            <w:tcBorders>
              <w:top w:val="single" w:sz="4" w:space="0" w:color="17365D"/>
              <w:bottom w:val="single" w:sz="4" w:space="0" w:color="17365D"/>
            </w:tcBorders>
            <w:shd w:val="clear" w:color="auto" w:fill="auto"/>
            <w:noWrap/>
            <w:vAlign w:val="center"/>
            <w:hideMark/>
          </w:tcPr>
          <w:p w14:paraId="01EB2A2F" w14:textId="77777777" w:rsidR="00865D19" w:rsidRPr="007C78F0" w:rsidRDefault="00865D19" w:rsidP="00865D19">
            <w:pPr>
              <w:pStyle w:val="Tabskaiti"/>
            </w:pPr>
            <w:r w:rsidRPr="007C78F0">
              <w:t>0</w:t>
            </w:r>
          </w:p>
        </w:tc>
        <w:tc>
          <w:tcPr>
            <w:tcW w:w="1480" w:type="dxa"/>
            <w:tcBorders>
              <w:top w:val="single" w:sz="4" w:space="0" w:color="17365D"/>
              <w:bottom w:val="single" w:sz="4" w:space="0" w:color="17365D"/>
            </w:tcBorders>
            <w:shd w:val="clear" w:color="auto" w:fill="auto"/>
            <w:noWrap/>
            <w:vAlign w:val="center"/>
            <w:hideMark/>
          </w:tcPr>
          <w:p w14:paraId="35BDF3D0" w14:textId="77777777" w:rsidR="00865D19" w:rsidRPr="007C78F0" w:rsidRDefault="00865D19" w:rsidP="00865D19">
            <w:pPr>
              <w:pStyle w:val="Tabskaiti"/>
            </w:pPr>
            <w:r w:rsidRPr="007C78F0">
              <w:t>0</w:t>
            </w:r>
          </w:p>
        </w:tc>
        <w:tc>
          <w:tcPr>
            <w:tcW w:w="1044" w:type="dxa"/>
            <w:tcBorders>
              <w:top w:val="single" w:sz="4" w:space="0" w:color="17365D"/>
              <w:bottom w:val="single" w:sz="4" w:space="0" w:color="17365D"/>
            </w:tcBorders>
            <w:shd w:val="clear" w:color="auto" w:fill="auto"/>
            <w:vAlign w:val="center"/>
            <w:hideMark/>
          </w:tcPr>
          <w:p w14:paraId="533F48E2"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3DDBDA2C" w14:textId="77777777" w:rsidR="00865D19" w:rsidRPr="007C78F0" w:rsidRDefault="00865D19" w:rsidP="00865D19">
            <w:pPr>
              <w:pStyle w:val="Tabskaiti"/>
            </w:pPr>
            <w:r w:rsidRPr="007C78F0">
              <w:t>0</w:t>
            </w:r>
          </w:p>
        </w:tc>
      </w:tr>
      <w:tr w:rsidR="00865D19" w:rsidRPr="007C78F0" w14:paraId="19FAE5DF" w14:textId="77777777" w:rsidTr="00A45AE1">
        <w:trPr>
          <w:trHeight w:val="288"/>
        </w:trPr>
        <w:tc>
          <w:tcPr>
            <w:tcW w:w="1843" w:type="dxa"/>
            <w:tcBorders>
              <w:top w:val="single" w:sz="4" w:space="0" w:color="17365D"/>
              <w:bottom w:val="single" w:sz="4" w:space="0" w:color="17365D"/>
            </w:tcBorders>
            <w:shd w:val="clear" w:color="auto" w:fill="auto"/>
            <w:vAlign w:val="center"/>
            <w:hideMark/>
          </w:tcPr>
          <w:p w14:paraId="5A6D7484" w14:textId="34169C8D" w:rsidR="00865D19" w:rsidRPr="007C78F0" w:rsidRDefault="00865D19" w:rsidP="00865D19">
            <w:pPr>
              <w:pStyle w:val="Tabteksti"/>
            </w:pPr>
            <w:r w:rsidRPr="007C78F0">
              <w:t xml:space="preserve">SIA </w:t>
            </w:r>
            <w:r w:rsidR="00E264C8">
              <w:t>“</w:t>
            </w:r>
            <w:r w:rsidRPr="007C78F0">
              <w:t>Līgatnes nami</w:t>
            </w:r>
            <w:r w:rsidR="00E264C8">
              <w:t>”</w:t>
            </w:r>
          </w:p>
        </w:tc>
        <w:tc>
          <w:tcPr>
            <w:tcW w:w="1417" w:type="dxa"/>
            <w:tcBorders>
              <w:top w:val="single" w:sz="4" w:space="0" w:color="17365D"/>
              <w:bottom w:val="single" w:sz="4" w:space="0" w:color="17365D"/>
            </w:tcBorders>
            <w:shd w:val="clear" w:color="auto" w:fill="auto"/>
            <w:noWrap/>
            <w:vAlign w:val="center"/>
            <w:hideMark/>
          </w:tcPr>
          <w:p w14:paraId="341BC3B2" w14:textId="77777777" w:rsidR="00865D19" w:rsidRPr="007C78F0" w:rsidRDefault="00865D19" w:rsidP="00865D19">
            <w:pPr>
              <w:pStyle w:val="Tabskaiti"/>
            </w:pPr>
            <w:r w:rsidRPr="007C78F0">
              <w:t>0</w:t>
            </w:r>
          </w:p>
        </w:tc>
        <w:tc>
          <w:tcPr>
            <w:tcW w:w="1413" w:type="dxa"/>
            <w:tcBorders>
              <w:top w:val="single" w:sz="4" w:space="0" w:color="17365D"/>
              <w:bottom w:val="single" w:sz="4" w:space="0" w:color="17365D"/>
            </w:tcBorders>
            <w:shd w:val="clear" w:color="auto" w:fill="auto"/>
            <w:noWrap/>
            <w:vAlign w:val="center"/>
            <w:hideMark/>
          </w:tcPr>
          <w:p w14:paraId="282F520A" w14:textId="77777777" w:rsidR="00865D19" w:rsidRPr="007C78F0" w:rsidRDefault="00865D19" w:rsidP="00865D19">
            <w:pPr>
              <w:pStyle w:val="Tabskaiti"/>
            </w:pPr>
            <w:r w:rsidRPr="007C78F0">
              <w:t>106 650</w:t>
            </w:r>
          </w:p>
        </w:tc>
        <w:tc>
          <w:tcPr>
            <w:tcW w:w="1281" w:type="dxa"/>
            <w:tcBorders>
              <w:top w:val="single" w:sz="4" w:space="0" w:color="17365D"/>
              <w:bottom w:val="single" w:sz="4" w:space="0" w:color="17365D"/>
            </w:tcBorders>
            <w:shd w:val="clear" w:color="auto" w:fill="auto"/>
            <w:noWrap/>
            <w:vAlign w:val="center"/>
            <w:hideMark/>
          </w:tcPr>
          <w:p w14:paraId="3A6B2353" w14:textId="77777777" w:rsidR="00865D19" w:rsidRPr="007C78F0" w:rsidRDefault="00865D19" w:rsidP="00865D19">
            <w:pPr>
              <w:pStyle w:val="Tabskaiti"/>
            </w:pPr>
            <w:r w:rsidRPr="007C78F0">
              <w:t>100</w:t>
            </w:r>
          </w:p>
        </w:tc>
        <w:tc>
          <w:tcPr>
            <w:tcW w:w="1480" w:type="dxa"/>
            <w:tcBorders>
              <w:top w:val="single" w:sz="4" w:space="0" w:color="17365D"/>
              <w:bottom w:val="single" w:sz="4" w:space="0" w:color="17365D"/>
            </w:tcBorders>
            <w:shd w:val="clear" w:color="auto" w:fill="auto"/>
            <w:noWrap/>
            <w:vAlign w:val="center"/>
            <w:hideMark/>
          </w:tcPr>
          <w:p w14:paraId="3B36EAE3" w14:textId="77777777" w:rsidR="00865D19" w:rsidRPr="007C78F0" w:rsidRDefault="00865D19" w:rsidP="00865D19">
            <w:pPr>
              <w:pStyle w:val="Tabskaiti"/>
            </w:pPr>
            <w:r w:rsidRPr="007C78F0">
              <w:t>106 650</w:t>
            </w:r>
          </w:p>
        </w:tc>
        <w:tc>
          <w:tcPr>
            <w:tcW w:w="1044" w:type="dxa"/>
            <w:tcBorders>
              <w:top w:val="single" w:sz="4" w:space="0" w:color="17365D"/>
              <w:bottom w:val="single" w:sz="4" w:space="0" w:color="17365D"/>
            </w:tcBorders>
            <w:shd w:val="clear" w:color="auto" w:fill="auto"/>
            <w:vAlign w:val="center"/>
            <w:hideMark/>
          </w:tcPr>
          <w:p w14:paraId="44DDE819" w14:textId="77777777" w:rsidR="00865D19" w:rsidRPr="007C78F0" w:rsidRDefault="00865D19" w:rsidP="00865D19">
            <w:pPr>
              <w:pStyle w:val="Tabskaiti"/>
            </w:pPr>
            <w:r w:rsidRPr="007C78F0">
              <w:t>zaudējumi</w:t>
            </w:r>
          </w:p>
        </w:tc>
        <w:tc>
          <w:tcPr>
            <w:tcW w:w="851" w:type="dxa"/>
            <w:tcBorders>
              <w:top w:val="single" w:sz="4" w:space="0" w:color="17365D"/>
              <w:bottom w:val="single" w:sz="4" w:space="0" w:color="17365D"/>
            </w:tcBorders>
            <w:shd w:val="clear" w:color="auto" w:fill="auto"/>
            <w:noWrap/>
            <w:vAlign w:val="center"/>
            <w:hideMark/>
          </w:tcPr>
          <w:p w14:paraId="101DD490" w14:textId="77777777" w:rsidR="00865D19" w:rsidRPr="007C78F0" w:rsidRDefault="00865D19" w:rsidP="00865D19">
            <w:pPr>
              <w:pStyle w:val="Tabskaiti"/>
            </w:pPr>
            <w:r w:rsidRPr="007C78F0">
              <w:t>106 650</w:t>
            </w:r>
          </w:p>
        </w:tc>
      </w:tr>
      <w:tr w:rsidR="00865D19" w:rsidRPr="007C78F0" w14:paraId="7B015332" w14:textId="77777777" w:rsidTr="00A45AE1">
        <w:trPr>
          <w:trHeight w:val="64"/>
        </w:trPr>
        <w:tc>
          <w:tcPr>
            <w:tcW w:w="1843" w:type="dxa"/>
            <w:tcBorders>
              <w:top w:val="single" w:sz="4" w:space="0" w:color="17365D"/>
              <w:bottom w:val="single" w:sz="4" w:space="0" w:color="17365D"/>
            </w:tcBorders>
            <w:shd w:val="clear" w:color="auto" w:fill="auto"/>
            <w:vAlign w:val="center"/>
            <w:hideMark/>
          </w:tcPr>
          <w:p w14:paraId="650A2236" w14:textId="2D2BD1D9" w:rsidR="00865D19" w:rsidRPr="007C78F0" w:rsidRDefault="00F20528" w:rsidP="00865D19">
            <w:pPr>
              <w:pStyle w:val="Tabteksti"/>
            </w:pPr>
            <w:r>
              <w:t>SIA “</w:t>
            </w:r>
            <w:r w:rsidR="00865D19" w:rsidRPr="007C78F0">
              <w:t>Varakļānu veselības aprūpes centrs</w:t>
            </w:r>
            <w:r>
              <w:t>”</w:t>
            </w:r>
          </w:p>
        </w:tc>
        <w:tc>
          <w:tcPr>
            <w:tcW w:w="1417" w:type="dxa"/>
            <w:tcBorders>
              <w:top w:val="single" w:sz="4" w:space="0" w:color="17365D"/>
              <w:bottom w:val="single" w:sz="4" w:space="0" w:color="17365D"/>
            </w:tcBorders>
            <w:shd w:val="clear" w:color="auto" w:fill="auto"/>
            <w:noWrap/>
            <w:vAlign w:val="center"/>
            <w:hideMark/>
          </w:tcPr>
          <w:p w14:paraId="50CF4EC1" w14:textId="77777777" w:rsidR="00865D19" w:rsidRPr="007C78F0" w:rsidRDefault="00865D19" w:rsidP="00865D19">
            <w:pPr>
              <w:pStyle w:val="Tabskaiti"/>
            </w:pPr>
            <w:r w:rsidRPr="007C78F0">
              <w:t>1 086</w:t>
            </w:r>
          </w:p>
        </w:tc>
        <w:tc>
          <w:tcPr>
            <w:tcW w:w="1413" w:type="dxa"/>
            <w:tcBorders>
              <w:top w:val="single" w:sz="4" w:space="0" w:color="17365D"/>
              <w:bottom w:val="single" w:sz="4" w:space="0" w:color="17365D"/>
            </w:tcBorders>
            <w:shd w:val="clear" w:color="auto" w:fill="auto"/>
            <w:noWrap/>
            <w:vAlign w:val="center"/>
            <w:hideMark/>
          </w:tcPr>
          <w:p w14:paraId="3C0D137C" w14:textId="77777777" w:rsidR="00865D19" w:rsidRPr="007C78F0" w:rsidRDefault="00865D19" w:rsidP="00865D19">
            <w:pPr>
              <w:pStyle w:val="Tabskaiti"/>
            </w:pPr>
            <w:r w:rsidRPr="007C78F0">
              <w:t>547 230</w:t>
            </w:r>
          </w:p>
        </w:tc>
        <w:tc>
          <w:tcPr>
            <w:tcW w:w="1281" w:type="dxa"/>
            <w:tcBorders>
              <w:top w:val="single" w:sz="4" w:space="0" w:color="17365D"/>
              <w:bottom w:val="single" w:sz="4" w:space="0" w:color="17365D"/>
            </w:tcBorders>
            <w:shd w:val="clear" w:color="auto" w:fill="auto"/>
            <w:noWrap/>
            <w:vAlign w:val="center"/>
            <w:hideMark/>
          </w:tcPr>
          <w:p w14:paraId="5CB15FED" w14:textId="77777777" w:rsidR="00865D19" w:rsidRPr="007C78F0" w:rsidRDefault="00865D19" w:rsidP="00865D19">
            <w:pPr>
              <w:pStyle w:val="Tabskaiti"/>
            </w:pPr>
            <w:r w:rsidRPr="007C78F0">
              <w:t>0</w:t>
            </w:r>
          </w:p>
        </w:tc>
        <w:tc>
          <w:tcPr>
            <w:tcW w:w="1480" w:type="dxa"/>
            <w:tcBorders>
              <w:top w:val="single" w:sz="4" w:space="0" w:color="17365D"/>
              <w:bottom w:val="single" w:sz="4" w:space="0" w:color="17365D"/>
            </w:tcBorders>
            <w:shd w:val="clear" w:color="auto" w:fill="auto"/>
            <w:noWrap/>
            <w:vAlign w:val="center"/>
            <w:hideMark/>
          </w:tcPr>
          <w:p w14:paraId="1BB9E5CF" w14:textId="77777777" w:rsidR="00865D19" w:rsidRPr="007C78F0" w:rsidRDefault="00865D19" w:rsidP="00865D19">
            <w:pPr>
              <w:pStyle w:val="Tabskaiti"/>
            </w:pPr>
            <w:r w:rsidRPr="007C78F0">
              <w:t>0</w:t>
            </w:r>
          </w:p>
        </w:tc>
        <w:tc>
          <w:tcPr>
            <w:tcW w:w="1044" w:type="dxa"/>
            <w:tcBorders>
              <w:top w:val="single" w:sz="4" w:space="0" w:color="17365D"/>
              <w:bottom w:val="single" w:sz="4" w:space="0" w:color="17365D"/>
            </w:tcBorders>
            <w:shd w:val="clear" w:color="auto" w:fill="auto"/>
            <w:vAlign w:val="center"/>
            <w:hideMark/>
          </w:tcPr>
          <w:p w14:paraId="45B20074"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58C83C34" w14:textId="77777777" w:rsidR="00865D19" w:rsidRPr="007C78F0" w:rsidRDefault="00865D19" w:rsidP="00865D19">
            <w:pPr>
              <w:pStyle w:val="Tabskaiti"/>
            </w:pPr>
            <w:r w:rsidRPr="007C78F0">
              <w:t>0</w:t>
            </w:r>
          </w:p>
        </w:tc>
      </w:tr>
      <w:tr w:rsidR="00865D19" w:rsidRPr="007C78F0" w14:paraId="549B9950" w14:textId="77777777" w:rsidTr="00A45AE1">
        <w:trPr>
          <w:trHeight w:val="64"/>
        </w:trPr>
        <w:tc>
          <w:tcPr>
            <w:tcW w:w="1843" w:type="dxa"/>
            <w:tcBorders>
              <w:top w:val="single" w:sz="4" w:space="0" w:color="17365D"/>
              <w:bottom w:val="single" w:sz="4" w:space="0" w:color="17365D"/>
            </w:tcBorders>
            <w:shd w:val="clear" w:color="auto" w:fill="auto"/>
            <w:vAlign w:val="center"/>
            <w:hideMark/>
          </w:tcPr>
          <w:p w14:paraId="516C319F" w14:textId="5CE1CC84" w:rsidR="00865D19" w:rsidRPr="007C78F0" w:rsidRDefault="00F20528" w:rsidP="00865D19">
            <w:pPr>
              <w:pStyle w:val="Tabteksti"/>
            </w:pPr>
            <w:r>
              <w:t xml:space="preserve">SIA </w:t>
            </w:r>
            <w:r w:rsidR="00E264C8">
              <w:t>“</w:t>
            </w:r>
            <w:r w:rsidR="00865D19" w:rsidRPr="007C78F0">
              <w:t>LU Open Minded</w:t>
            </w:r>
            <w:r w:rsidR="00E264C8">
              <w:t>”</w:t>
            </w:r>
          </w:p>
        </w:tc>
        <w:tc>
          <w:tcPr>
            <w:tcW w:w="1417" w:type="dxa"/>
            <w:tcBorders>
              <w:top w:val="single" w:sz="4" w:space="0" w:color="17365D"/>
              <w:bottom w:val="single" w:sz="4" w:space="0" w:color="17365D"/>
            </w:tcBorders>
            <w:shd w:val="clear" w:color="auto" w:fill="auto"/>
            <w:noWrap/>
            <w:vAlign w:val="center"/>
            <w:hideMark/>
          </w:tcPr>
          <w:p w14:paraId="3EB8701C" w14:textId="77777777" w:rsidR="00865D19" w:rsidRPr="007C78F0" w:rsidRDefault="00865D19" w:rsidP="00865D19">
            <w:pPr>
              <w:pStyle w:val="Tabskaiti"/>
            </w:pPr>
            <w:r w:rsidRPr="007C78F0">
              <w:t>27 718</w:t>
            </w:r>
          </w:p>
        </w:tc>
        <w:tc>
          <w:tcPr>
            <w:tcW w:w="1413" w:type="dxa"/>
            <w:tcBorders>
              <w:top w:val="single" w:sz="4" w:space="0" w:color="17365D"/>
              <w:bottom w:val="single" w:sz="4" w:space="0" w:color="17365D"/>
            </w:tcBorders>
            <w:shd w:val="clear" w:color="auto" w:fill="auto"/>
            <w:noWrap/>
            <w:vAlign w:val="center"/>
            <w:hideMark/>
          </w:tcPr>
          <w:p w14:paraId="44B1C9B9" w14:textId="77777777" w:rsidR="00865D19" w:rsidRPr="007C78F0" w:rsidRDefault="00865D19" w:rsidP="00865D19">
            <w:pPr>
              <w:pStyle w:val="Tabskaiti"/>
            </w:pPr>
            <w:r w:rsidRPr="007C78F0">
              <w:t>27 718</w:t>
            </w:r>
          </w:p>
        </w:tc>
        <w:tc>
          <w:tcPr>
            <w:tcW w:w="1281" w:type="dxa"/>
            <w:tcBorders>
              <w:top w:val="single" w:sz="4" w:space="0" w:color="17365D"/>
              <w:bottom w:val="single" w:sz="4" w:space="0" w:color="17365D"/>
            </w:tcBorders>
            <w:shd w:val="clear" w:color="auto" w:fill="auto"/>
            <w:noWrap/>
            <w:vAlign w:val="center"/>
            <w:hideMark/>
          </w:tcPr>
          <w:p w14:paraId="73949918" w14:textId="77777777" w:rsidR="00865D19" w:rsidRPr="007C78F0" w:rsidRDefault="00865D19" w:rsidP="00865D19">
            <w:pPr>
              <w:pStyle w:val="Tabskaiti"/>
            </w:pPr>
            <w:r w:rsidRPr="007C78F0">
              <w:t>18 559</w:t>
            </w:r>
          </w:p>
        </w:tc>
        <w:tc>
          <w:tcPr>
            <w:tcW w:w="1480" w:type="dxa"/>
            <w:tcBorders>
              <w:top w:val="single" w:sz="4" w:space="0" w:color="17365D"/>
              <w:bottom w:val="single" w:sz="4" w:space="0" w:color="17365D"/>
            </w:tcBorders>
            <w:shd w:val="clear" w:color="auto" w:fill="auto"/>
            <w:noWrap/>
            <w:vAlign w:val="center"/>
            <w:hideMark/>
          </w:tcPr>
          <w:p w14:paraId="26C21439" w14:textId="77777777" w:rsidR="00865D19" w:rsidRPr="007C78F0" w:rsidRDefault="00865D19" w:rsidP="00865D19">
            <w:pPr>
              <w:pStyle w:val="Tabskaiti"/>
            </w:pPr>
            <w:r w:rsidRPr="007C78F0">
              <w:t>41 255</w:t>
            </w:r>
          </w:p>
        </w:tc>
        <w:tc>
          <w:tcPr>
            <w:tcW w:w="1044" w:type="dxa"/>
            <w:tcBorders>
              <w:top w:val="single" w:sz="4" w:space="0" w:color="17365D"/>
              <w:bottom w:val="single" w:sz="4" w:space="0" w:color="17365D"/>
            </w:tcBorders>
            <w:shd w:val="clear" w:color="auto" w:fill="auto"/>
            <w:vAlign w:val="center"/>
            <w:hideMark/>
          </w:tcPr>
          <w:p w14:paraId="7E8E94C3"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3EEDF6AC" w14:textId="77777777" w:rsidR="00865D19" w:rsidRPr="007C78F0" w:rsidRDefault="00865D19" w:rsidP="00865D19">
            <w:pPr>
              <w:pStyle w:val="Tabskaiti"/>
            </w:pPr>
            <w:r w:rsidRPr="007C78F0">
              <w:t>0</w:t>
            </w:r>
          </w:p>
        </w:tc>
      </w:tr>
      <w:tr w:rsidR="00865D19" w:rsidRPr="007C78F0" w14:paraId="0624AC93" w14:textId="77777777" w:rsidTr="00A45AE1">
        <w:trPr>
          <w:trHeight w:val="288"/>
        </w:trPr>
        <w:tc>
          <w:tcPr>
            <w:tcW w:w="1843" w:type="dxa"/>
            <w:tcBorders>
              <w:top w:val="single" w:sz="4" w:space="0" w:color="17365D"/>
              <w:bottom w:val="single" w:sz="4" w:space="0" w:color="17365D"/>
            </w:tcBorders>
            <w:shd w:val="clear" w:color="auto" w:fill="auto"/>
            <w:vAlign w:val="center"/>
            <w:hideMark/>
          </w:tcPr>
          <w:p w14:paraId="575AF08B" w14:textId="132E5A30" w:rsidR="00865D19" w:rsidRPr="007C78F0" w:rsidRDefault="00865D19" w:rsidP="00865D19">
            <w:pPr>
              <w:pStyle w:val="Tabteksti"/>
            </w:pPr>
            <w:r w:rsidRPr="007C78F0">
              <w:t xml:space="preserve">SIA </w:t>
            </w:r>
            <w:r w:rsidR="00E264C8">
              <w:t>“</w:t>
            </w:r>
            <w:r w:rsidRPr="007C78F0">
              <w:t>Balartis</w:t>
            </w:r>
            <w:r w:rsidR="00E264C8">
              <w:t>”</w:t>
            </w:r>
          </w:p>
        </w:tc>
        <w:tc>
          <w:tcPr>
            <w:tcW w:w="1417" w:type="dxa"/>
            <w:tcBorders>
              <w:top w:val="single" w:sz="4" w:space="0" w:color="17365D"/>
              <w:bottom w:val="single" w:sz="4" w:space="0" w:color="17365D"/>
            </w:tcBorders>
            <w:shd w:val="clear" w:color="auto" w:fill="auto"/>
            <w:noWrap/>
            <w:vAlign w:val="center"/>
            <w:hideMark/>
          </w:tcPr>
          <w:p w14:paraId="56CAF75C" w14:textId="77777777" w:rsidR="00865D19" w:rsidRPr="007C78F0" w:rsidRDefault="00865D19" w:rsidP="00865D19">
            <w:pPr>
              <w:pStyle w:val="Tabskaiti"/>
            </w:pPr>
            <w:r w:rsidRPr="007C78F0">
              <w:t>0</w:t>
            </w:r>
          </w:p>
        </w:tc>
        <w:tc>
          <w:tcPr>
            <w:tcW w:w="1413" w:type="dxa"/>
            <w:tcBorders>
              <w:top w:val="single" w:sz="4" w:space="0" w:color="17365D"/>
              <w:bottom w:val="single" w:sz="4" w:space="0" w:color="17365D"/>
            </w:tcBorders>
            <w:shd w:val="clear" w:color="auto" w:fill="auto"/>
            <w:noWrap/>
            <w:vAlign w:val="center"/>
            <w:hideMark/>
          </w:tcPr>
          <w:p w14:paraId="43806FB8" w14:textId="77777777" w:rsidR="00865D19" w:rsidRPr="007C78F0" w:rsidRDefault="00865D19" w:rsidP="00865D19">
            <w:pPr>
              <w:pStyle w:val="Tabskaiti"/>
            </w:pPr>
            <w:r w:rsidRPr="007C78F0">
              <w:t>4 899</w:t>
            </w:r>
          </w:p>
        </w:tc>
        <w:tc>
          <w:tcPr>
            <w:tcW w:w="1281" w:type="dxa"/>
            <w:tcBorders>
              <w:top w:val="single" w:sz="4" w:space="0" w:color="17365D"/>
              <w:bottom w:val="single" w:sz="4" w:space="0" w:color="17365D"/>
            </w:tcBorders>
            <w:shd w:val="clear" w:color="auto" w:fill="auto"/>
            <w:noWrap/>
            <w:vAlign w:val="center"/>
            <w:hideMark/>
          </w:tcPr>
          <w:p w14:paraId="314AC3E1" w14:textId="77777777" w:rsidR="00865D19" w:rsidRPr="007C78F0" w:rsidRDefault="00865D19" w:rsidP="00865D19">
            <w:pPr>
              <w:pStyle w:val="Tabskaiti"/>
            </w:pPr>
            <w:r w:rsidRPr="007C78F0">
              <w:t>0</w:t>
            </w:r>
          </w:p>
        </w:tc>
        <w:tc>
          <w:tcPr>
            <w:tcW w:w="1480" w:type="dxa"/>
            <w:tcBorders>
              <w:top w:val="single" w:sz="4" w:space="0" w:color="17365D"/>
              <w:bottom w:val="single" w:sz="4" w:space="0" w:color="17365D"/>
            </w:tcBorders>
            <w:shd w:val="clear" w:color="auto" w:fill="auto"/>
            <w:noWrap/>
            <w:vAlign w:val="center"/>
            <w:hideMark/>
          </w:tcPr>
          <w:p w14:paraId="1C496702" w14:textId="77777777" w:rsidR="00865D19" w:rsidRPr="007C78F0" w:rsidRDefault="00865D19" w:rsidP="00865D19">
            <w:pPr>
              <w:pStyle w:val="Tabskaiti"/>
            </w:pPr>
            <w:r w:rsidRPr="007C78F0">
              <w:t>0</w:t>
            </w:r>
          </w:p>
        </w:tc>
        <w:tc>
          <w:tcPr>
            <w:tcW w:w="1044" w:type="dxa"/>
            <w:tcBorders>
              <w:top w:val="single" w:sz="4" w:space="0" w:color="17365D"/>
              <w:bottom w:val="single" w:sz="4" w:space="0" w:color="17365D"/>
            </w:tcBorders>
            <w:shd w:val="clear" w:color="auto" w:fill="auto"/>
            <w:vAlign w:val="center"/>
            <w:hideMark/>
          </w:tcPr>
          <w:p w14:paraId="47016A27" w14:textId="77777777" w:rsidR="00865D19" w:rsidRPr="007C78F0" w:rsidRDefault="00865D19" w:rsidP="00865D19">
            <w:pPr>
              <w:pStyle w:val="Tabskaiti"/>
            </w:pPr>
            <w:r w:rsidRPr="007C78F0">
              <w:t> </w:t>
            </w:r>
          </w:p>
        </w:tc>
        <w:tc>
          <w:tcPr>
            <w:tcW w:w="851" w:type="dxa"/>
            <w:tcBorders>
              <w:top w:val="single" w:sz="4" w:space="0" w:color="17365D"/>
              <w:bottom w:val="single" w:sz="4" w:space="0" w:color="17365D"/>
            </w:tcBorders>
            <w:shd w:val="clear" w:color="auto" w:fill="auto"/>
            <w:noWrap/>
            <w:vAlign w:val="center"/>
            <w:hideMark/>
          </w:tcPr>
          <w:p w14:paraId="1C523D60" w14:textId="77777777" w:rsidR="00865D19" w:rsidRPr="007C78F0" w:rsidRDefault="00865D19" w:rsidP="00865D19">
            <w:pPr>
              <w:pStyle w:val="Tabskaiti"/>
            </w:pPr>
            <w:r w:rsidRPr="007C78F0">
              <w:t>0</w:t>
            </w:r>
          </w:p>
        </w:tc>
      </w:tr>
      <w:tr w:rsidR="00865D19" w:rsidRPr="007C78F0" w14:paraId="35663244" w14:textId="77777777" w:rsidTr="00A45AE1">
        <w:trPr>
          <w:trHeight w:val="64"/>
        </w:trPr>
        <w:tc>
          <w:tcPr>
            <w:tcW w:w="1843" w:type="dxa"/>
            <w:tcBorders>
              <w:top w:val="single" w:sz="4" w:space="0" w:color="17365D"/>
              <w:bottom w:val="single" w:sz="4" w:space="0" w:color="17365D"/>
            </w:tcBorders>
            <w:shd w:val="clear" w:color="auto" w:fill="auto"/>
            <w:vAlign w:val="center"/>
            <w:hideMark/>
          </w:tcPr>
          <w:p w14:paraId="72A490C6" w14:textId="1188822F" w:rsidR="00865D19" w:rsidRPr="00F20528" w:rsidRDefault="00865D19" w:rsidP="00865D19">
            <w:pPr>
              <w:pStyle w:val="Tabteksti"/>
            </w:pPr>
            <w:r w:rsidRPr="00F20528">
              <w:t xml:space="preserve">SIA </w:t>
            </w:r>
            <w:r w:rsidR="00E264C8" w:rsidRPr="00F20528">
              <w:t>“</w:t>
            </w:r>
            <w:r w:rsidRPr="00F20528">
              <w:t>Vidusdaugavas SPAAO</w:t>
            </w:r>
            <w:r w:rsidR="00E264C8" w:rsidRPr="00F20528">
              <w:t>”</w:t>
            </w:r>
          </w:p>
        </w:tc>
        <w:tc>
          <w:tcPr>
            <w:tcW w:w="1417" w:type="dxa"/>
            <w:tcBorders>
              <w:top w:val="single" w:sz="4" w:space="0" w:color="17365D"/>
              <w:bottom w:val="single" w:sz="4" w:space="0" w:color="17365D"/>
            </w:tcBorders>
            <w:shd w:val="clear" w:color="auto" w:fill="auto"/>
            <w:noWrap/>
            <w:vAlign w:val="center"/>
            <w:hideMark/>
          </w:tcPr>
          <w:p w14:paraId="2E52F8FD" w14:textId="292C9CF5" w:rsidR="00865D19" w:rsidRPr="00F20528" w:rsidRDefault="00F20528" w:rsidP="00865D19">
            <w:pPr>
              <w:pStyle w:val="Tabskaiti"/>
            </w:pPr>
            <w:r w:rsidRPr="00F20528">
              <w:t>12 242</w:t>
            </w:r>
          </w:p>
        </w:tc>
        <w:tc>
          <w:tcPr>
            <w:tcW w:w="1413" w:type="dxa"/>
            <w:tcBorders>
              <w:top w:val="single" w:sz="4" w:space="0" w:color="17365D"/>
              <w:bottom w:val="single" w:sz="4" w:space="0" w:color="17365D"/>
            </w:tcBorders>
            <w:shd w:val="clear" w:color="auto" w:fill="auto"/>
            <w:noWrap/>
            <w:vAlign w:val="center"/>
            <w:hideMark/>
          </w:tcPr>
          <w:p w14:paraId="4026BB88" w14:textId="77E4346E" w:rsidR="00865D19" w:rsidRPr="00F20528" w:rsidRDefault="00F20528" w:rsidP="00865D19">
            <w:pPr>
              <w:pStyle w:val="Tabskaiti"/>
            </w:pPr>
            <w:r w:rsidRPr="00F20528">
              <w:t>518 795</w:t>
            </w:r>
          </w:p>
        </w:tc>
        <w:tc>
          <w:tcPr>
            <w:tcW w:w="1281" w:type="dxa"/>
            <w:tcBorders>
              <w:top w:val="single" w:sz="4" w:space="0" w:color="17365D"/>
              <w:bottom w:val="single" w:sz="4" w:space="0" w:color="17365D"/>
            </w:tcBorders>
            <w:shd w:val="clear" w:color="auto" w:fill="auto"/>
            <w:noWrap/>
            <w:vAlign w:val="center"/>
            <w:hideMark/>
          </w:tcPr>
          <w:p w14:paraId="28F51E09" w14:textId="77777777" w:rsidR="00865D19" w:rsidRPr="00F20528" w:rsidRDefault="00865D19" w:rsidP="00865D19">
            <w:pPr>
              <w:pStyle w:val="Tabskaiti"/>
            </w:pPr>
            <w:r w:rsidRPr="00F20528">
              <w:t>0</w:t>
            </w:r>
          </w:p>
        </w:tc>
        <w:tc>
          <w:tcPr>
            <w:tcW w:w="1480" w:type="dxa"/>
            <w:tcBorders>
              <w:top w:val="single" w:sz="4" w:space="0" w:color="17365D"/>
              <w:bottom w:val="single" w:sz="4" w:space="0" w:color="17365D"/>
            </w:tcBorders>
            <w:shd w:val="clear" w:color="auto" w:fill="auto"/>
            <w:noWrap/>
            <w:vAlign w:val="center"/>
            <w:hideMark/>
          </w:tcPr>
          <w:p w14:paraId="5E8DF9A3" w14:textId="77777777" w:rsidR="00865D19" w:rsidRPr="00F20528" w:rsidRDefault="00865D19" w:rsidP="00865D19">
            <w:pPr>
              <w:pStyle w:val="Tabskaiti"/>
            </w:pPr>
            <w:r w:rsidRPr="00F20528">
              <w:t>0</w:t>
            </w:r>
          </w:p>
        </w:tc>
        <w:tc>
          <w:tcPr>
            <w:tcW w:w="1044" w:type="dxa"/>
            <w:tcBorders>
              <w:top w:val="single" w:sz="4" w:space="0" w:color="17365D"/>
              <w:bottom w:val="single" w:sz="4" w:space="0" w:color="17365D"/>
            </w:tcBorders>
            <w:shd w:val="clear" w:color="auto" w:fill="auto"/>
            <w:vAlign w:val="center"/>
            <w:hideMark/>
          </w:tcPr>
          <w:p w14:paraId="07AECF2A" w14:textId="77777777" w:rsidR="00865D19" w:rsidRPr="00F20528" w:rsidRDefault="00865D19" w:rsidP="00865D19">
            <w:pPr>
              <w:pStyle w:val="Tabskaiti"/>
            </w:pPr>
            <w:r w:rsidRPr="00F20528">
              <w:t> </w:t>
            </w:r>
          </w:p>
        </w:tc>
        <w:tc>
          <w:tcPr>
            <w:tcW w:w="851" w:type="dxa"/>
            <w:tcBorders>
              <w:top w:val="single" w:sz="4" w:space="0" w:color="17365D"/>
              <w:bottom w:val="single" w:sz="4" w:space="0" w:color="17365D"/>
            </w:tcBorders>
            <w:shd w:val="clear" w:color="auto" w:fill="auto"/>
            <w:noWrap/>
            <w:vAlign w:val="center"/>
            <w:hideMark/>
          </w:tcPr>
          <w:p w14:paraId="584E35C7" w14:textId="77777777" w:rsidR="00865D19" w:rsidRPr="007C78F0" w:rsidRDefault="00865D19" w:rsidP="00865D19">
            <w:pPr>
              <w:pStyle w:val="Tabskaiti"/>
            </w:pPr>
            <w:r w:rsidRPr="00F20528">
              <w:t>0</w:t>
            </w:r>
          </w:p>
        </w:tc>
      </w:tr>
      <w:tr w:rsidR="00795BB1" w:rsidRPr="007C78F0" w14:paraId="63DAA04E" w14:textId="77777777" w:rsidTr="00A45AE1">
        <w:trPr>
          <w:trHeight w:val="350"/>
        </w:trPr>
        <w:tc>
          <w:tcPr>
            <w:tcW w:w="1843" w:type="dxa"/>
            <w:tcBorders>
              <w:top w:val="single" w:sz="4" w:space="0" w:color="000000"/>
            </w:tcBorders>
            <w:shd w:val="clear" w:color="auto" w:fill="B8CCE4" w:themeFill="accent1" w:themeFillTint="66"/>
            <w:vAlign w:val="center"/>
          </w:tcPr>
          <w:p w14:paraId="250AADF1" w14:textId="3E3BD04B" w:rsidR="00795BB1" w:rsidRPr="00795BB1" w:rsidRDefault="00795BB1" w:rsidP="00E264C8">
            <w:pPr>
              <w:pStyle w:val="Tabteksti"/>
              <w:rPr>
                <w:b/>
                <w:bCs w:val="0"/>
              </w:rPr>
            </w:pPr>
            <w:r w:rsidRPr="00795BB1">
              <w:rPr>
                <w:b/>
                <w:bCs w:val="0"/>
              </w:rPr>
              <w:t>Kopā</w:t>
            </w:r>
          </w:p>
        </w:tc>
        <w:tc>
          <w:tcPr>
            <w:tcW w:w="1417" w:type="dxa"/>
            <w:tcBorders>
              <w:top w:val="single" w:sz="4" w:space="0" w:color="000000"/>
            </w:tcBorders>
            <w:shd w:val="clear" w:color="auto" w:fill="B8CCE4" w:themeFill="accent1" w:themeFillTint="66"/>
            <w:noWrap/>
            <w:vAlign w:val="center"/>
          </w:tcPr>
          <w:p w14:paraId="25BFCF7E" w14:textId="17D3F1B2" w:rsidR="00795BB1" w:rsidRPr="00795BB1" w:rsidRDefault="00795BB1" w:rsidP="00795BB1">
            <w:pPr>
              <w:pStyle w:val="Tabskaiti"/>
              <w:rPr>
                <w:b/>
              </w:rPr>
            </w:pPr>
            <w:r w:rsidRPr="00795BB1">
              <w:rPr>
                <w:b/>
              </w:rPr>
              <w:t>705 313</w:t>
            </w:r>
          </w:p>
        </w:tc>
        <w:tc>
          <w:tcPr>
            <w:tcW w:w="1413" w:type="dxa"/>
            <w:tcBorders>
              <w:top w:val="single" w:sz="4" w:space="0" w:color="000000"/>
            </w:tcBorders>
            <w:shd w:val="clear" w:color="auto" w:fill="B8CCE4" w:themeFill="accent1" w:themeFillTint="66"/>
            <w:noWrap/>
            <w:vAlign w:val="center"/>
          </w:tcPr>
          <w:p w14:paraId="4A87DF8D" w14:textId="38EBEFFD" w:rsidR="00795BB1" w:rsidRPr="00795BB1" w:rsidRDefault="00795BB1" w:rsidP="00795BB1">
            <w:pPr>
              <w:pStyle w:val="Tabskaiti"/>
              <w:rPr>
                <w:b/>
              </w:rPr>
            </w:pPr>
            <w:r w:rsidRPr="00795BB1">
              <w:rPr>
                <w:b/>
              </w:rPr>
              <w:t>165 073 863</w:t>
            </w:r>
          </w:p>
        </w:tc>
        <w:tc>
          <w:tcPr>
            <w:tcW w:w="1281" w:type="dxa"/>
            <w:tcBorders>
              <w:top w:val="single" w:sz="4" w:space="0" w:color="000000"/>
            </w:tcBorders>
            <w:shd w:val="clear" w:color="auto" w:fill="B8CCE4" w:themeFill="accent1" w:themeFillTint="66"/>
            <w:noWrap/>
            <w:vAlign w:val="center"/>
          </w:tcPr>
          <w:p w14:paraId="599808B3" w14:textId="4E628AD6" w:rsidR="00795BB1" w:rsidRPr="00795BB1" w:rsidRDefault="00795BB1" w:rsidP="00795BB1">
            <w:pPr>
              <w:pStyle w:val="Tabskaiti"/>
              <w:rPr>
                <w:b/>
              </w:rPr>
            </w:pPr>
            <w:r w:rsidRPr="00795BB1">
              <w:rPr>
                <w:b/>
              </w:rPr>
              <w:t>18 659</w:t>
            </w:r>
          </w:p>
        </w:tc>
        <w:tc>
          <w:tcPr>
            <w:tcW w:w="1480" w:type="dxa"/>
            <w:tcBorders>
              <w:top w:val="single" w:sz="4" w:space="0" w:color="000000"/>
            </w:tcBorders>
            <w:shd w:val="clear" w:color="auto" w:fill="B8CCE4" w:themeFill="accent1" w:themeFillTint="66"/>
            <w:noWrap/>
            <w:vAlign w:val="center"/>
          </w:tcPr>
          <w:p w14:paraId="3892AB1F" w14:textId="357509FC" w:rsidR="00795BB1" w:rsidRPr="00795BB1" w:rsidRDefault="00795BB1" w:rsidP="00795BB1">
            <w:pPr>
              <w:pStyle w:val="Tabskaiti"/>
              <w:rPr>
                <w:b/>
              </w:rPr>
            </w:pPr>
            <w:r w:rsidRPr="00795BB1">
              <w:rPr>
                <w:b/>
              </w:rPr>
              <w:t>171 320</w:t>
            </w:r>
          </w:p>
        </w:tc>
        <w:tc>
          <w:tcPr>
            <w:tcW w:w="1044" w:type="dxa"/>
            <w:tcBorders>
              <w:top w:val="single" w:sz="4" w:space="0" w:color="000000"/>
            </w:tcBorders>
            <w:shd w:val="clear" w:color="auto" w:fill="B8CCE4" w:themeFill="accent1" w:themeFillTint="66"/>
            <w:vAlign w:val="center"/>
          </w:tcPr>
          <w:p w14:paraId="6DBB93E8" w14:textId="660CE502" w:rsidR="00795BB1" w:rsidRPr="00795BB1" w:rsidRDefault="00795BB1" w:rsidP="00795BB1">
            <w:pPr>
              <w:pStyle w:val="Tabskaiti"/>
              <w:rPr>
                <w:b/>
              </w:rPr>
            </w:pPr>
            <w:r w:rsidRPr="00795BB1">
              <w:rPr>
                <w:b/>
              </w:rPr>
              <w:t>x</w:t>
            </w:r>
          </w:p>
        </w:tc>
        <w:tc>
          <w:tcPr>
            <w:tcW w:w="851" w:type="dxa"/>
            <w:tcBorders>
              <w:top w:val="single" w:sz="4" w:space="0" w:color="000000"/>
            </w:tcBorders>
            <w:shd w:val="clear" w:color="auto" w:fill="B8CCE4" w:themeFill="accent1" w:themeFillTint="66"/>
            <w:noWrap/>
            <w:vAlign w:val="center"/>
          </w:tcPr>
          <w:p w14:paraId="50262EB4" w14:textId="17BA5D1D" w:rsidR="00795BB1" w:rsidRPr="00795BB1" w:rsidRDefault="00795BB1" w:rsidP="00795BB1">
            <w:pPr>
              <w:pStyle w:val="Tabskaiti"/>
              <w:rPr>
                <w:b/>
              </w:rPr>
            </w:pPr>
            <w:r w:rsidRPr="00795BB1">
              <w:rPr>
                <w:b/>
              </w:rPr>
              <w:t>106 650</w:t>
            </w:r>
          </w:p>
        </w:tc>
      </w:tr>
    </w:tbl>
    <w:p w14:paraId="5AB7000A" w14:textId="5ABC85FA" w:rsidR="002375B3" w:rsidRPr="00E72168" w:rsidRDefault="002375B3" w:rsidP="000D2C39">
      <w:pPr>
        <w:pStyle w:val="Heading5"/>
      </w:pPr>
      <w:r w:rsidRPr="000D2C39">
        <w:t>Piezīme</w:t>
      </w:r>
      <w:r w:rsidRPr="00E72168">
        <w:t xml:space="preserve"> Nr. KB.1.3.</w:t>
      </w:r>
      <w:r w:rsidR="00A92371">
        <w:t>1</w:t>
      </w:r>
      <w:r w:rsidRPr="00E72168">
        <w:t>. Pārējie ilgtermiņa finanšu ieguldījumi</w:t>
      </w:r>
    </w:p>
    <w:p w14:paraId="39896814" w14:textId="3AC66D27" w:rsidR="002375B3" w:rsidRDefault="00A92371" w:rsidP="000D2C39">
      <w:pPr>
        <w:pStyle w:val="Pamatteksts1"/>
      </w:pPr>
      <w:r>
        <w:t xml:space="preserve">Lielākās izmaiņas posteņa vērtībā veido </w:t>
      </w:r>
      <w:r w:rsidRPr="00A92371">
        <w:t>Labklājības ministrija</w:t>
      </w:r>
      <w:r>
        <w:t>s</w:t>
      </w:r>
      <w:r w:rsidRPr="00A92371">
        <w:t xml:space="preserve"> </w:t>
      </w:r>
      <w:r>
        <w:t xml:space="preserve">atzītais </w:t>
      </w:r>
      <w:r w:rsidRPr="00A92371">
        <w:t>ieguldījumu plāna līdzekļu vērtības palielinājums 1</w:t>
      </w:r>
      <w:r>
        <w:t> </w:t>
      </w:r>
      <w:r w:rsidRPr="00A92371">
        <w:t>0</w:t>
      </w:r>
      <w:r>
        <w:t>49,7 milj.</w:t>
      </w:r>
      <w:r w:rsidRPr="00A92371">
        <w:t xml:space="preserve"> </w:t>
      </w:r>
      <w:r w:rsidRPr="00A92371">
        <w:rPr>
          <w:i/>
          <w:iCs/>
        </w:rPr>
        <w:t>euro</w:t>
      </w:r>
      <w:r w:rsidRPr="00A92371">
        <w:t xml:space="preserve"> apmērā un pārvaldīšanā nodotās valsts </w:t>
      </w:r>
      <w:proofErr w:type="spellStart"/>
      <w:r w:rsidRPr="00A92371">
        <w:t>fondēto</w:t>
      </w:r>
      <w:proofErr w:type="spellEnd"/>
      <w:r w:rsidRPr="00A92371">
        <w:t xml:space="preserve"> pensiju shēmas dalībnieku iemaksas 847</w:t>
      </w:r>
      <w:r>
        <w:t>,</w:t>
      </w:r>
      <w:r w:rsidRPr="00A92371">
        <w:t>7</w:t>
      </w:r>
      <w:r>
        <w:t xml:space="preserve"> milj.</w:t>
      </w:r>
      <w:r w:rsidRPr="00A92371">
        <w:t xml:space="preserve"> </w:t>
      </w:r>
      <w:r w:rsidRPr="00A92371">
        <w:rPr>
          <w:i/>
          <w:iCs/>
        </w:rPr>
        <w:t>euro</w:t>
      </w:r>
      <w:r w:rsidRPr="00A92371">
        <w:t xml:space="preserve"> apmērā</w:t>
      </w:r>
      <w:r>
        <w:t xml:space="preserve">, kā arī </w:t>
      </w:r>
      <w:r w:rsidRPr="00A92371">
        <w:t xml:space="preserve">samazinājums par naudas konta atlikumu uz pārskata gada beigām, jo shēmas dalībnieks nav veicis izvēli par uzkrāto pensijas kapitālu </w:t>
      </w:r>
      <w:r>
        <w:t>(</w:t>
      </w:r>
      <w:r w:rsidRPr="00A92371">
        <w:t>43</w:t>
      </w:r>
      <w:r>
        <w:t>,</w:t>
      </w:r>
      <w:r w:rsidRPr="00A92371">
        <w:t>3</w:t>
      </w:r>
      <w:r>
        <w:t>)</w:t>
      </w:r>
      <w:r w:rsidRPr="00A92371">
        <w:t xml:space="preserve"> </w:t>
      </w:r>
      <w:r>
        <w:t xml:space="preserve">milj. </w:t>
      </w:r>
      <w:r w:rsidRPr="00A92371">
        <w:rPr>
          <w:i/>
          <w:iCs/>
        </w:rPr>
        <w:t>euro</w:t>
      </w:r>
      <w:r w:rsidRPr="00A92371">
        <w:t xml:space="preserve"> apmērā, samazinājums par uzkrātā pensijas kapitāla saņemšanu daļu dzēšanas rezultātā </w:t>
      </w:r>
      <w:r>
        <w:t>–</w:t>
      </w:r>
      <w:r w:rsidRPr="00A92371">
        <w:t xml:space="preserve"> mūža polises iegādei </w:t>
      </w:r>
      <w:r>
        <w:t>(</w:t>
      </w:r>
      <w:r w:rsidRPr="00A92371">
        <w:t>33</w:t>
      </w:r>
      <w:r>
        <w:t>,</w:t>
      </w:r>
      <w:r w:rsidRPr="00A92371">
        <w:t>8</w:t>
      </w:r>
      <w:r>
        <w:t>) milj.</w:t>
      </w:r>
      <w:r w:rsidRPr="00A92371">
        <w:t xml:space="preserve"> </w:t>
      </w:r>
      <w:r w:rsidRPr="00A92371">
        <w:rPr>
          <w:i/>
          <w:iCs/>
        </w:rPr>
        <w:t>euro</w:t>
      </w:r>
      <w:r w:rsidRPr="00A92371">
        <w:t xml:space="preserve"> apmērā, samazinājums par uzkrātā pensijas kapitāla saņemšanu daļu dzēšanas rezultātā </w:t>
      </w:r>
      <w:r>
        <w:t>–</w:t>
      </w:r>
      <w:r w:rsidRPr="00A92371">
        <w:t xml:space="preserve"> vecuma pensijas saņemšanai, ieskaitīšanai valsts pensiju speciālajā budžetā </w:t>
      </w:r>
      <w:r>
        <w:t>(</w:t>
      </w:r>
      <w:r w:rsidRPr="00A92371">
        <w:t>47</w:t>
      </w:r>
      <w:r>
        <w:t>,4) milj.</w:t>
      </w:r>
      <w:r w:rsidRPr="00A92371">
        <w:t xml:space="preserve"> </w:t>
      </w:r>
      <w:proofErr w:type="spellStart"/>
      <w:r w:rsidRPr="00A92371">
        <w:rPr>
          <w:i/>
          <w:iCs/>
        </w:rPr>
        <w:t>euro</w:t>
      </w:r>
      <w:proofErr w:type="spellEnd"/>
      <w:r w:rsidRPr="00A92371">
        <w:t xml:space="preserve"> apmērā</w:t>
      </w:r>
      <w:r w:rsidR="00854AC6">
        <w:t>.</w:t>
      </w:r>
    </w:p>
    <w:p w14:paraId="44A366D4" w14:textId="07227030" w:rsidR="00FE5358" w:rsidRPr="00E72168" w:rsidRDefault="00B539A5" w:rsidP="003A693D">
      <w:pPr>
        <w:pStyle w:val="Heading4"/>
        <w:spacing w:after="40"/>
        <w:rPr>
          <w:rFonts w:cs="Times New Roman"/>
        </w:rPr>
      </w:pPr>
      <w:r w:rsidRPr="00E72168">
        <w:rPr>
          <w:rFonts w:cs="Times New Roman"/>
        </w:rPr>
        <w:t xml:space="preserve">Piezīme Nr. </w:t>
      </w:r>
      <w:r w:rsidR="003E4135" w:rsidRPr="00E72168">
        <w:rPr>
          <w:rFonts w:cs="Times New Roman"/>
        </w:rPr>
        <w:t>KB.</w:t>
      </w:r>
      <w:r w:rsidR="00F73CE6" w:rsidRPr="00E72168">
        <w:rPr>
          <w:rFonts w:cs="Times New Roman"/>
        </w:rPr>
        <w:t>1.</w:t>
      </w:r>
      <w:r w:rsidR="003E4135" w:rsidRPr="00E72168">
        <w:rPr>
          <w:rFonts w:cs="Times New Roman"/>
        </w:rPr>
        <w:t xml:space="preserve">4. </w:t>
      </w:r>
      <w:r w:rsidR="007F3C4C" w:rsidRPr="00E72168">
        <w:rPr>
          <w:rFonts w:cs="Times New Roman"/>
        </w:rPr>
        <w:t>Ilgtermiņa prasības</w:t>
      </w:r>
    </w:p>
    <w:p w14:paraId="4BACA6D3" w14:textId="3C781189" w:rsidR="00C71A07" w:rsidRPr="00E72168" w:rsidRDefault="000357A0" w:rsidP="00324AC5">
      <w:pPr>
        <w:pStyle w:val="Tabnosauk"/>
      </w:pPr>
      <w:r>
        <w:t>1.</w:t>
      </w:r>
      <w:r w:rsidR="00854AC6">
        <w:t>7</w:t>
      </w:r>
      <w:r w:rsidR="00B533FD" w:rsidRPr="00E72168">
        <w:t>. tabula</w:t>
      </w:r>
      <w:r w:rsidR="00C71A07" w:rsidRPr="00E72168">
        <w:t>. Ilgtermiņa prasības (</w:t>
      </w:r>
      <w:r w:rsidR="0025409F" w:rsidRPr="00E72168">
        <w:t>euro</w:t>
      </w:r>
      <w:r w:rsidR="00C71A07" w:rsidRPr="00E72168">
        <w:t>)</w:t>
      </w:r>
    </w:p>
    <w:tbl>
      <w:tblPr>
        <w:tblW w:w="4991" w:type="pct"/>
        <w:tblBorders>
          <w:insideH w:val="single" w:sz="4" w:space="0" w:color="012169"/>
        </w:tblBorders>
        <w:tblLayout w:type="fixed"/>
        <w:tblLook w:val="04A0" w:firstRow="1" w:lastRow="0" w:firstColumn="1" w:lastColumn="0" w:noHBand="0" w:noVBand="1"/>
      </w:tblPr>
      <w:tblGrid>
        <w:gridCol w:w="3402"/>
        <w:gridCol w:w="241"/>
        <w:gridCol w:w="753"/>
        <w:gridCol w:w="166"/>
        <w:gridCol w:w="1035"/>
        <w:gridCol w:w="293"/>
        <w:gridCol w:w="973"/>
        <w:gridCol w:w="269"/>
        <w:gridCol w:w="924"/>
        <w:gridCol w:w="82"/>
        <w:gridCol w:w="1199"/>
      </w:tblGrid>
      <w:tr w:rsidR="000C1009" w:rsidRPr="00E72168" w14:paraId="7FC44B16" w14:textId="77777777" w:rsidTr="009A4177">
        <w:trPr>
          <w:trHeight w:val="684"/>
        </w:trPr>
        <w:tc>
          <w:tcPr>
            <w:tcW w:w="1822" w:type="pct"/>
            <w:tcBorders>
              <w:bottom w:val="single" w:sz="4" w:space="0" w:color="17365D"/>
            </w:tcBorders>
            <w:shd w:val="clear" w:color="auto" w:fill="B9CDE5"/>
            <w:vAlign w:val="center"/>
            <w:hideMark/>
          </w:tcPr>
          <w:p w14:paraId="3506810E" w14:textId="07ED3106" w:rsidR="004B31D0" w:rsidRPr="00E72168" w:rsidRDefault="007611AA" w:rsidP="00B52074">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32" w:type="pct"/>
            <w:gridSpan w:val="2"/>
            <w:tcBorders>
              <w:bottom w:val="single" w:sz="4" w:space="0" w:color="17365D"/>
            </w:tcBorders>
            <w:shd w:val="clear" w:color="auto" w:fill="B9CDE5"/>
            <w:vAlign w:val="center"/>
            <w:hideMark/>
          </w:tcPr>
          <w:p w14:paraId="5591CAFB"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643" w:type="pct"/>
            <w:gridSpan w:val="2"/>
            <w:tcBorders>
              <w:bottom w:val="single" w:sz="4" w:space="0" w:color="17365D"/>
            </w:tcBorders>
            <w:shd w:val="clear" w:color="auto" w:fill="B9CDE5"/>
            <w:vAlign w:val="center"/>
            <w:hideMark/>
          </w:tcPr>
          <w:p w14:paraId="5524D14E"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678" w:type="pct"/>
            <w:gridSpan w:val="2"/>
            <w:tcBorders>
              <w:bottom w:val="single" w:sz="4" w:space="0" w:color="17365D"/>
            </w:tcBorders>
            <w:shd w:val="clear" w:color="auto" w:fill="B9CDE5"/>
            <w:vAlign w:val="center"/>
            <w:hideMark/>
          </w:tcPr>
          <w:p w14:paraId="007E7A2D"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639" w:type="pct"/>
            <w:gridSpan w:val="2"/>
            <w:tcBorders>
              <w:bottom w:val="single" w:sz="4" w:space="0" w:color="17365D"/>
            </w:tcBorders>
            <w:shd w:val="clear" w:color="auto" w:fill="B9CDE5"/>
            <w:vAlign w:val="center"/>
            <w:hideMark/>
          </w:tcPr>
          <w:p w14:paraId="0F21C5DA" w14:textId="629C5516"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w:t>
            </w:r>
            <w:r w:rsidRPr="00E72168">
              <w:rPr>
                <w:rFonts w:eastAsia="Times New Roman" w:cs="Times New Roman"/>
                <w:b/>
                <w:color w:val="17365D"/>
                <w:sz w:val="18"/>
                <w:szCs w:val="18"/>
                <w:lang w:eastAsia="lv-LV"/>
              </w:rPr>
              <w:t>)</w:t>
            </w:r>
          </w:p>
        </w:tc>
        <w:tc>
          <w:tcPr>
            <w:tcW w:w="686" w:type="pct"/>
            <w:gridSpan w:val="2"/>
            <w:tcBorders>
              <w:bottom w:val="single" w:sz="4" w:space="0" w:color="17365D"/>
            </w:tcBorders>
            <w:shd w:val="clear" w:color="auto" w:fill="B9CDE5"/>
            <w:vAlign w:val="center"/>
            <w:hideMark/>
          </w:tcPr>
          <w:p w14:paraId="1DAFE3D6"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57DF5F98" w14:textId="77777777" w:rsidTr="00D12490">
        <w:trPr>
          <w:trHeight w:val="98"/>
        </w:trPr>
        <w:tc>
          <w:tcPr>
            <w:tcW w:w="1822" w:type="pct"/>
            <w:tcBorders>
              <w:top w:val="single" w:sz="4" w:space="0" w:color="17365D"/>
              <w:bottom w:val="single" w:sz="4" w:space="0" w:color="17365D"/>
            </w:tcBorders>
            <w:shd w:val="clear" w:color="auto" w:fill="auto"/>
            <w:vAlign w:val="center"/>
            <w:hideMark/>
          </w:tcPr>
          <w:p w14:paraId="28819859"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532" w:type="pct"/>
            <w:gridSpan w:val="2"/>
            <w:tcBorders>
              <w:top w:val="single" w:sz="4" w:space="0" w:color="17365D"/>
              <w:bottom w:val="single" w:sz="4" w:space="0" w:color="17365D"/>
            </w:tcBorders>
            <w:shd w:val="clear" w:color="auto" w:fill="auto"/>
            <w:vAlign w:val="center"/>
            <w:hideMark/>
          </w:tcPr>
          <w:p w14:paraId="0EBE4841"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643" w:type="pct"/>
            <w:gridSpan w:val="2"/>
            <w:tcBorders>
              <w:top w:val="single" w:sz="4" w:space="0" w:color="17365D"/>
              <w:bottom w:val="single" w:sz="4" w:space="0" w:color="17365D"/>
            </w:tcBorders>
            <w:shd w:val="clear" w:color="auto" w:fill="auto"/>
            <w:vAlign w:val="center"/>
            <w:hideMark/>
          </w:tcPr>
          <w:p w14:paraId="34E6A8C0"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678" w:type="pct"/>
            <w:gridSpan w:val="2"/>
            <w:tcBorders>
              <w:top w:val="single" w:sz="4" w:space="0" w:color="17365D"/>
              <w:bottom w:val="single" w:sz="4" w:space="0" w:color="17365D"/>
            </w:tcBorders>
            <w:shd w:val="clear" w:color="auto" w:fill="auto"/>
            <w:vAlign w:val="center"/>
            <w:hideMark/>
          </w:tcPr>
          <w:p w14:paraId="0FE49E00"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639" w:type="pct"/>
            <w:gridSpan w:val="2"/>
            <w:tcBorders>
              <w:top w:val="single" w:sz="4" w:space="0" w:color="17365D"/>
              <w:bottom w:val="single" w:sz="4" w:space="0" w:color="17365D"/>
            </w:tcBorders>
            <w:shd w:val="clear" w:color="auto" w:fill="auto"/>
            <w:vAlign w:val="center"/>
            <w:hideMark/>
          </w:tcPr>
          <w:p w14:paraId="508E2E15"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86" w:type="pct"/>
            <w:gridSpan w:val="2"/>
            <w:tcBorders>
              <w:top w:val="single" w:sz="4" w:space="0" w:color="17365D"/>
              <w:bottom w:val="single" w:sz="4" w:space="0" w:color="17365D"/>
            </w:tcBorders>
            <w:shd w:val="clear" w:color="auto" w:fill="auto"/>
            <w:vAlign w:val="center"/>
            <w:hideMark/>
          </w:tcPr>
          <w:p w14:paraId="798AAB6D" w14:textId="77777777" w:rsidR="004B31D0" w:rsidRPr="00E72168" w:rsidRDefault="004B31D0" w:rsidP="00366C1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F9024D" w:rsidRPr="00E72168" w14:paraId="457BDBFC" w14:textId="77777777" w:rsidTr="00F9024D">
        <w:trPr>
          <w:trHeight w:val="264"/>
        </w:trPr>
        <w:tc>
          <w:tcPr>
            <w:tcW w:w="1822" w:type="pct"/>
            <w:tcBorders>
              <w:top w:val="single" w:sz="4" w:space="0" w:color="17365D"/>
              <w:bottom w:val="single" w:sz="4" w:space="0" w:color="17365D"/>
            </w:tcBorders>
            <w:shd w:val="clear" w:color="auto" w:fill="auto"/>
            <w:vAlign w:val="center"/>
            <w:hideMark/>
          </w:tcPr>
          <w:p w14:paraId="2F6332BF" w14:textId="5D17C750" w:rsidR="00F9024D" w:rsidRPr="00E72168" w:rsidRDefault="00F9024D" w:rsidP="00F9024D">
            <w:pPr>
              <w:spacing w:after="0" w:line="240" w:lineRule="auto"/>
              <w:rPr>
                <w:rFonts w:eastAsia="Times New Roman" w:cs="Times New Roman"/>
                <w:b/>
                <w:color w:val="17365D"/>
                <w:sz w:val="18"/>
                <w:szCs w:val="18"/>
                <w:lang w:eastAsia="lv-LV"/>
              </w:rPr>
            </w:pPr>
            <w:proofErr w:type="spellStart"/>
            <w:r w:rsidRPr="00E72168">
              <w:rPr>
                <w:rFonts w:cs="Times New Roman"/>
                <w:b/>
                <w:color w:val="17365D"/>
                <w:sz w:val="18"/>
                <w:szCs w:val="18"/>
              </w:rPr>
              <w:t>llgtermiņa</w:t>
            </w:r>
            <w:proofErr w:type="spellEnd"/>
            <w:r w:rsidRPr="00E72168">
              <w:rPr>
                <w:rFonts w:cs="Times New Roman"/>
                <w:b/>
                <w:color w:val="17365D"/>
                <w:sz w:val="18"/>
                <w:szCs w:val="18"/>
              </w:rPr>
              <w:t xml:space="preserve"> prasības</w:t>
            </w:r>
          </w:p>
        </w:tc>
        <w:tc>
          <w:tcPr>
            <w:tcW w:w="532" w:type="pct"/>
            <w:gridSpan w:val="2"/>
            <w:tcBorders>
              <w:top w:val="single" w:sz="4" w:space="0" w:color="17365D"/>
              <w:bottom w:val="single" w:sz="4" w:space="0" w:color="17365D"/>
              <w:right w:val="nil"/>
            </w:tcBorders>
            <w:shd w:val="clear" w:color="auto" w:fill="auto"/>
            <w:vAlign w:val="center"/>
            <w:hideMark/>
          </w:tcPr>
          <w:p w14:paraId="0B9E8BC7" w14:textId="7971D51E" w:rsidR="00F9024D" w:rsidRPr="00E72168" w:rsidRDefault="00F9024D" w:rsidP="00F9024D">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KB.1.4.</w:t>
            </w:r>
          </w:p>
        </w:tc>
        <w:tc>
          <w:tcPr>
            <w:tcW w:w="643" w:type="pct"/>
            <w:gridSpan w:val="2"/>
            <w:tcBorders>
              <w:top w:val="single" w:sz="4" w:space="0" w:color="17365D"/>
              <w:left w:val="nil"/>
              <w:bottom w:val="single" w:sz="4" w:space="0" w:color="17365D"/>
              <w:right w:val="nil"/>
            </w:tcBorders>
            <w:shd w:val="clear" w:color="auto" w:fill="auto"/>
            <w:vAlign w:val="center"/>
            <w:hideMark/>
          </w:tcPr>
          <w:p w14:paraId="5C650238" w14:textId="4E37B969" w:rsidR="00F9024D" w:rsidRPr="00F9024D" w:rsidRDefault="00F9024D" w:rsidP="00F9024D">
            <w:pPr>
              <w:spacing w:after="0" w:line="240" w:lineRule="auto"/>
              <w:jc w:val="right"/>
              <w:rPr>
                <w:rFonts w:cs="Times New Roman"/>
                <w:b/>
                <w:bCs/>
                <w:color w:val="17365D"/>
                <w:sz w:val="18"/>
                <w:szCs w:val="18"/>
              </w:rPr>
            </w:pPr>
            <w:r w:rsidRPr="00F9024D">
              <w:rPr>
                <w:rFonts w:cs="Times New Roman"/>
                <w:b/>
                <w:bCs/>
                <w:color w:val="17365D"/>
                <w:sz w:val="18"/>
                <w:szCs w:val="18"/>
              </w:rPr>
              <w:t>701 726 163</w:t>
            </w:r>
          </w:p>
        </w:tc>
        <w:tc>
          <w:tcPr>
            <w:tcW w:w="678" w:type="pct"/>
            <w:gridSpan w:val="2"/>
            <w:tcBorders>
              <w:top w:val="single" w:sz="4" w:space="0" w:color="17365D"/>
              <w:left w:val="nil"/>
              <w:bottom w:val="single" w:sz="4" w:space="0" w:color="17365D"/>
              <w:right w:val="nil"/>
            </w:tcBorders>
            <w:shd w:val="clear" w:color="auto" w:fill="auto"/>
            <w:vAlign w:val="center"/>
            <w:hideMark/>
          </w:tcPr>
          <w:p w14:paraId="2A130FA3" w14:textId="48203AA6" w:rsidR="00F9024D" w:rsidRPr="00F9024D" w:rsidRDefault="00F9024D" w:rsidP="00F9024D">
            <w:pPr>
              <w:spacing w:after="0" w:line="240" w:lineRule="auto"/>
              <w:jc w:val="right"/>
              <w:rPr>
                <w:rFonts w:cs="Times New Roman"/>
                <w:b/>
                <w:bCs/>
                <w:color w:val="17365D"/>
                <w:sz w:val="18"/>
                <w:szCs w:val="18"/>
              </w:rPr>
            </w:pPr>
            <w:r w:rsidRPr="00F9024D">
              <w:rPr>
                <w:rFonts w:cs="Times New Roman"/>
                <w:b/>
                <w:bCs/>
                <w:color w:val="17365D"/>
                <w:sz w:val="18"/>
                <w:szCs w:val="18"/>
              </w:rPr>
              <w:t>538 261 392</w:t>
            </w:r>
          </w:p>
        </w:tc>
        <w:tc>
          <w:tcPr>
            <w:tcW w:w="639" w:type="pct"/>
            <w:gridSpan w:val="2"/>
            <w:tcBorders>
              <w:top w:val="single" w:sz="4" w:space="0" w:color="17365D"/>
              <w:left w:val="nil"/>
              <w:bottom w:val="single" w:sz="4" w:space="0" w:color="17365D"/>
              <w:right w:val="nil"/>
            </w:tcBorders>
            <w:shd w:val="clear" w:color="auto" w:fill="auto"/>
            <w:noWrap/>
            <w:vAlign w:val="center"/>
            <w:hideMark/>
          </w:tcPr>
          <w:p w14:paraId="384BAC45" w14:textId="413DD33D" w:rsidR="00F9024D" w:rsidRPr="00F9024D" w:rsidRDefault="00F9024D" w:rsidP="00F9024D">
            <w:pPr>
              <w:spacing w:after="0" w:line="240" w:lineRule="auto"/>
              <w:jc w:val="right"/>
              <w:rPr>
                <w:rFonts w:cs="Times New Roman"/>
                <w:b/>
                <w:bCs/>
                <w:color w:val="17365D"/>
                <w:sz w:val="18"/>
                <w:szCs w:val="18"/>
              </w:rPr>
            </w:pPr>
            <w:r w:rsidRPr="00F9024D">
              <w:rPr>
                <w:rFonts w:cs="Times New Roman"/>
                <w:b/>
                <w:bCs/>
                <w:color w:val="17365D"/>
                <w:sz w:val="18"/>
                <w:szCs w:val="18"/>
              </w:rPr>
              <w:t>163 464 771</w:t>
            </w:r>
          </w:p>
        </w:tc>
        <w:tc>
          <w:tcPr>
            <w:tcW w:w="686" w:type="pct"/>
            <w:gridSpan w:val="2"/>
            <w:tcBorders>
              <w:top w:val="single" w:sz="4" w:space="0" w:color="17365D"/>
              <w:left w:val="nil"/>
              <w:bottom w:val="single" w:sz="4" w:space="0" w:color="17365D"/>
              <w:right w:val="nil"/>
            </w:tcBorders>
            <w:shd w:val="clear" w:color="auto" w:fill="auto"/>
            <w:noWrap/>
            <w:vAlign w:val="center"/>
            <w:hideMark/>
          </w:tcPr>
          <w:p w14:paraId="4A1C948E" w14:textId="7F43D75C" w:rsidR="00F9024D" w:rsidRPr="00F9024D" w:rsidRDefault="00F9024D" w:rsidP="00F9024D">
            <w:pPr>
              <w:spacing w:after="0" w:line="240" w:lineRule="auto"/>
              <w:jc w:val="right"/>
              <w:rPr>
                <w:rFonts w:cs="Times New Roman"/>
                <w:b/>
                <w:bCs/>
                <w:color w:val="17365D"/>
                <w:sz w:val="18"/>
                <w:szCs w:val="18"/>
              </w:rPr>
            </w:pPr>
            <w:r w:rsidRPr="00F9024D">
              <w:rPr>
                <w:rFonts w:cs="Times New Roman"/>
                <w:b/>
                <w:bCs/>
                <w:color w:val="17365D"/>
                <w:sz w:val="18"/>
                <w:szCs w:val="18"/>
              </w:rPr>
              <w:t>30.37</w:t>
            </w:r>
          </w:p>
        </w:tc>
      </w:tr>
      <w:tr w:rsidR="00F9024D" w:rsidRPr="00E72168" w14:paraId="02AF860A" w14:textId="77777777" w:rsidTr="00F9024D">
        <w:trPr>
          <w:trHeight w:val="264"/>
        </w:trPr>
        <w:tc>
          <w:tcPr>
            <w:tcW w:w="1822" w:type="pct"/>
            <w:tcBorders>
              <w:top w:val="single" w:sz="4" w:space="0" w:color="17365D"/>
              <w:bottom w:val="single" w:sz="4" w:space="0" w:color="17365D"/>
            </w:tcBorders>
            <w:shd w:val="clear" w:color="auto" w:fill="auto"/>
            <w:vAlign w:val="center"/>
            <w:hideMark/>
          </w:tcPr>
          <w:p w14:paraId="3BB32891" w14:textId="1B0CB234" w:rsidR="00F9024D" w:rsidRPr="00E72168" w:rsidRDefault="00F9024D" w:rsidP="00F9024D">
            <w:pPr>
              <w:spacing w:after="0" w:line="240" w:lineRule="auto"/>
              <w:rPr>
                <w:rFonts w:eastAsia="Times New Roman" w:cs="Times New Roman"/>
                <w:color w:val="17365D"/>
                <w:sz w:val="18"/>
                <w:szCs w:val="18"/>
                <w:lang w:eastAsia="lv-LV"/>
              </w:rPr>
            </w:pPr>
            <w:r w:rsidRPr="00E72168">
              <w:rPr>
                <w:rFonts w:cs="Times New Roman"/>
                <w:color w:val="17365D"/>
                <w:sz w:val="18"/>
                <w:szCs w:val="18"/>
              </w:rPr>
              <w:t>Ilgtermiņa prasības par Eiropas Savienīb</w:t>
            </w:r>
            <w:r>
              <w:rPr>
                <w:rFonts w:cs="Times New Roman"/>
                <w:color w:val="17365D"/>
                <w:sz w:val="18"/>
                <w:szCs w:val="18"/>
              </w:rPr>
              <w:t>as</w:t>
            </w:r>
            <w:r w:rsidRPr="00E72168">
              <w:rPr>
                <w:rFonts w:cs="Times New Roman"/>
                <w:color w:val="17365D"/>
                <w:sz w:val="18"/>
                <w:szCs w:val="18"/>
              </w:rPr>
              <w:t xml:space="preserve"> politiku instrumentu un pārējās ārvalstu finanšu palīdzības finansētajiem projektiem (pasākumiem)</w:t>
            </w:r>
          </w:p>
        </w:tc>
        <w:tc>
          <w:tcPr>
            <w:tcW w:w="532" w:type="pct"/>
            <w:gridSpan w:val="2"/>
            <w:tcBorders>
              <w:top w:val="single" w:sz="4" w:space="0" w:color="17365D"/>
              <w:bottom w:val="single" w:sz="4" w:space="0" w:color="17365D"/>
              <w:right w:val="nil"/>
            </w:tcBorders>
            <w:shd w:val="clear" w:color="auto" w:fill="auto"/>
            <w:noWrap/>
            <w:vAlign w:val="center"/>
            <w:hideMark/>
          </w:tcPr>
          <w:p w14:paraId="63280A3B" w14:textId="16864914" w:rsidR="00F9024D" w:rsidRPr="00E72168" w:rsidRDefault="00F9024D" w:rsidP="00F9024D">
            <w:pPr>
              <w:spacing w:after="0" w:line="240" w:lineRule="auto"/>
              <w:jc w:val="center"/>
              <w:rPr>
                <w:rFonts w:eastAsia="Times New Roman" w:cs="Times New Roman"/>
                <w:color w:val="17365D"/>
                <w:sz w:val="18"/>
                <w:szCs w:val="18"/>
                <w:lang w:eastAsia="lv-LV"/>
              </w:rPr>
            </w:pPr>
            <w:r w:rsidRPr="00E72168">
              <w:rPr>
                <w:rFonts w:eastAsia="Times New Roman" w:cs="Times New Roman"/>
                <w:color w:val="17365D"/>
                <w:sz w:val="18"/>
                <w:szCs w:val="18"/>
                <w:lang w:eastAsia="lv-LV"/>
              </w:rPr>
              <w:t>KB.1.4.1.</w:t>
            </w:r>
          </w:p>
        </w:tc>
        <w:tc>
          <w:tcPr>
            <w:tcW w:w="643" w:type="pct"/>
            <w:gridSpan w:val="2"/>
            <w:tcBorders>
              <w:top w:val="single" w:sz="4" w:space="0" w:color="17365D"/>
              <w:left w:val="nil"/>
              <w:bottom w:val="single" w:sz="4" w:space="0" w:color="17365D"/>
              <w:right w:val="nil"/>
            </w:tcBorders>
            <w:shd w:val="clear" w:color="auto" w:fill="auto"/>
            <w:vAlign w:val="center"/>
            <w:hideMark/>
          </w:tcPr>
          <w:p w14:paraId="121D652F" w14:textId="59BD13F9"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394 296 394</w:t>
            </w:r>
          </w:p>
        </w:tc>
        <w:tc>
          <w:tcPr>
            <w:tcW w:w="678" w:type="pct"/>
            <w:gridSpan w:val="2"/>
            <w:tcBorders>
              <w:top w:val="single" w:sz="4" w:space="0" w:color="17365D"/>
              <w:left w:val="nil"/>
              <w:bottom w:val="single" w:sz="4" w:space="0" w:color="17365D"/>
              <w:right w:val="nil"/>
            </w:tcBorders>
            <w:shd w:val="clear" w:color="auto" w:fill="auto"/>
            <w:vAlign w:val="center"/>
            <w:hideMark/>
          </w:tcPr>
          <w:p w14:paraId="0CBF7732" w14:textId="29AEEF46"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237 329 291</w:t>
            </w:r>
          </w:p>
        </w:tc>
        <w:tc>
          <w:tcPr>
            <w:tcW w:w="639" w:type="pct"/>
            <w:gridSpan w:val="2"/>
            <w:tcBorders>
              <w:top w:val="single" w:sz="4" w:space="0" w:color="17365D"/>
              <w:left w:val="nil"/>
              <w:bottom w:val="single" w:sz="4" w:space="0" w:color="17365D"/>
              <w:right w:val="nil"/>
            </w:tcBorders>
            <w:shd w:val="clear" w:color="auto" w:fill="auto"/>
            <w:noWrap/>
            <w:vAlign w:val="center"/>
            <w:hideMark/>
          </w:tcPr>
          <w:p w14:paraId="284C78B4" w14:textId="16AAFFE5"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156 967 103</w:t>
            </w:r>
          </w:p>
        </w:tc>
        <w:tc>
          <w:tcPr>
            <w:tcW w:w="686" w:type="pct"/>
            <w:gridSpan w:val="2"/>
            <w:tcBorders>
              <w:top w:val="single" w:sz="4" w:space="0" w:color="17365D"/>
              <w:left w:val="nil"/>
              <w:bottom w:val="single" w:sz="4" w:space="0" w:color="17365D"/>
              <w:right w:val="nil"/>
            </w:tcBorders>
            <w:shd w:val="clear" w:color="auto" w:fill="auto"/>
            <w:noWrap/>
            <w:vAlign w:val="center"/>
            <w:hideMark/>
          </w:tcPr>
          <w:p w14:paraId="18BF6C6E" w14:textId="4224339C"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66.14</w:t>
            </w:r>
          </w:p>
        </w:tc>
      </w:tr>
      <w:tr w:rsidR="00F9024D" w:rsidRPr="00E72168" w14:paraId="661A9F93" w14:textId="77777777" w:rsidTr="00F9024D">
        <w:trPr>
          <w:trHeight w:val="266"/>
        </w:trPr>
        <w:tc>
          <w:tcPr>
            <w:tcW w:w="1822" w:type="pct"/>
            <w:tcBorders>
              <w:top w:val="single" w:sz="4" w:space="0" w:color="17365D"/>
              <w:bottom w:val="single" w:sz="4" w:space="0" w:color="17365D"/>
            </w:tcBorders>
            <w:shd w:val="clear" w:color="auto" w:fill="auto"/>
            <w:vAlign w:val="center"/>
            <w:hideMark/>
          </w:tcPr>
          <w:p w14:paraId="22B5EB73" w14:textId="12547986" w:rsidR="00F9024D" w:rsidRPr="00E72168" w:rsidRDefault="00F9024D" w:rsidP="00F9024D">
            <w:pPr>
              <w:spacing w:after="0" w:line="240" w:lineRule="auto"/>
              <w:rPr>
                <w:rFonts w:eastAsia="Times New Roman" w:cs="Times New Roman"/>
                <w:color w:val="17365D"/>
                <w:sz w:val="18"/>
                <w:szCs w:val="18"/>
                <w:lang w:eastAsia="lv-LV"/>
              </w:rPr>
            </w:pPr>
            <w:r>
              <w:rPr>
                <w:rFonts w:cs="Times New Roman"/>
                <w:color w:val="17365D"/>
                <w:sz w:val="18"/>
                <w:szCs w:val="18"/>
              </w:rPr>
              <w:t>Pārējās</w:t>
            </w:r>
            <w:r w:rsidRPr="00E72168">
              <w:rPr>
                <w:rFonts w:cs="Times New Roman"/>
                <w:color w:val="17365D"/>
                <w:sz w:val="18"/>
                <w:szCs w:val="18"/>
              </w:rPr>
              <w:t xml:space="preserve"> ilgtermiņa prasības</w:t>
            </w:r>
          </w:p>
        </w:tc>
        <w:tc>
          <w:tcPr>
            <w:tcW w:w="532" w:type="pct"/>
            <w:gridSpan w:val="2"/>
            <w:tcBorders>
              <w:top w:val="single" w:sz="4" w:space="0" w:color="17365D"/>
              <w:bottom w:val="single" w:sz="4" w:space="0" w:color="17365D"/>
              <w:right w:val="nil"/>
            </w:tcBorders>
            <w:shd w:val="clear" w:color="auto" w:fill="auto"/>
            <w:noWrap/>
            <w:vAlign w:val="center"/>
          </w:tcPr>
          <w:p w14:paraId="38166F00" w14:textId="6996DC83" w:rsidR="00F9024D" w:rsidRPr="00E72168" w:rsidRDefault="00F9024D" w:rsidP="00F9024D">
            <w:pPr>
              <w:spacing w:after="0" w:line="240" w:lineRule="auto"/>
              <w:jc w:val="center"/>
              <w:rPr>
                <w:rFonts w:eastAsia="Times New Roman" w:cs="Times New Roman"/>
                <w:color w:val="17365D"/>
                <w:sz w:val="18"/>
                <w:szCs w:val="18"/>
                <w:lang w:eastAsia="lv-LV"/>
              </w:rPr>
            </w:pPr>
          </w:p>
        </w:tc>
        <w:tc>
          <w:tcPr>
            <w:tcW w:w="643" w:type="pct"/>
            <w:gridSpan w:val="2"/>
            <w:tcBorders>
              <w:top w:val="single" w:sz="4" w:space="0" w:color="17365D"/>
              <w:left w:val="nil"/>
              <w:bottom w:val="single" w:sz="4" w:space="0" w:color="17365D"/>
              <w:right w:val="nil"/>
            </w:tcBorders>
            <w:shd w:val="clear" w:color="auto" w:fill="auto"/>
            <w:vAlign w:val="center"/>
            <w:hideMark/>
          </w:tcPr>
          <w:p w14:paraId="4FAD23C6" w14:textId="0F0C5857"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307 429 769</w:t>
            </w:r>
          </w:p>
        </w:tc>
        <w:tc>
          <w:tcPr>
            <w:tcW w:w="678" w:type="pct"/>
            <w:gridSpan w:val="2"/>
            <w:tcBorders>
              <w:top w:val="single" w:sz="4" w:space="0" w:color="17365D"/>
              <w:left w:val="nil"/>
              <w:bottom w:val="single" w:sz="4" w:space="0" w:color="17365D"/>
              <w:right w:val="nil"/>
            </w:tcBorders>
            <w:shd w:val="clear" w:color="auto" w:fill="auto"/>
            <w:vAlign w:val="center"/>
            <w:hideMark/>
          </w:tcPr>
          <w:p w14:paraId="4042356D" w14:textId="5BCA67AC"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300 932 101</w:t>
            </w:r>
          </w:p>
        </w:tc>
        <w:tc>
          <w:tcPr>
            <w:tcW w:w="639" w:type="pct"/>
            <w:gridSpan w:val="2"/>
            <w:tcBorders>
              <w:top w:val="single" w:sz="4" w:space="0" w:color="17365D"/>
              <w:left w:val="nil"/>
              <w:bottom w:val="single" w:sz="4" w:space="0" w:color="17365D"/>
              <w:right w:val="nil"/>
            </w:tcBorders>
            <w:shd w:val="clear" w:color="auto" w:fill="auto"/>
            <w:noWrap/>
            <w:vAlign w:val="center"/>
            <w:hideMark/>
          </w:tcPr>
          <w:p w14:paraId="47086FE9" w14:textId="0F38A569"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6 497 668</w:t>
            </w:r>
          </w:p>
        </w:tc>
        <w:tc>
          <w:tcPr>
            <w:tcW w:w="686" w:type="pct"/>
            <w:gridSpan w:val="2"/>
            <w:tcBorders>
              <w:top w:val="single" w:sz="4" w:space="0" w:color="17365D"/>
              <w:left w:val="nil"/>
              <w:bottom w:val="single" w:sz="4" w:space="0" w:color="17365D"/>
              <w:right w:val="nil"/>
            </w:tcBorders>
            <w:shd w:val="clear" w:color="auto" w:fill="auto"/>
            <w:noWrap/>
            <w:vAlign w:val="center"/>
            <w:hideMark/>
          </w:tcPr>
          <w:p w14:paraId="29BA2B44" w14:textId="0E7F76F4" w:rsidR="00F9024D" w:rsidRPr="00F9024D" w:rsidRDefault="00F9024D" w:rsidP="00F9024D">
            <w:pPr>
              <w:spacing w:after="0" w:line="240" w:lineRule="auto"/>
              <w:jc w:val="right"/>
              <w:rPr>
                <w:rFonts w:cs="Times New Roman"/>
                <w:color w:val="17365D"/>
                <w:sz w:val="18"/>
                <w:szCs w:val="18"/>
              </w:rPr>
            </w:pPr>
            <w:r w:rsidRPr="00F9024D">
              <w:rPr>
                <w:rFonts w:cs="Times New Roman"/>
                <w:color w:val="17365D"/>
                <w:sz w:val="18"/>
                <w:szCs w:val="18"/>
              </w:rPr>
              <w:t>2.16</w:t>
            </w:r>
          </w:p>
        </w:tc>
      </w:tr>
      <w:tr w:rsidR="000C1009" w:rsidRPr="00E72168" w14:paraId="6D8FD991" w14:textId="77777777" w:rsidTr="00D12490">
        <w:trPr>
          <w:trHeight w:val="202"/>
        </w:trPr>
        <w:tc>
          <w:tcPr>
            <w:tcW w:w="1951" w:type="pct"/>
            <w:gridSpan w:val="2"/>
            <w:tcBorders>
              <w:top w:val="single" w:sz="4" w:space="0" w:color="17365D"/>
            </w:tcBorders>
            <w:shd w:val="clear" w:color="auto" w:fill="B9CDE5"/>
            <w:vAlign w:val="center"/>
          </w:tcPr>
          <w:p w14:paraId="589B8B90" w14:textId="77777777" w:rsidR="004B31D0" w:rsidRPr="00E72168" w:rsidRDefault="004B31D0" w:rsidP="006138D3">
            <w:pPr>
              <w:spacing w:after="0" w:line="240" w:lineRule="auto"/>
              <w:rPr>
                <w:rFonts w:eastAsia="Times New Roman" w:cs="Times New Roman"/>
                <w:color w:val="17365D"/>
                <w:sz w:val="18"/>
                <w:szCs w:val="18"/>
                <w:lang w:eastAsia="lv-LV"/>
              </w:rPr>
            </w:pPr>
          </w:p>
        </w:tc>
        <w:tc>
          <w:tcPr>
            <w:tcW w:w="492" w:type="pct"/>
            <w:gridSpan w:val="2"/>
            <w:tcBorders>
              <w:top w:val="single" w:sz="4" w:space="0" w:color="17365D"/>
            </w:tcBorders>
            <w:shd w:val="clear" w:color="auto" w:fill="B9CDE5"/>
            <w:noWrap/>
            <w:vAlign w:val="center"/>
          </w:tcPr>
          <w:p w14:paraId="624608E0" w14:textId="77777777" w:rsidR="004B31D0" w:rsidRPr="00E72168" w:rsidRDefault="004B31D0" w:rsidP="00B917D1">
            <w:pPr>
              <w:spacing w:after="0" w:line="240" w:lineRule="auto"/>
              <w:jc w:val="right"/>
              <w:rPr>
                <w:rFonts w:eastAsia="Times New Roman" w:cs="Times New Roman"/>
                <w:color w:val="17365D"/>
                <w:sz w:val="18"/>
                <w:szCs w:val="18"/>
                <w:lang w:eastAsia="lv-LV"/>
              </w:rPr>
            </w:pPr>
          </w:p>
        </w:tc>
        <w:tc>
          <w:tcPr>
            <w:tcW w:w="711" w:type="pct"/>
            <w:gridSpan w:val="2"/>
            <w:tcBorders>
              <w:top w:val="single" w:sz="4" w:space="0" w:color="17365D"/>
            </w:tcBorders>
            <w:shd w:val="clear" w:color="auto" w:fill="B9CDE5"/>
            <w:noWrap/>
            <w:vAlign w:val="center"/>
          </w:tcPr>
          <w:p w14:paraId="33CF52FE" w14:textId="77777777" w:rsidR="004B31D0" w:rsidRPr="00E72168" w:rsidRDefault="004B31D0" w:rsidP="00B917D1">
            <w:pPr>
              <w:spacing w:after="0" w:line="240" w:lineRule="auto"/>
              <w:jc w:val="right"/>
              <w:rPr>
                <w:rFonts w:cs="Times New Roman"/>
                <w:color w:val="17365D"/>
                <w:sz w:val="18"/>
                <w:szCs w:val="18"/>
              </w:rPr>
            </w:pPr>
          </w:p>
        </w:tc>
        <w:tc>
          <w:tcPr>
            <w:tcW w:w="665" w:type="pct"/>
            <w:gridSpan w:val="2"/>
            <w:tcBorders>
              <w:top w:val="single" w:sz="4" w:space="0" w:color="17365D"/>
            </w:tcBorders>
            <w:shd w:val="clear" w:color="auto" w:fill="B9CDE5"/>
            <w:noWrap/>
            <w:vAlign w:val="center"/>
          </w:tcPr>
          <w:p w14:paraId="33AF970B" w14:textId="77777777" w:rsidR="004B31D0" w:rsidRPr="00E72168" w:rsidRDefault="004B31D0" w:rsidP="00B917D1">
            <w:pPr>
              <w:spacing w:after="0" w:line="240" w:lineRule="auto"/>
              <w:jc w:val="right"/>
              <w:rPr>
                <w:rFonts w:cs="Times New Roman"/>
                <w:color w:val="17365D"/>
                <w:sz w:val="18"/>
                <w:szCs w:val="18"/>
              </w:rPr>
            </w:pPr>
          </w:p>
        </w:tc>
        <w:tc>
          <w:tcPr>
            <w:tcW w:w="539" w:type="pct"/>
            <w:gridSpan w:val="2"/>
            <w:tcBorders>
              <w:top w:val="single" w:sz="4" w:space="0" w:color="17365D"/>
            </w:tcBorders>
            <w:shd w:val="clear" w:color="auto" w:fill="B9CDE5"/>
            <w:noWrap/>
            <w:vAlign w:val="center"/>
          </w:tcPr>
          <w:p w14:paraId="72424062" w14:textId="77777777" w:rsidR="004B31D0" w:rsidRPr="00E72168" w:rsidRDefault="004B31D0" w:rsidP="00B917D1">
            <w:pPr>
              <w:spacing w:after="0" w:line="240" w:lineRule="auto"/>
              <w:jc w:val="right"/>
              <w:rPr>
                <w:rFonts w:cs="Times New Roman"/>
                <w:color w:val="17365D"/>
                <w:sz w:val="18"/>
                <w:szCs w:val="18"/>
              </w:rPr>
            </w:pPr>
          </w:p>
        </w:tc>
        <w:tc>
          <w:tcPr>
            <w:tcW w:w="642" w:type="pct"/>
            <w:tcBorders>
              <w:top w:val="single" w:sz="4" w:space="0" w:color="17365D"/>
            </w:tcBorders>
            <w:shd w:val="clear" w:color="auto" w:fill="B9CDE5"/>
            <w:noWrap/>
            <w:vAlign w:val="center"/>
          </w:tcPr>
          <w:p w14:paraId="72ACE310" w14:textId="77777777" w:rsidR="004B31D0" w:rsidRPr="00E72168" w:rsidRDefault="004B31D0" w:rsidP="00B917D1">
            <w:pPr>
              <w:spacing w:after="0" w:line="240" w:lineRule="auto"/>
              <w:jc w:val="right"/>
              <w:rPr>
                <w:rFonts w:cs="Times New Roman"/>
                <w:color w:val="17365D"/>
                <w:sz w:val="18"/>
                <w:szCs w:val="18"/>
              </w:rPr>
            </w:pPr>
          </w:p>
        </w:tc>
      </w:tr>
    </w:tbl>
    <w:p w14:paraId="6840577D" w14:textId="133125BA" w:rsidR="00707F5E" w:rsidRPr="00E72168" w:rsidRDefault="00707F5E" w:rsidP="0033592B">
      <w:pPr>
        <w:pStyle w:val="Heading5"/>
      </w:pPr>
      <w:r w:rsidRPr="00E72168">
        <w:lastRenderedPageBreak/>
        <w:t>Piezīme Nr. KB.1.4.1. Ilgtermiņa prasības par Eiropas Savienību politiku instrumentu un pārējās ārvalstu finanšu palīdzības finansētajiem projektiem (pasākumiem)</w:t>
      </w:r>
    </w:p>
    <w:p w14:paraId="430F0EE9" w14:textId="1CBABA3F" w:rsidR="00CB3465" w:rsidRPr="00112B2A" w:rsidRDefault="00CB3465" w:rsidP="00F53AD9">
      <w:pPr>
        <w:pStyle w:val="Pamatteksts1"/>
      </w:pPr>
      <w:bookmarkStart w:id="68" w:name="_Hlk197610868"/>
      <w:r w:rsidRPr="00112B2A">
        <w:t>Bilances posteņa lielākās</w:t>
      </w:r>
      <w:r w:rsidR="002433BF" w:rsidRPr="00112B2A">
        <w:t xml:space="preserve"> </w:t>
      </w:r>
      <w:r w:rsidRPr="00112B2A">
        <w:t>izmaiņas</w:t>
      </w:r>
      <w:bookmarkEnd w:id="68"/>
      <w:r w:rsidRPr="00112B2A">
        <w:t>:</w:t>
      </w:r>
      <w:r w:rsidR="002433BF" w:rsidRPr="00112B2A">
        <w:t xml:space="preserve"> </w:t>
      </w:r>
    </w:p>
    <w:p w14:paraId="3974D886" w14:textId="43F01D18" w:rsidR="008F7407" w:rsidRDefault="008F7407" w:rsidP="000D2C39">
      <w:pPr>
        <w:pStyle w:val="Bullets"/>
      </w:pPr>
      <w:r w:rsidRPr="008F7407">
        <w:t xml:space="preserve">Finanšu ministrijai palielinājums </w:t>
      </w:r>
      <w:r w:rsidR="00C0530D">
        <w:t>par</w:t>
      </w:r>
      <w:r w:rsidRPr="008F7407">
        <w:t xml:space="preserve"> avansā pārskaitīt</w:t>
      </w:r>
      <w:r w:rsidR="00433C0A">
        <w:t xml:space="preserve">o finansējumu </w:t>
      </w:r>
      <w:r w:rsidRPr="008F7407">
        <w:t>Eiropas Savienības politiku instrumentu un pārējās ārvalstu finanšu palīdzības finansētajos projektos 85,1</w:t>
      </w:r>
      <w:r w:rsidR="00C0530D">
        <w:t> </w:t>
      </w:r>
      <w:r w:rsidRPr="008F7407">
        <w:t xml:space="preserve">milj. </w:t>
      </w:r>
      <w:r w:rsidRPr="008F7407">
        <w:rPr>
          <w:i/>
          <w:iCs/>
        </w:rPr>
        <w:t>euro</w:t>
      </w:r>
      <w:r w:rsidRPr="008F7407">
        <w:t xml:space="preserve"> apmērā un </w:t>
      </w:r>
      <w:r w:rsidR="00C0530D">
        <w:t>pārklasificētām</w:t>
      </w:r>
      <w:r w:rsidRPr="008F7407">
        <w:t xml:space="preserve"> īstermiņa prasīb</w:t>
      </w:r>
      <w:r w:rsidR="00C0530D">
        <w:t>ām</w:t>
      </w:r>
      <w:r w:rsidRPr="008F7407">
        <w:t xml:space="preserve"> par pārmaksām un neatbilstoši veiktiem izdevumiem Eiropas Savienības politiku instrumentu un pārējās ārvalstu finanšu palīdzības finansētajiem projektiem 13,8 milj. </w:t>
      </w:r>
      <w:r w:rsidRPr="008F7407">
        <w:rPr>
          <w:i/>
          <w:iCs/>
        </w:rPr>
        <w:t>euro</w:t>
      </w:r>
      <w:r w:rsidRPr="008F7407">
        <w:t xml:space="preserve"> apmērā;</w:t>
      </w:r>
    </w:p>
    <w:p w14:paraId="6B50FA58" w14:textId="0556D538" w:rsidR="00D66A68" w:rsidRDefault="008F7407" w:rsidP="000D2C39">
      <w:pPr>
        <w:pStyle w:val="Bullets"/>
      </w:pPr>
      <w:r w:rsidRPr="008F7407">
        <w:t xml:space="preserve">Ekonomikas ministrijai palielinājums </w:t>
      </w:r>
      <w:r w:rsidR="00C0530D">
        <w:t>atbilstoši līgumam ar</w:t>
      </w:r>
      <w:r w:rsidRPr="008F7407">
        <w:t xml:space="preserve"> AS "Attīstības finanšu institūcija </w:t>
      </w:r>
      <w:proofErr w:type="spellStart"/>
      <w:r w:rsidRPr="008F7407">
        <w:t>Altum</w:t>
      </w:r>
      <w:proofErr w:type="spellEnd"/>
      <w:r w:rsidRPr="008F7407">
        <w:t>" 90</w:t>
      </w:r>
      <w:r>
        <w:t xml:space="preserve">,4 milj. </w:t>
      </w:r>
      <w:r w:rsidRPr="008F7407">
        <w:rPr>
          <w:i/>
          <w:iCs/>
        </w:rPr>
        <w:t>euro</w:t>
      </w:r>
      <w:r w:rsidRPr="008F7407">
        <w:t xml:space="preserve"> </w:t>
      </w:r>
      <w:r>
        <w:t>apmērā</w:t>
      </w:r>
      <w:r w:rsidR="00C0530D" w:rsidRPr="00C0530D">
        <w:t xml:space="preserve"> </w:t>
      </w:r>
      <w:r w:rsidR="00C0530D" w:rsidRPr="008F7407">
        <w:t>Eiropas atveseļošanas fond</w:t>
      </w:r>
      <w:r w:rsidR="00C0530D">
        <w:t>a ietvaros</w:t>
      </w:r>
      <w:r>
        <w:t>;</w:t>
      </w:r>
    </w:p>
    <w:p w14:paraId="073BA802" w14:textId="17BF9954" w:rsidR="008F7407" w:rsidRPr="008F7407" w:rsidRDefault="00D66A68" w:rsidP="000D2C39">
      <w:pPr>
        <w:pStyle w:val="Bullets"/>
      </w:pPr>
      <w:r>
        <w:t>I</w:t>
      </w:r>
      <w:r w:rsidRPr="00D66A68">
        <w:t xml:space="preserve">zglītības un zinātnes ministrijai palielinājums saistībā ar finansējumu sadarbības partneriem projektos </w:t>
      </w:r>
      <w:proofErr w:type="spellStart"/>
      <w:r w:rsidRPr="00C0530D">
        <w:rPr>
          <w:i/>
          <w:iCs/>
        </w:rPr>
        <w:t>EUCanScreen</w:t>
      </w:r>
      <w:proofErr w:type="spellEnd"/>
      <w:r w:rsidRPr="00D66A68">
        <w:t xml:space="preserve"> un </w:t>
      </w:r>
      <w:proofErr w:type="spellStart"/>
      <w:r w:rsidRPr="00C0530D">
        <w:rPr>
          <w:i/>
          <w:iCs/>
        </w:rPr>
        <w:t>Participative</w:t>
      </w:r>
      <w:proofErr w:type="spellEnd"/>
      <w:r w:rsidRPr="00C0530D">
        <w:rPr>
          <w:i/>
          <w:iCs/>
        </w:rPr>
        <w:t xml:space="preserve"> </w:t>
      </w:r>
      <w:proofErr w:type="spellStart"/>
      <w:r w:rsidRPr="00C0530D">
        <w:rPr>
          <w:i/>
          <w:iCs/>
        </w:rPr>
        <w:t>Assistive</w:t>
      </w:r>
      <w:proofErr w:type="spellEnd"/>
      <w:r w:rsidRPr="00C0530D">
        <w:rPr>
          <w:i/>
          <w:iCs/>
        </w:rPr>
        <w:t xml:space="preserve"> AI-</w:t>
      </w:r>
      <w:proofErr w:type="spellStart"/>
      <w:r w:rsidRPr="00C0530D">
        <w:rPr>
          <w:i/>
          <w:iCs/>
        </w:rPr>
        <w:t>powered</w:t>
      </w:r>
      <w:proofErr w:type="spellEnd"/>
      <w:r w:rsidRPr="00C0530D">
        <w:rPr>
          <w:i/>
          <w:iCs/>
        </w:rPr>
        <w:t xml:space="preserve"> </w:t>
      </w:r>
      <w:proofErr w:type="spellStart"/>
      <w:r w:rsidRPr="00C0530D">
        <w:rPr>
          <w:i/>
          <w:iCs/>
        </w:rPr>
        <w:t>Tools</w:t>
      </w:r>
      <w:proofErr w:type="spellEnd"/>
      <w:r w:rsidRPr="00C0530D">
        <w:rPr>
          <w:i/>
          <w:iCs/>
        </w:rPr>
        <w:t xml:space="preserve"> </w:t>
      </w:r>
      <w:proofErr w:type="spellStart"/>
      <w:r w:rsidRPr="00C0530D">
        <w:rPr>
          <w:i/>
          <w:iCs/>
        </w:rPr>
        <w:t>for</w:t>
      </w:r>
      <w:proofErr w:type="spellEnd"/>
      <w:r w:rsidRPr="00C0530D">
        <w:rPr>
          <w:i/>
          <w:iCs/>
        </w:rPr>
        <w:t xml:space="preserve"> </w:t>
      </w:r>
      <w:proofErr w:type="spellStart"/>
      <w:r w:rsidRPr="00C0530D">
        <w:rPr>
          <w:i/>
          <w:iCs/>
        </w:rPr>
        <w:t>Supporting</w:t>
      </w:r>
      <w:proofErr w:type="spellEnd"/>
      <w:r w:rsidRPr="00C0530D">
        <w:rPr>
          <w:i/>
          <w:iCs/>
        </w:rPr>
        <w:t xml:space="preserve"> </w:t>
      </w:r>
      <w:proofErr w:type="spellStart"/>
      <w:r w:rsidRPr="00C0530D">
        <w:rPr>
          <w:i/>
          <w:iCs/>
        </w:rPr>
        <w:t>Trustworthy</w:t>
      </w:r>
      <w:proofErr w:type="spellEnd"/>
      <w:r w:rsidRPr="00C0530D">
        <w:rPr>
          <w:i/>
          <w:iCs/>
        </w:rPr>
        <w:t xml:space="preserve"> Online </w:t>
      </w:r>
      <w:proofErr w:type="spellStart"/>
      <w:r w:rsidRPr="00C0530D">
        <w:rPr>
          <w:i/>
          <w:iCs/>
        </w:rPr>
        <w:t>Activity</w:t>
      </w:r>
      <w:proofErr w:type="spellEnd"/>
      <w:r w:rsidRPr="00C0530D">
        <w:rPr>
          <w:i/>
          <w:iCs/>
        </w:rPr>
        <w:t xml:space="preserve"> </w:t>
      </w:r>
      <w:proofErr w:type="spellStart"/>
      <w:r w:rsidRPr="00C0530D">
        <w:rPr>
          <w:i/>
          <w:iCs/>
        </w:rPr>
        <w:t>of</w:t>
      </w:r>
      <w:proofErr w:type="spellEnd"/>
      <w:r w:rsidRPr="00C0530D">
        <w:rPr>
          <w:i/>
          <w:iCs/>
        </w:rPr>
        <w:t xml:space="preserve"> </w:t>
      </w:r>
      <w:proofErr w:type="spellStart"/>
      <w:r w:rsidRPr="00C0530D">
        <w:rPr>
          <w:i/>
          <w:iCs/>
        </w:rPr>
        <w:t>Citizens</w:t>
      </w:r>
      <w:proofErr w:type="spellEnd"/>
      <w:r w:rsidRPr="00C0530D">
        <w:rPr>
          <w:i/>
          <w:iCs/>
        </w:rPr>
        <w:t xml:space="preserve"> </w:t>
      </w:r>
      <w:proofErr w:type="spellStart"/>
      <w:r w:rsidRPr="00C0530D">
        <w:rPr>
          <w:i/>
          <w:iCs/>
        </w:rPr>
        <w:t>and</w:t>
      </w:r>
      <w:proofErr w:type="spellEnd"/>
      <w:r w:rsidRPr="00C0530D">
        <w:rPr>
          <w:i/>
          <w:iCs/>
        </w:rPr>
        <w:t xml:space="preserve"> </w:t>
      </w:r>
      <w:proofErr w:type="spellStart"/>
      <w:r w:rsidRPr="00C0530D">
        <w:rPr>
          <w:i/>
          <w:iCs/>
        </w:rPr>
        <w:t>Debunking</w:t>
      </w:r>
      <w:proofErr w:type="spellEnd"/>
      <w:r w:rsidRPr="00C0530D">
        <w:rPr>
          <w:i/>
          <w:iCs/>
        </w:rPr>
        <w:t xml:space="preserve"> </w:t>
      </w:r>
      <w:proofErr w:type="spellStart"/>
      <w:r w:rsidRPr="00C0530D">
        <w:rPr>
          <w:i/>
          <w:iCs/>
        </w:rPr>
        <w:t>Disinformation</w:t>
      </w:r>
      <w:proofErr w:type="spellEnd"/>
      <w:r w:rsidRPr="00C0530D">
        <w:rPr>
          <w:i/>
          <w:iCs/>
        </w:rPr>
        <w:t xml:space="preserve"> (AI4Debunk)</w:t>
      </w:r>
      <w:r w:rsidRPr="00D66A68">
        <w:t xml:space="preserve">, ar izmaksāto avansu pieaugumu ES programmas </w:t>
      </w:r>
      <w:proofErr w:type="spellStart"/>
      <w:r w:rsidRPr="00D66A68">
        <w:t>Erasmus</w:t>
      </w:r>
      <w:proofErr w:type="spellEnd"/>
      <w:r w:rsidRPr="00D66A68">
        <w:t>+ 2021.-2027.gada plānošanas perioda projektiem, kuru īstenošanas periods turpinās pēc 31.12.2026. atbilstoši noslēgtajiem līgumiem par projektu īstenošanu</w:t>
      </w:r>
      <w:r>
        <w:t xml:space="preserve"> 16,5 milj. </w:t>
      </w:r>
      <w:r w:rsidRPr="00D66A68">
        <w:rPr>
          <w:i/>
          <w:iCs/>
        </w:rPr>
        <w:t>euro</w:t>
      </w:r>
      <w:r>
        <w:t xml:space="preserve"> apmērā.</w:t>
      </w:r>
      <w:r w:rsidR="008F7407" w:rsidRPr="008F7407">
        <w:tab/>
      </w:r>
    </w:p>
    <w:p w14:paraId="1E46638D" w14:textId="54527C83" w:rsidR="000F20E1" w:rsidRDefault="000F20E1" w:rsidP="000F20E1">
      <w:pPr>
        <w:pStyle w:val="Pamatteksts1"/>
        <w:rPr>
          <w:bCs/>
        </w:rPr>
      </w:pPr>
      <w:r>
        <w:t>Lielākā vērtības samazinājuma summa atzīta v</w:t>
      </w:r>
      <w:r w:rsidRPr="00BD5662">
        <w:t>alsts budžeta finanšu uzskaitē galvojumiem un citām ilgtermiņa prasībām</w:t>
      </w:r>
      <w:r>
        <w:t xml:space="preserve"> pilnā prasību apmērā</w:t>
      </w:r>
      <w:r w:rsidR="003A5AEB">
        <w:t xml:space="preserve"> </w:t>
      </w:r>
      <w:r w:rsidR="003A5AEB" w:rsidRPr="00BD5662">
        <w:rPr>
          <w:bCs/>
        </w:rPr>
        <w:t>(340,3)</w:t>
      </w:r>
      <w:r w:rsidR="003A5AEB" w:rsidRPr="000F20E1">
        <w:rPr>
          <w:bCs/>
        </w:rPr>
        <w:t xml:space="preserve"> </w:t>
      </w:r>
      <w:r w:rsidR="003A5AEB" w:rsidRPr="00BD5662">
        <w:rPr>
          <w:bCs/>
        </w:rPr>
        <w:t>milj.</w:t>
      </w:r>
      <w:r w:rsidR="003A5AEB" w:rsidRPr="00BD5662">
        <w:rPr>
          <w:rStyle w:val="CommentReference"/>
        </w:rPr>
        <w:t xml:space="preserve"> </w:t>
      </w:r>
      <w:proofErr w:type="spellStart"/>
      <w:r w:rsidR="003A5AEB" w:rsidRPr="00BD5662">
        <w:rPr>
          <w:bCs/>
          <w:i/>
        </w:rPr>
        <w:t>euro</w:t>
      </w:r>
      <w:proofErr w:type="spellEnd"/>
      <w:r>
        <w:t xml:space="preserve">. </w:t>
      </w:r>
    </w:p>
    <w:p w14:paraId="0A18FC71" w14:textId="1F54FE3E" w:rsidR="004548EE" w:rsidRDefault="00852BE3" w:rsidP="000D2C39">
      <w:pPr>
        <w:pStyle w:val="Pamatteksts1"/>
        <w:rPr>
          <w:bCs/>
        </w:rPr>
      </w:pPr>
      <w:r w:rsidRPr="00A20AB4">
        <w:rPr>
          <w:bCs/>
        </w:rPr>
        <w:t xml:space="preserve">Saskaņā ar pašvaldību sniegto informāciju </w:t>
      </w:r>
      <w:r w:rsidR="005D25CC" w:rsidRPr="00A20AB4">
        <w:rPr>
          <w:bCs/>
        </w:rPr>
        <w:t>ilgtermiņa prasību</w:t>
      </w:r>
      <w:r w:rsidRPr="00A20AB4">
        <w:rPr>
          <w:bCs/>
        </w:rPr>
        <w:t xml:space="preserve"> </w:t>
      </w:r>
      <w:r w:rsidR="005D25CC" w:rsidRPr="00A20AB4">
        <w:rPr>
          <w:bCs/>
        </w:rPr>
        <w:t xml:space="preserve">vērtības samazinājums </w:t>
      </w:r>
      <w:r w:rsidR="00502A25" w:rsidRPr="00A20AB4">
        <w:rPr>
          <w:bCs/>
        </w:rPr>
        <w:t>202</w:t>
      </w:r>
      <w:r w:rsidR="00E17B8F" w:rsidRPr="00A20AB4">
        <w:rPr>
          <w:bCs/>
        </w:rPr>
        <w:t>4</w:t>
      </w:r>
      <w:r w:rsidRPr="00A20AB4">
        <w:rPr>
          <w:bCs/>
        </w:rPr>
        <w:t xml:space="preserve">. gada beigās </w:t>
      </w:r>
      <w:r w:rsidR="00293770">
        <w:rPr>
          <w:bCs/>
        </w:rPr>
        <w:t xml:space="preserve">galvenokārt </w:t>
      </w:r>
      <w:r w:rsidRPr="00A20AB4">
        <w:rPr>
          <w:bCs/>
        </w:rPr>
        <w:t xml:space="preserve">ir </w:t>
      </w:r>
      <w:r w:rsidR="00EC5723" w:rsidRPr="00A20AB4">
        <w:rPr>
          <w:bCs/>
        </w:rPr>
        <w:t xml:space="preserve">noteikts </w:t>
      </w:r>
      <w:r w:rsidR="00586A9E" w:rsidRPr="00A20AB4">
        <w:rPr>
          <w:bCs/>
        </w:rPr>
        <w:t>prasību pilnā apmērā</w:t>
      </w:r>
      <w:r w:rsidR="00EC6774" w:rsidRPr="00A20AB4">
        <w:rPr>
          <w:bCs/>
        </w:rPr>
        <w:t xml:space="preserve"> saskaņā ar budžeta iestāžu grāmatvedības uzskaites kārtībā noteikto</w:t>
      </w:r>
      <w:r w:rsidR="00863204" w:rsidRPr="00A20AB4">
        <w:rPr>
          <w:bCs/>
        </w:rPr>
        <w:t>, m</w:t>
      </w:r>
      <w:r w:rsidRPr="00A20AB4">
        <w:rPr>
          <w:bCs/>
        </w:rPr>
        <w:t>inistrijas un centrālās iestādes</w:t>
      </w:r>
      <w:r w:rsidR="008071C5" w:rsidRPr="00A20AB4">
        <w:rPr>
          <w:bCs/>
        </w:rPr>
        <w:t xml:space="preserve"> </w:t>
      </w:r>
      <w:r w:rsidR="00293770" w:rsidRPr="00293770">
        <w:rPr>
          <w:bCs/>
        </w:rPr>
        <w:t xml:space="preserve">iepriekšējos pārskata periodos </w:t>
      </w:r>
      <w:r w:rsidR="00863204" w:rsidRPr="00A20AB4">
        <w:rPr>
          <w:bCs/>
        </w:rPr>
        <w:t xml:space="preserve">izveidojušas ilgtermiņa prasību vērtības samazinājumu </w:t>
      </w:r>
      <w:r w:rsidR="00293770">
        <w:rPr>
          <w:bCs/>
        </w:rPr>
        <w:t xml:space="preserve">80 % apmērā </w:t>
      </w:r>
      <w:r w:rsidR="00863204" w:rsidRPr="00A20AB4">
        <w:rPr>
          <w:bCs/>
        </w:rPr>
        <w:t>atbilstoši izpildes termiņa kavējuma dienām.</w:t>
      </w:r>
      <w:r w:rsidR="00293770">
        <w:rPr>
          <w:bCs/>
        </w:rPr>
        <w:t xml:space="preserve"> Ministriju, centrālo valsts iestāžu un pašvaldību izveidotā vērtības samazinājuma summa nav būtiska.</w:t>
      </w:r>
    </w:p>
    <w:p w14:paraId="6F42ED48" w14:textId="17A508BA" w:rsidR="00486B84" w:rsidRPr="00E72168" w:rsidRDefault="002B58FA" w:rsidP="005A3758">
      <w:pPr>
        <w:pStyle w:val="Heading4"/>
        <w:rPr>
          <w:rFonts w:cs="Times New Roman"/>
        </w:rPr>
      </w:pPr>
      <w:r w:rsidRPr="00E72168">
        <w:rPr>
          <w:rFonts w:cs="Times New Roman"/>
        </w:rPr>
        <w:t>Piezīme Nr. KB.</w:t>
      </w:r>
      <w:r w:rsidR="00F73CE6" w:rsidRPr="00E72168">
        <w:rPr>
          <w:rFonts w:cs="Times New Roman"/>
        </w:rPr>
        <w:t>1.</w:t>
      </w:r>
      <w:r w:rsidRPr="00E72168">
        <w:rPr>
          <w:rFonts w:cs="Times New Roman"/>
        </w:rPr>
        <w:t xml:space="preserve">5. </w:t>
      </w:r>
      <w:r w:rsidR="00486B84" w:rsidRPr="00E72168">
        <w:rPr>
          <w:rFonts w:cs="Times New Roman"/>
        </w:rPr>
        <w:t>Ieguldījuma īpašumi</w:t>
      </w:r>
    </w:p>
    <w:p w14:paraId="7F92B454" w14:textId="62E96FE3" w:rsidR="00DB1118" w:rsidRPr="00E72168" w:rsidRDefault="003B30FD" w:rsidP="00324AC5">
      <w:pPr>
        <w:pStyle w:val="Tabnosauk"/>
      </w:pPr>
      <w:r>
        <w:t>1.</w:t>
      </w:r>
      <w:r w:rsidR="00854AC6">
        <w:t>8</w:t>
      </w:r>
      <w:r w:rsidR="00DB1118" w:rsidRPr="00E72168">
        <w:t xml:space="preserve">. tabula. </w:t>
      </w:r>
      <w:r w:rsidR="00486B84" w:rsidRPr="00E72168">
        <w:rPr>
          <w:iCs/>
        </w:rPr>
        <w:t>Ieguldījuma īpašumi</w:t>
      </w:r>
      <w:r w:rsidR="00DB1118" w:rsidRPr="00E72168">
        <w:t xml:space="preserve"> (euro)</w:t>
      </w:r>
    </w:p>
    <w:tbl>
      <w:tblPr>
        <w:tblW w:w="5016" w:type="pct"/>
        <w:tblBorders>
          <w:insideH w:val="single" w:sz="4" w:space="0" w:color="012169"/>
        </w:tblBorders>
        <w:tblLayout w:type="fixed"/>
        <w:tblLook w:val="04A0" w:firstRow="1" w:lastRow="0" w:firstColumn="1" w:lastColumn="0" w:noHBand="0" w:noVBand="1"/>
      </w:tblPr>
      <w:tblGrid>
        <w:gridCol w:w="2815"/>
        <w:gridCol w:w="236"/>
        <w:gridCol w:w="796"/>
        <w:gridCol w:w="156"/>
        <w:gridCol w:w="1242"/>
        <w:gridCol w:w="205"/>
        <w:gridCol w:w="1355"/>
        <w:gridCol w:w="77"/>
        <w:gridCol w:w="1269"/>
        <w:gridCol w:w="73"/>
        <w:gridCol w:w="1160"/>
      </w:tblGrid>
      <w:tr w:rsidR="000C1009" w:rsidRPr="00E72168" w14:paraId="30729003" w14:textId="77777777" w:rsidTr="003C09DC">
        <w:trPr>
          <w:trHeight w:val="684"/>
          <w:tblHeader/>
        </w:trPr>
        <w:tc>
          <w:tcPr>
            <w:tcW w:w="1500" w:type="pct"/>
            <w:tcBorders>
              <w:bottom w:val="single" w:sz="4" w:space="0" w:color="17365D"/>
            </w:tcBorders>
            <w:shd w:val="clear" w:color="auto" w:fill="B9CDE5"/>
            <w:vAlign w:val="center"/>
            <w:hideMark/>
          </w:tcPr>
          <w:p w14:paraId="1E0C55EA" w14:textId="6FC72D47" w:rsidR="00C2495B" w:rsidRPr="00E72168" w:rsidRDefault="007611AA" w:rsidP="00D92FFA">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50" w:type="pct"/>
            <w:gridSpan w:val="2"/>
            <w:tcBorders>
              <w:bottom w:val="single" w:sz="4" w:space="0" w:color="17365D"/>
            </w:tcBorders>
            <w:shd w:val="clear" w:color="auto" w:fill="B9CDE5"/>
            <w:vAlign w:val="center"/>
            <w:hideMark/>
          </w:tcPr>
          <w:p w14:paraId="5A48A39C"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45" w:type="pct"/>
            <w:gridSpan w:val="2"/>
            <w:tcBorders>
              <w:bottom w:val="single" w:sz="4" w:space="0" w:color="17365D"/>
            </w:tcBorders>
            <w:shd w:val="clear" w:color="auto" w:fill="B9CDE5"/>
            <w:vAlign w:val="center"/>
            <w:hideMark/>
          </w:tcPr>
          <w:p w14:paraId="2FB97AF4"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831" w:type="pct"/>
            <w:gridSpan w:val="2"/>
            <w:tcBorders>
              <w:bottom w:val="single" w:sz="4" w:space="0" w:color="17365D"/>
            </w:tcBorders>
            <w:shd w:val="clear" w:color="auto" w:fill="B9CDE5"/>
            <w:vAlign w:val="center"/>
            <w:hideMark/>
          </w:tcPr>
          <w:p w14:paraId="79AEAFF7"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56" w:type="pct"/>
            <w:gridSpan w:val="3"/>
            <w:tcBorders>
              <w:bottom w:val="single" w:sz="4" w:space="0" w:color="17365D"/>
            </w:tcBorders>
            <w:shd w:val="clear" w:color="auto" w:fill="B9CDE5"/>
            <w:vAlign w:val="center"/>
            <w:hideMark/>
          </w:tcPr>
          <w:p w14:paraId="3DA181F4" w14:textId="20884B88"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18" w:type="pct"/>
            <w:tcBorders>
              <w:bottom w:val="single" w:sz="4" w:space="0" w:color="17365D"/>
            </w:tcBorders>
            <w:shd w:val="clear" w:color="auto" w:fill="B9CDE5"/>
            <w:vAlign w:val="center"/>
            <w:hideMark/>
          </w:tcPr>
          <w:p w14:paraId="780344C7"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779300A4" w14:textId="77777777" w:rsidTr="00315B90">
        <w:trPr>
          <w:trHeight w:val="264"/>
          <w:tblHeader/>
        </w:trPr>
        <w:tc>
          <w:tcPr>
            <w:tcW w:w="1500" w:type="pct"/>
            <w:tcBorders>
              <w:top w:val="single" w:sz="4" w:space="0" w:color="17365D"/>
              <w:bottom w:val="single" w:sz="4" w:space="0" w:color="17365D"/>
            </w:tcBorders>
            <w:shd w:val="clear" w:color="auto" w:fill="auto"/>
            <w:vAlign w:val="center"/>
            <w:hideMark/>
          </w:tcPr>
          <w:p w14:paraId="360B9789"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550" w:type="pct"/>
            <w:gridSpan w:val="2"/>
            <w:tcBorders>
              <w:top w:val="single" w:sz="4" w:space="0" w:color="17365D"/>
              <w:bottom w:val="single" w:sz="4" w:space="0" w:color="17365D"/>
            </w:tcBorders>
            <w:shd w:val="clear" w:color="auto" w:fill="auto"/>
            <w:vAlign w:val="center"/>
            <w:hideMark/>
          </w:tcPr>
          <w:p w14:paraId="75C13171"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45" w:type="pct"/>
            <w:gridSpan w:val="2"/>
            <w:tcBorders>
              <w:top w:val="single" w:sz="4" w:space="0" w:color="17365D"/>
              <w:bottom w:val="single" w:sz="4" w:space="0" w:color="17365D"/>
            </w:tcBorders>
            <w:shd w:val="clear" w:color="auto" w:fill="auto"/>
            <w:vAlign w:val="center"/>
            <w:hideMark/>
          </w:tcPr>
          <w:p w14:paraId="0F92B19E"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831" w:type="pct"/>
            <w:gridSpan w:val="2"/>
            <w:tcBorders>
              <w:top w:val="single" w:sz="4" w:space="0" w:color="17365D"/>
              <w:bottom w:val="single" w:sz="4" w:space="0" w:color="17365D"/>
            </w:tcBorders>
            <w:shd w:val="clear" w:color="auto" w:fill="auto"/>
            <w:vAlign w:val="center"/>
            <w:hideMark/>
          </w:tcPr>
          <w:p w14:paraId="09B4ADBA"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56" w:type="pct"/>
            <w:gridSpan w:val="3"/>
            <w:tcBorders>
              <w:top w:val="single" w:sz="4" w:space="0" w:color="17365D"/>
              <w:bottom w:val="single" w:sz="4" w:space="0" w:color="17365D"/>
            </w:tcBorders>
            <w:shd w:val="clear" w:color="auto" w:fill="auto"/>
            <w:vAlign w:val="center"/>
            <w:hideMark/>
          </w:tcPr>
          <w:p w14:paraId="73797C4D"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18" w:type="pct"/>
            <w:tcBorders>
              <w:top w:val="single" w:sz="4" w:space="0" w:color="17365D"/>
              <w:bottom w:val="single" w:sz="4" w:space="0" w:color="17365D"/>
            </w:tcBorders>
            <w:shd w:val="clear" w:color="auto" w:fill="auto"/>
            <w:vAlign w:val="center"/>
            <w:hideMark/>
          </w:tcPr>
          <w:p w14:paraId="16A29DF8"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CF6540" w:rsidRPr="00E72168" w14:paraId="49D85CD7" w14:textId="77777777" w:rsidTr="0054455F">
        <w:trPr>
          <w:trHeight w:val="264"/>
          <w:tblHeader/>
        </w:trPr>
        <w:tc>
          <w:tcPr>
            <w:tcW w:w="1500" w:type="pct"/>
            <w:tcBorders>
              <w:top w:val="single" w:sz="4" w:space="0" w:color="17365D"/>
              <w:bottom w:val="single" w:sz="4" w:space="0" w:color="17365D"/>
            </w:tcBorders>
            <w:shd w:val="clear" w:color="auto" w:fill="auto"/>
            <w:vAlign w:val="center"/>
            <w:hideMark/>
          </w:tcPr>
          <w:p w14:paraId="5D8C93B4" w14:textId="7B26E227" w:rsidR="00CF6540" w:rsidRPr="00E72168" w:rsidRDefault="00CF6540" w:rsidP="00CF6540">
            <w:pPr>
              <w:spacing w:after="0" w:line="240" w:lineRule="auto"/>
              <w:rPr>
                <w:rFonts w:eastAsia="Times New Roman" w:cs="Times New Roman"/>
                <w:b/>
                <w:color w:val="17365D"/>
                <w:sz w:val="18"/>
                <w:szCs w:val="18"/>
                <w:lang w:eastAsia="lv-LV"/>
              </w:rPr>
            </w:pPr>
            <w:r w:rsidRPr="00E72168">
              <w:rPr>
                <w:rFonts w:cs="Times New Roman"/>
                <w:b/>
                <w:color w:val="17365D"/>
                <w:sz w:val="18"/>
                <w:szCs w:val="18"/>
              </w:rPr>
              <w:t>Ieguldījuma īpašumi</w:t>
            </w:r>
          </w:p>
        </w:tc>
        <w:tc>
          <w:tcPr>
            <w:tcW w:w="550" w:type="pct"/>
            <w:gridSpan w:val="2"/>
            <w:tcBorders>
              <w:top w:val="single" w:sz="4" w:space="0" w:color="17365D"/>
              <w:bottom w:val="single" w:sz="4" w:space="0" w:color="17365D"/>
            </w:tcBorders>
            <w:shd w:val="clear" w:color="auto" w:fill="auto"/>
            <w:vAlign w:val="center"/>
            <w:hideMark/>
          </w:tcPr>
          <w:p w14:paraId="750B519B" w14:textId="456F80E8" w:rsidR="00CF6540" w:rsidRPr="00E72168" w:rsidRDefault="00CF6540" w:rsidP="00CF6540">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KB.1.5.</w:t>
            </w:r>
          </w:p>
        </w:tc>
        <w:tc>
          <w:tcPr>
            <w:tcW w:w="745" w:type="pct"/>
            <w:gridSpan w:val="2"/>
            <w:tcBorders>
              <w:top w:val="single" w:sz="4" w:space="0" w:color="17365D"/>
              <w:bottom w:val="single" w:sz="4" w:space="0" w:color="17365D"/>
            </w:tcBorders>
            <w:shd w:val="clear" w:color="auto" w:fill="auto"/>
            <w:vAlign w:val="center"/>
            <w:hideMark/>
          </w:tcPr>
          <w:p w14:paraId="4E4692C1" w14:textId="033F21B5" w:rsidR="00CF6540" w:rsidRPr="00CF6540" w:rsidRDefault="00CF6540" w:rsidP="00CF6540">
            <w:pPr>
              <w:spacing w:after="0" w:line="240" w:lineRule="auto"/>
              <w:jc w:val="right"/>
              <w:rPr>
                <w:rFonts w:cs="Times New Roman"/>
                <w:b/>
                <w:bCs/>
                <w:color w:val="17365D"/>
                <w:sz w:val="18"/>
                <w:szCs w:val="18"/>
              </w:rPr>
            </w:pPr>
            <w:r w:rsidRPr="00CF6540">
              <w:rPr>
                <w:rFonts w:cs="Times New Roman"/>
                <w:b/>
                <w:bCs/>
                <w:color w:val="17365D"/>
                <w:sz w:val="18"/>
                <w:szCs w:val="18"/>
              </w:rPr>
              <w:t>754</w:t>
            </w:r>
            <w:r w:rsidR="004F658C">
              <w:rPr>
                <w:rFonts w:cs="Times New Roman"/>
                <w:b/>
                <w:bCs/>
                <w:color w:val="17365D"/>
                <w:sz w:val="18"/>
                <w:szCs w:val="18"/>
              </w:rPr>
              <w:t xml:space="preserve"> </w:t>
            </w:r>
            <w:r w:rsidRPr="00CF6540">
              <w:rPr>
                <w:rFonts w:cs="Times New Roman"/>
                <w:b/>
                <w:bCs/>
                <w:color w:val="17365D"/>
                <w:sz w:val="18"/>
                <w:szCs w:val="18"/>
              </w:rPr>
              <w:t>873</w:t>
            </w:r>
            <w:r w:rsidR="004F658C">
              <w:rPr>
                <w:rFonts w:cs="Times New Roman"/>
                <w:b/>
                <w:bCs/>
                <w:color w:val="17365D"/>
                <w:sz w:val="18"/>
                <w:szCs w:val="18"/>
              </w:rPr>
              <w:t xml:space="preserve"> </w:t>
            </w:r>
            <w:r w:rsidRPr="00CF6540">
              <w:rPr>
                <w:rFonts w:cs="Times New Roman"/>
                <w:b/>
                <w:bCs/>
                <w:color w:val="17365D"/>
                <w:sz w:val="18"/>
                <w:szCs w:val="18"/>
              </w:rPr>
              <w:t>769</w:t>
            </w:r>
          </w:p>
        </w:tc>
        <w:tc>
          <w:tcPr>
            <w:tcW w:w="831" w:type="pct"/>
            <w:gridSpan w:val="2"/>
            <w:tcBorders>
              <w:top w:val="single" w:sz="4" w:space="0" w:color="17365D"/>
              <w:bottom w:val="single" w:sz="4" w:space="0" w:color="17365D"/>
            </w:tcBorders>
            <w:shd w:val="clear" w:color="auto" w:fill="auto"/>
            <w:vAlign w:val="center"/>
            <w:hideMark/>
          </w:tcPr>
          <w:p w14:paraId="0478E23D" w14:textId="27A2468F" w:rsidR="00CF6540" w:rsidRPr="00CF6540" w:rsidRDefault="00CF6540" w:rsidP="00CF6540">
            <w:pPr>
              <w:spacing w:after="0" w:line="240" w:lineRule="auto"/>
              <w:jc w:val="right"/>
              <w:rPr>
                <w:rFonts w:cs="Times New Roman"/>
                <w:b/>
                <w:bCs/>
                <w:color w:val="17365D"/>
                <w:sz w:val="18"/>
                <w:szCs w:val="18"/>
              </w:rPr>
            </w:pPr>
            <w:r w:rsidRPr="00CF6540">
              <w:rPr>
                <w:rFonts w:cs="Times New Roman"/>
                <w:b/>
                <w:bCs/>
                <w:color w:val="17365D"/>
                <w:sz w:val="18"/>
                <w:szCs w:val="18"/>
              </w:rPr>
              <w:t>681</w:t>
            </w:r>
            <w:r w:rsidR="004F658C">
              <w:rPr>
                <w:rFonts w:cs="Times New Roman"/>
                <w:b/>
                <w:bCs/>
                <w:color w:val="17365D"/>
                <w:sz w:val="18"/>
                <w:szCs w:val="18"/>
              </w:rPr>
              <w:t xml:space="preserve"> </w:t>
            </w:r>
            <w:r w:rsidRPr="00CF6540">
              <w:rPr>
                <w:rFonts w:cs="Times New Roman"/>
                <w:b/>
                <w:bCs/>
                <w:color w:val="17365D"/>
                <w:sz w:val="18"/>
                <w:szCs w:val="18"/>
              </w:rPr>
              <w:t>879</w:t>
            </w:r>
            <w:r w:rsidR="004F658C">
              <w:rPr>
                <w:rFonts w:cs="Times New Roman"/>
                <w:b/>
                <w:bCs/>
                <w:color w:val="17365D"/>
                <w:sz w:val="18"/>
                <w:szCs w:val="18"/>
              </w:rPr>
              <w:t xml:space="preserve"> </w:t>
            </w:r>
            <w:r w:rsidRPr="00CF6540">
              <w:rPr>
                <w:rFonts w:cs="Times New Roman"/>
                <w:b/>
                <w:bCs/>
                <w:color w:val="17365D"/>
                <w:sz w:val="18"/>
                <w:szCs w:val="18"/>
              </w:rPr>
              <w:t>155</w:t>
            </w:r>
          </w:p>
        </w:tc>
        <w:tc>
          <w:tcPr>
            <w:tcW w:w="756" w:type="pct"/>
            <w:gridSpan w:val="3"/>
            <w:tcBorders>
              <w:top w:val="single" w:sz="4" w:space="0" w:color="17365D"/>
              <w:bottom w:val="single" w:sz="4" w:space="0" w:color="17365D"/>
            </w:tcBorders>
            <w:shd w:val="clear" w:color="auto" w:fill="auto"/>
            <w:noWrap/>
            <w:vAlign w:val="center"/>
            <w:hideMark/>
          </w:tcPr>
          <w:p w14:paraId="2C8BF5C2" w14:textId="31DE47F7" w:rsidR="00CF6540" w:rsidRPr="00CF6540" w:rsidRDefault="00CF6540" w:rsidP="00CF6540">
            <w:pPr>
              <w:spacing w:after="0" w:line="240" w:lineRule="auto"/>
              <w:jc w:val="right"/>
              <w:rPr>
                <w:rFonts w:cs="Times New Roman"/>
                <w:b/>
                <w:bCs/>
                <w:color w:val="17365D"/>
                <w:sz w:val="18"/>
                <w:szCs w:val="18"/>
              </w:rPr>
            </w:pPr>
            <w:r w:rsidRPr="00CF6540">
              <w:rPr>
                <w:rFonts w:cs="Times New Roman"/>
                <w:b/>
                <w:bCs/>
                <w:color w:val="17365D"/>
                <w:sz w:val="18"/>
                <w:szCs w:val="18"/>
              </w:rPr>
              <w:t>72</w:t>
            </w:r>
            <w:r w:rsidR="004F658C">
              <w:rPr>
                <w:rFonts w:cs="Times New Roman"/>
                <w:b/>
                <w:bCs/>
                <w:color w:val="17365D"/>
                <w:sz w:val="18"/>
                <w:szCs w:val="18"/>
              </w:rPr>
              <w:t xml:space="preserve"> </w:t>
            </w:r>
            <w:r w:rsidRPr="00CF6540">
              <w:rPr>
                <w:rFonts w:cs="Times New Roman"/>
                <w:b/>
                <w:bCs/>
                <w:color w:val="17365D"/>
                <w:sz w:val="18"/>
                <w:szCs w:val="18"/>
              </w:rPr>
              <w:t>994</w:t>
            </w:r>
            <w:r w:rsidR="004F658C">
              <w:rPr>
                <w:rFonts w:cs="Times New Roman"/>
                <w:b/>
                <w:bCs/>
                <w:color w:val="17365D"/>
                <w:sz w:val="18"/>
                <w:szCs w:val="18"/>
              </w:rPr>
              <w:t xml:space="preserve"> </w:t>
            </w:r>
            <w:r w:rsidRPr="00CF6540">
              <w:rPr>
                <w:rFonts w:cs="Times New Roman"/>
                <w:b/>
                <w:bCs/>
                <w:color w:val="17365D"/>
                <w:sz w:val="18"/>
                <w:szCs w:val="18"/>
              </w:rPr>
              <w:t>614</w:t>
            </w:r>
          </w:p>
        </w:tc>
        <w:tc>
          <w:tcPr>
            <w:tcW w:w="618" w:type="pct"/>
            <w:tcBorders>
              <w:top w:val="single" w:sz="4" w:space="0" w:color="17365D"/>
              <w:bottom w:val="single" w:sz="4" w:space="0" w:color="17365D"/>
            </w:tcBorders>
            <w:shd w:val="clear" w:color="auto" w:fill="auto"/>
            <w:noWrap/>
            <w:vAlign w:val="center"/>
            <w:hideMark/>
          </w:tcPr>
          <w:p w14:paraId="105FE4C7" w14:textId="19670F9C" w:rsidR="00CF6540" w:rsidRPr="00CF6540" w:rsidRDefault="00CF6540" w:rsidP="00CF6540">
            <w:pPr>
              <w:spacing w:after="0" w:line="240" w:lineRule="auto"/>
              <w:jc w:val="right"/>
              <w:rPr>
                <w:rFonts w:cs="Times New Roman"/>
                <w:b/>
                <w:bCs/>
                <w:color w:val="17365D"/>
                <w:sz w:val="18"/>
                <w:szCs w:val="18"/>
              </w:rPr>
            </w:pPr>
            <w:r w:rsidRPr="00CF6540">
              <w:rPr>
                <w:rFonts w:cs="Times New Roman"/>
                <w:b/>
                <w:bCs/>
                <w:color w:val="17365D"/>
                <w:sz w:val="18"/>
                <w:szCs w:val="18"/>
              </w:rPr>
              <w:t>10.7</w:t>
            </w:r>
            <w:r w:rsidR="004F658C">
              <w:rPr>
                <w:rFonts w:cs="Times New Roman"/>
                <w:b/>
                <w:bCs/>
                <w:color w:val="17365D"/>
                <w:sz w:val="18"/>
                <w:szCs w:val="18"/>
              </w:rPr>
              <w:t xml:space="preserve">0 </w:t>
            </w:r>
          </w:p>
        </w:tc>
      </w:tr>
      <w:tr w:rsidR="00CF6540" w:rsidRPr="00E72168" w14:paraId="2166076A" w14:textId="77777777" w:rsidTr="00CF6540">
        <w:trPr>
          <w:trHeight w:val="264"/>
          <w:tblHeader/>
        </w:trPr>
        <w:tc>
          <w:tcPr>
            <w:tcW w:w="1500" w:type="pct"/>
            <w:tcBorders>
              <w:top w:val="single" w:sz="4" w:space="0" w:color="17365D"/>
              <w:bottom w:val="single" w:sz="4" w:space="0" w:color="17365D"/>
            </w:tcBorders>
            <w:shd w:val="clear" w:color="auto" w:fill="auto"/>
            <w:vAlign w:val="center"/>
            <w:hideMark/>
          </w:tcPr>
          <w:p w14:paraId="0C6E86F0" w14:textId="4BC185B8" w:rsidR="00CF6540" w:rsidRPr="00E72168" w:rsidRDefault="00CF6540" w:rsidP="00CF6540">
            <w:pPr>
              <w:spacing w:after="0" w:line="240" w:lineRule="auto"/>
              <w:rPr>
                <w:rFonts w:eastAsia="Times New Roman" w:cs="Times New Roman"/>
                <w:color w:val="17365D"/>
                <w:sz w:val="18"/>
                <w:szCs w:val="18"/>
                <w:lang w:eastAsia="lv-LV"/>
              </w:rPr>
            </w:pPr>
            <w:r w:rsidRPr="00E72168">
              <w:rPr>
                <w:rFonts w:cs="Times New Roman"/>
                <w:color w:val="17365D"/>
                <w:sz w:val="18"/>
                <w:szCs w:val="18"/>
              </w:rPr>
              <w:t>Ieguldījuma īpašumi</w:t>
            </w:r>
          </w:p>
        </w:tc>
        <w:tc>
          <w:tcPr>
            <w:tcW w:w="550" w:type="pct"/>
            <w:gridSpan w:val="2"/>
            <w:tcBorders>
              <w:top w:val="single" w:sz="4" w:space="0" w:color="17365D"/>
              <w:bottom w:val="single" w:sz="4" w:space="0" w:color="17365D"/>
            </w:tcBorders>
            <w:shd w:val="clear" w:color="auto" w:fill="auto"/>
            <w:noWrap/>
            <w:vAlign w:val="center"/>
          </w:tcPr>
          <w:p w14:paraId="073B6F12" w14:textId="0204E8A3" w:rsidR="00CF6540" w:rsidRPr="00E72168" w:rsidRDefault="00CF6540" w:rsidP="00CF6540">
            <w:pPr>
              <w:spacing w:after="0" w:line="240" w:lineRule="auto"/>
              <w:jc w:val="right"/>
              <w:rPr>
                <w:rFonts w:eastAsia="Times New Roman" w:cs="Times New Roman"/>
                <w:color w:val="17365D"/>
                <w:sz w:val="18"/>
                <w:szCs w:val="18"/>
                <w:lang w:eastAsia="lv-LV"/>
              </w:rPr>
            </w:pPr>
          </w:p>
        </w:tc>
        <w:tc>
          <w:tcPr>
            <w:tcW w:w="745" w:type="pct"/>
            <w:gridSpan w:val="2"/>
            <w:tcBorders>
              <w:top w:val="single" w:sz="4" w:space="0" w:color="17365D"/>
              <w:bottom w:val="single" w:sz="4" w:space="0" w:color="17365D"/>
            </w:tcBorders>
            <w:shd w:val="clear" w:color="auto" w:fill="auto"/>
            <w:vAlign w:val="center"/>
            <w:hideMark/>
          </w:tcPr>
          <w:p w14:paraId="0E20BCC4" w14:textId="216395FA"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427</w:t>
            </w:r>
            <w:r w:rsidR="004F658C">
              <w:rPr>
                <w:rFonts w:cs="Times New Roman"/>
                <w:color w:val="17365D"/>
                <w:sz w:val="18"/>
                <w:szCs w:val="18"/>
              </w:rPr>
              <w:t xml:space="preserve"> </w:t>
            </w:r>
            <w:r w:rsidRPr="00CF6540">
              <w:rPr>
                <w:rFonts w:cs="Times New Roman"/>
                <w:color w:val="17365D"/>
                <w:sz w:val="18"/>
                <w:szCs w:val="18"/>
              </w:rPr>
              <w:t>636</w:t>
            </w:r>
            <w:r w:rsidR="004F658C">
              <w:rPr>
                <w:rFonts w:cs="Times New Roman"/>
                <w:color w:val="17365D"/>
                <w:sz w:val="18"/>
                <w:szCs w:val="18"/>
              </w:rPr>
              <w:t xml:space="preserve"> </w:t>
            </w:r>
            <w:r w:rsidRPr="00CF6540">
              <w:rPr>
                <w:rFonts w:cs="Times New Roman"/>
                <w:color w:val="17365D"/>
                <w:sz w:val="18"/>
                <w:szCs w:val="18"/>
              </w:rPr>
              <w:t>467</w:t>
            </w:r>
          </w:p>
        </w:tc>
        <w:tc>
          <w:tcPr>
            <w:tcW w:w="831" w:type="pct"/>
            <w:gridSpan w:val="2"/>
            <w:tcBorders>
              <w:top w:val="single" w:sz="4" w:space="0" w:color="17365D"/>
              <w:bottom w:val="single" w:sz="4" w:space="0" w:color="17365D"/>
            </w:tcBorders>
            <w:shd w:val="clear" w:color="auto" w:fill="auto"/>
            <w:vAlign w:val="center"/>
            <w:hideMark/>
          </w:tcPr>
          <w:p w14:paraId="18F659A9" w14:textId="57901F54"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444</w:t>
            </w:r>
            <w:r w:rsidR="004F658C">
              <w:rPr>
                <w:rFonts w:cs="Times New Roman"/>
                <w:color w:val="17365D"/>
                <w:sz w:val="18"/>
                <w:szCs w:val="18"/>
              </w:rPr>
              <w:t xml:space="preserve"> </w:t>
            </w:r>
            <w:r w:rsidRPr="00CF6540">
              <w:rPr>
                <w:rFonts w:cs="Times New Roman"/>
                <w:color w:val="17365D"/>
                <w:sz w:val="18"/>
                <w:szCs w:val="18"/>
              </w:rPr>
              <w:t>059</w:t>
            </w:r>
            <w:r w:rsidR="004F658C">
              <w:rPr>
                <w:rFonts w:cs="Times New Roman"/>
                <w:color w:val="17365D"/>
                <w:sz w:val="18"/>
                <w:szCs w:val="18"/>
              </w:rPr>
              <w:t xml:space="preserve"> </w:t>
            </w:r>
            <w:r w:rsidRPr="00CF6540">
              <w:rPr>
                <w:rFonts w:cs="Times New Roman"/>
                <w:color w:val="17365D"/>
                <w:sz w:val="18"/>
                <w:szCs w:val="18"/>
              </w:rPr>
              <w:t>422</w:t>
            </w:r>
          </w:p>
        </w:tc>
        <w:tc>
          <w:tcPr>
            <w:tcW w:w="756" w:type="pct"/>
            <w:gridSpan w:val="3"/>
            <w:tcBorders>
              <w:top w:val="single" w:sz="4" w:space="0" w:color="17365D"/>
              <w:bottom w:val="single" w:sz="4" w:space="0" w:color="17365D"/>
            </w:tcBorders>
            <w:shd w:val="clear" w:color="auto" w:fill="auto"/>
            <w:noWrap/>
            <w:vAlign w:val="center"/>
            <w:hideMark/>
          </w:tcPr>
          <w:p w14:paraId="3DDA738C" w14:textId="0561D4F0"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-16</w:t>
            </w:r>
            <w:r w:rsidR="004F658C">
              <w:rPr>
                <w:rFonts w:cs="Times New Roman"/>
                <w:color w:val="17365D"/>
                <w:sz w:val="18"/>
                <w:szCs w:val="18"/>
              </w:rPr>
              <w:t xml:space="preserve"> </w:t>
            </w:r>
            <w:r w:rsidRPr="00CF6540">
              <w:rPr>
                <w:rFonts w:cs="Times New Roman"/>
                <w:color w:val="17365D"/>
                <w:sz w:val="18"/>
                <w:szCs w:val="18"/>
              </w:rPr>
              <w:t>422</w:t>
            </w:r>
            <w:r w:rsidR="004F658C">
              <w:rPr>
                <w:rFonts w:cs="Times New Roman"/>
                <w:color w:val="17365D"/>
                <w:sz w:val="18"/>
                <w:szCs w:val="18"/>
              </w:rPr>
              <w:t xml:space="preserve"> </w:t>
            </w:r>
            <w:r w:rsidRPr="00CF6540">
              <w:rPr>
                <w:rFonts w:cs="Times New Roman"/>
                <w:color w:val="17365D"/>
                <w:sz w:val="18"/>
                <w:szCs w:val="18"/>
              </w:rPr>
              <w:t>955</w:t>
            </w:r>
          </w:p>
        </w:tc>
        <w:tc>
          <w:tcPr>
            <w:tcW w:w="618" w:type="pct"/>
            <w:tcBorders>
              <w:top w:val="single" w:sz="4" w:space="0" w:color="17365D"/>
              <w:bottom w:val="single" w:sz="4" w:space="0" w:color="17365D"/>
            </w:tcBorders>
            <w:shd w:val="clear" w:color="auto" w:fill="auto"/>
            <w:noWrap/>
            <w:vAlign w:val="center"/>
            <w:hideMark/>
          </w:tcPr>
          <w:p w14:paraId="008FA2D2" w14:textId="21CE843A"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-3.7</w:t>
            </w:r>
            <w:r w:rsidR="004F658C">
              <w:rPr>
                <w:rFonts w:cs="Times New Roman"/>
                <w:color w:val="17365D"/>
                <w:sz w:val="18"/>
                <w:szCs w:val="18"/>
              </w:rPr>
              <w:t>0</w:t>
            </w:r>
          </w:p>
        </w:tc>
      </w:tr>
      <w:tr w:rsidR="00CF6540" w:rsidRPr="00E72168" w14:paraId="29EFE130" w14:textId="77777777" w:rsidTr="00CF6540">
        <w:trPr>
          <w:trHeight w:val="264"/>
          <w:tblHeader/>
        </w:trPr>
        <w:tc>
          <w:tcPr>
            <w:tcW w:w="1500" w:type="pct"/>
            <w:tcBorders>
              <w:top w:val="single" w:sz="4" w:space="0" w:color="17365D"/>
              <w:bottom w:val="single" w:sz="4" w:space="0" w:color="17365D"/>
            </w:tcBorders>
            <w:shd w:val="clear" w:color="auto" w:fill="auto"/>
            <w:vAlign w:val="center"/>
          </w:tcPr>
          <w:p w14:paraId="5C354C70" w14:textId="49838FD1" w:rsidR="00CF6540" w:rsidRPr="00E72168" w:rsidRDefault="00CF6540" w:rsidP="00CF6540">
            <w:pPr>
              <w:spacing w:after="0" w:line="240" w:lineRule="auto"/>
              <w:rPr>
                <w:rFonts w:cs="Times New Roman"/>
                <w:color w:val="17365D"/>
                <w:sz w:val="18"/>
                <w:szCs w:val="18"/>
              </w:rPr>
            </w:pPr>
            <w:r w:rsidRPr="00E72168">
              <w:rPr>
                <w:rFonts w:cs="Times New Roman"/>
                <w:color w:val="17365D"/>
                <w:sz w:val="18"/>
                <w:szCs w:val="18"/>
              </w:rPr>
              <w:t>Ieguldījuma īpašumu izveidošana un nepabeigtā būvniecība</w:t>
            </w:r>
          </w:p>
        </w:tc>
        <w:tc>
          <w:tcPr>
            <w:tcW w:w="550" w:type="pct"/>
            <w:gridSpan w:val="2"/>
            <w:tcBorders>
              <w:top w:val="single" w:sz="4" w:space="0" w:color="17365D"/>
              <w:bottom w:val="single" w:sz="4" w:space="0" w:color="17365D"/>
            </w:tcBorders>
            <w:shd w:val="clear" w:color="auto" w:fill="auto"/>
            <w:noWrap/>
            <w:vAlign w:val="center"/>
          </w:tcPr>
          <w:p w14:paraId="03C24FFD" w14:textId="08C51461" w:rsidR="00CF6540" w:rsidRPr="00E72168" w:rsidRDefault="00CF6540" w:rsidP="00CF6540">
            <w:pPr>
              <w:spacing w:after="0" w:line="240" w:lineRule="auto"/>
              <w:jc w:val="right"/>
              <w:rPr>
                <w:rFonts w:cs="Times New Roman"/>
                <w:color w:val="17365D"/>
                <w:sz w:val="18"/>
                <w:szCs w:val="18"/>
              </w:rPr>
            </w:pPr>
          </w:p>
        </w:tc>
        <w:tc>
          <w:tcPr>
            <w:tcW w:w="745" w:type="pct"/>
            <w:gridSpan w:val="2"/>
            <w:tcBorders>
              <w:top w:val="single" w:sz="4" w:space="0" w:color="17365D"/>
              <w:bottom w:val="single" w:sz="4" w:space="0" w:color="17365D"/>
            </w:tcBorders>
            <w:shd w:val="clear" w:color="auto" w:fill="auto"/>
            <w:vAlign w:val="center"/>
          </w:tcPr>
          <w:p w14:paraId="50835495" w14:textId="4494AA9F"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4</w:t>
            </w:r>
            <w:r w:rsidR="004F658C">
              <w:rPr>
                <w:rFonts w:cs="Times New Roman"/>
                <w:color w:val="17365D"/>
                <w:sz w:val="18"/>
                <w:szCs w:val="18"/>
              </w:rPr>
              <w:t xml:space="preserve"> </w:t>
            </w:r>
            <w:r w:rsidRPr="00CF6540">
              <w:rPr>
                <w:rFonts w:cs="Times New Roman"/>
                <w:color w:val="17365D"/>
                <w:sz w:val="18"/>
                <w:szCs w:val="18"/>
              </w:rPr>
              <w:t>911</w:t>
            </w:r>
            <w:r w:rsidR="004F658C">
              <w:rPr>
                <w:rFonts w:cs="Times New Roman"/>
                <w:color w:val="17365D"/>
                <w:sz w:val="18"/>
                <w:szCs w:val="18"/>
              </w:rPr>
              <w:t xml:space="preserve"> </w:t>
            </w:r>
            <w:r w:rsidRPr="00CF6540">
              <w:rPr>
                <w:rFonts w:cs="Times New Roman"/>
                <w:color w:val="17365D"/>
                <w:sz w:val="18"/>
                <w:szCs w:val="18"/>
              </w:rPr>
              <w:t>337</w:t>
            </w:r>
          </w:p>
        </w:tc>
        <w:tc>
          <w:tcPr>
            <w:tcW w:w="831" w:type="pct"/>
            <w:gridSpan w:val="2"/>
            <w:tcBorders>
              <w:top w:val="single" w:sz="4" w:space="0" w:color="17365D"/>
              <w:bottom w:val="single" w:sz="4" w:space="0" w:color="17365D"/>
            </w:tcBorders>
            <w:shd w:val="clear" w:color="auto" w:fill="auto"/>
            <w:vAlign w:val="center"/>
          </w:tcPr>
          <w:p w14:paraId="5950B065" w14:textId="7ADABBB0"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347</w:t>
            </w:r>
            <w:r w:rsidR="004F658C">
              <w:rPr>
                <w:rFonts w:cs="Times New Roman"/>
                <w:color w:val="17365D"/>
                <w:sz w:val="18"/>
                <w:szCs w:val="18"/>
              </w:rPr>
              <w:t xml:space="preserve"> </w:t>
            </w:r>
            <w:r w:rsidRPr="00CF6540">
              <w:rPr>
                <w:rFonts w:cs="Times New Roman"/>
                <w:color w:val="17365D"/>
                <w:sz w:val="18"/>
                <w:szCs w:val="18"/>
              </w:rPr>
              <w:t>798</w:t>
            </w:r>
          </w:p>
        </w:tc>
        <w:tc>
          <w:tcPr>
            <w:tcW w:w="756" w:type="pct"/>
            <w:gridSpan w:val="3"/>
            <w:tcBorders>
              <w:top w:val="single" w:sz="4" w:space="0" w:color="17365D"/>
              <w:bottom w:val="single" w:sz="4" w:space="0" w:color="17365D"/>
            </w:tcBorders>
            <w:shd w:val="clear" w:color="auto" w:fill="auto"/>
            <w:noWrap/>
            <w:vAlign w:val="center"/>
          </w:tcPr>
          <w:p w14:paraId="078BEB7C" w14:textId="5304D135"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4</w:t>
            </w:r>
            <w:r w:rsidR="004F658C">
              <w:rPr>
                <w:rFonts w:cs="Times New Roman"/>
                <w:color w:val="17365D"/>
                <w:sz w:val="18"/>
                <w:szCs w:val="18"/>
              </w:rPr>
              <w:t xml:space="preserve"> </w:t>
            </w:r>
            <w:r w:rsidRPr="00CF6540">
              <w:rPr>
                <w:rFonts w:cs="Times New Roman"/>
                <w:color w:val="17365D"/>
                <w:sz w:val="18"/>
                <w:szCs w:val="18"/>
              </w:rPr>
              <w:t>563</w:t>
            </w:r>
            <w:r w:rsidR="004F658C">
              <w:rPr>
                <w:rFonts w:cs="Times New Roman"/>
                <w:color w:val="17365D"/>
                <w:sz w:val="18"/>
                <w:szCs w:val="18"/>
              </w:rPr>
              <w:t xml:space="preserve"> </w:t>
            </w:r>
            <w:r w:rsidRPr="00CF6540">
              <w:rPr>
                <w:rFonts w:cs="Times New Roman"/>
                <w:color w:val="17365D"/>
                <w:sz w:val="18"/>
                <w:szCs w:val="18"/>
              </w:rPr>
              <w:t>539</w:t>
            </w:r>
          </w:p>
        </w:tc>
        <w:tc>
          <w:tcPr>
            <w:tcW w:w="618" w:type="pct"/>
            <w:tcBorders>
              <w:top w:val="single" w:sz="4" w:space="0" w:color="17365D"/>
              <w:bottom w:val="single" w:sz="4" w:space="0" w:color="17365D"/>
            </w:tcBorders>
            <w:shd w:val="clear" w:color="auto" w:fill="auto"/>
            <w:noWrap/>
            <w:vAlign w:val="center"/>
          </w:tcPr>
          <w:p w14:paraId="1DD5B0E4" w14:textId="6853E33B"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1312.12</w:t>
            </w:r>
          </w:p>
        </w:tc>
      </w:tr>
      <w:tr w:rsidR="00CF6540" w:rsidRPr="00E72168" w14:paraId="41618C0F" w14:textId="77777777" w:rsidTr="00CF6540">
        <w:trPr>
          <w:trHeight w:val="264"/>
          <w:tblHeader/>
        </w:trPr>
        <w:tc>
          <w:tcPr>
            <w:tcW w:w="1500" w:type="pct"/>
            <w:tcBorders>
              <w:top w:val="single" w:sz="4" w:space="0" w:color="17365D"/>
              <w:bottom w:val="single" w:sz="4" w:space="0" w:color="17365D"/>
            </w:tcBorders>
            <w:shd w:val="clear" w:color="auto" w:fill="auto"/>
            <w:vAlign w:val="center"/>
          </w:tcPr>
          <w:p w14:paraId="224866DC" w14:textId="688378FA" w:rsidR="00CF6540" w:rsidRPr="00E72168" w:rsidRDefault="00CF6540" w:rsidP="00CF6540">
            <w:pPr>
              <w:spacing w:after="0" w:line="240" w:lineRule="auto"/>
              <w:rPr>
                <w:rFonts w:cs="Times New Roman"/>
                <w:color w:val="17365D"/>
                <w:sz w:val="18"/>
                <w:szCs w:val="18"/>
              </w:rPr>
            </w:pPr>
            <w:r w:rsidRPr="00E72168">
              <w:rPr>
                <w:rFonts w:cs="Times New Roman"/>
                <w:color w:val="17365D"/>
                <w:sz w:val="18"/>
                <w:szCs w:val="18"/>
              </w:rPr>
              <w:t>Turējumā nodotie ieguldījuma īpašumi</w:t>
            </w:r>
          </w:p>
        </w:tc>
        <w:tc>
          <w:tcPr>
            <w:tcW w:w="550" w:type="pct"/>
            <w:gridSpan w:val="2"/>
            <w:tcBorders>
              <w:top w:val="single" w:sz="4" w:space="0" w:color="17365D"/>
              <w:bottom w:val="single" w:sz="4" w:space="0" w:color="17365D"/>
            </w:tcBorders>
            <w:shd w:val="clear" w:color="auto" w:fill="auto"/>
            <w:noWrap/>
            <w:vAlign w:val="center"/>
          </w:tcPr>
          <w:p w14:paraId="4E9EB9B2" w14:textId="60DBF3AA" w:rsidR="00CF6540" w:rsidRPr="00E72168" w:rsidRDefault="00CF6540" w:rsidP="00CF6540">
            <w:pPr>
              <w:spacing w:after="0" w:line="240" w:lineRule="auto"/>
              <w:jc w:val="right"/>
              <w:rPr>
                <w:rFonts w:cs="Times New Roman"/>
                <w:color w:val="17365D"/>
                <w:sz w:val="18"/>
                <w:szCs w:val="18"/>
              </w:rPr>
            </w:pPr>
          </w:p>
        </w:tc>
        <w:tc>
          <w:tcPr>
            <w:tcW w:w="745" w:type="pct"/>
            <w:gridSpan w:val="2"/>
            <w:tcBorders>
              <w:top w:val="single" w:sz="4" w:space="0" w:color="17365D"/>
              <w:bottom w:val="single" w:sz="4" w:space="0" w:color="17365D"/>
            </w:tcBorders>
            <w:shd w:val="clear" w:color="auto" w:fill="auto"/>
            <w:vAlign w:val="center"/>
          </w:tcPr>
          <w:p w14:paraId="3A46CF36" w14:textId="56AB77C9"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322</w:t>
            </w:r>
            <w:r w:rsidR="004F658C">
              <w:rPr>
                <w:rFonts w:cs="Times New Roman"/>
                <w:color w:val="17365D"/>
                <w:sz w:val="18"/>
                <w:szCs w:val="18"/>
              </w:rPr>
              <w:t xml:space="preserve"> </w:t>
            </w:r>
            <w:r w:rsidRPr="00CF6540">
              <w:rPr>
                <w:rFonts w:cs="Times New Roman"/>
                <w:color w:val="17365D"/>
                <w:sz w:val="18"/>
                <w:szCs w:val="18"/>
              </w:rPr>
              <w:t>325</w:t>
            </w:r>
            <w:r w:rsidR="004F658C">
              <w:rPr>
                <w:rFonts w:cs="Times New Roman"/>
                <w:color w:val="17365D"/>
                <w:sz w:val="18"/>
                <w:szCs w:val="18"/>
              </w:rPr>
              <w:t xml:space="preserve"> </w:t>
            </w:r>
            <w:r w:rsidRPr="00CF6540">
              <w:rPr>
                <w:rFonts w:cs="Times New Roman"/>
                <w:color w:val="17365D"/>
                <w:sz w:val="18"/>
                <w:szCs w:val="18"/>
              </w:rPr>
              <w:t>965</w:t>
            </w:r>
          </w:p>
        </w:tc>
        <w:tc>
          <w:tcPr>
            <w:tcW w:w="831" w:type="pct"/>
            <w:gridSpan w:val="2"/>
            <w:tcBorders>
              <w:top w:val="single" w:sz="4" w:space="0" w:color="17365D"/>
              <w:bottom w:val="single" w:sz="4" w:space="0" w:color="17365D"/>
            </w:tcBorders>
            <w:shd w:val="clear" w:color="auto" w:fill="auto"/>
            <w:vAlign w:val="center"/>
          </w:tcPr>
          <w:p w14:paraId="49881386" w14:textId="466038BE"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237</w:t>
            </w:r>
            <w:r w:rsidR="004F658C">
              <w:rPr>
                <w:rFonts w:cs="Times New Roman"/>
                <w:color w:val="17365D"/>
                <w:sz w:val="18"/>
                <w:szCs w:val="18"/>
              </w:rPr>
              <w:t xml:space="preserve"> </w:t>
            </w:r>
            <w:r w:rsidRPr="00CF6540">
              <w:rPr>
                <w:rFonts w:cs="Times New Roman"/>
                <w:color w:val="17365D"/>
                <w:sz w:val="18"/>
                <w:szCs w:val="18"/>
              </w:rPr>
              <w:t>471</w:t>
            </w:r>
            <w:r w:rsidR="004F658C">
              <w:rPr>
                <w:rFonts w:cs="Times New Roman"/>
                <w:color w:val="17365D"/>
                <w:sz w:val="18"/>
                <w:szCs w:val="18"/>
              </w:rPr>
              <w:t xml:space="preserve"> </w:t>
            </w:r>
            <w:r w:rsidRPr="00CF6540">
              <w:rPr>
                <w:rFonts w:cs="Times New Roman"/>
                <w:color w:val="17365D"/>
                <w:sz w:val="18"/>
                <w:szCs w:val="18"/>
              </w:rPr>
              <w:t>935</w:t>
            </w:r>
          </w:p>
        </w:tc>
        <w:tc>
          <w:tcPr>
            <w:tcW w:w="756" w:type="pct"/>
            <w:gridSpan w:val="3"/>
            <w:tcBorders>
              <w:top w:val="single" w:sz="4" w:space="0" w:color="17365D"/>
              <w:bottom w:val="single" w:sz="4" w:space="0" w:color="17365D"/>
            </w:tcBorders>
            <w:shd w:val="clear" w:color="auto" w:fill="auto"/>
            <w:noWrap/>
            <w:vAlign w:val="center"/>
          </w:tcPr>
          <w:p w14:paraId="0461CB68" w14:textId="2CD96220"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84</w:t>
            </w:r>
            <w:r w:rsidR="004F658C">
              <w:rPr>
                <w:rFonts w:cs="Times New Roman"/>
                <w:color w:val="17365D"/>
                <w:sz w:val="18"/>
                <w:szCs w:val="18"/>
              </w:rPr>
              <w:t xml:space="preserve"> </w:t>
            </w:r>
            <w:r w:rsidRPr="00CF6540">
              <w:rPr>
                <w:rFonts w:cs="Times New Roman"/>
                <w:color w:val="17365D"/>
                <w:sz w:val="18"/>
                <w:szCs w:val="18"/>
              </w:rPr>
              <w:t>854</w:t>
            </w:r>
            <w:r w:rsidR="004F658C">
              <w:rPr>
                <w:rFonts w:cs="Times New Roman"/>
                <w:color w:val="17365D"/>
                <w:sz w:val="18"/>
                <w:szCs w:val="18"/>
              </w:rPr>
              <w:t xml:space="preserve"> </w:t>
            </w:r>
            <w:r w:rsidRPr="00CF6540">
              <w:rPr>
                <w:rFonts w:cs="Times New Roman"/>
                <w:color w:val="17365D"/>
                <w:sz w:val="18"/>
                <w:szCs w:val="18"/>
              </w:rPr>
              <w:t>030</w:t>
            </w:r>
          </w:p>
        </w:tc>
        <w:tc>
          <w:tcPr>
            <w:tcW w:w="618" w:type="pct"/>
            <w:tcBorders>
              <w:top w:val="single" w:sz="4" w:space="0" w:color="17365D"/>
              <w:bottom w:val="single" w:sz="4" w:space="0" w:color="17365D"/>
            </w:tcBorders>
            <w:shd w:val="clear" w:color="auto" w:fill="auto"/>
            <w:noWrap/>
            <w:vAlign w:val="center"/>
          </w:tcPr>
          <w:p w14:paraId="36C51273" w14:textId="5311766C" w:rsidR="00CF6540" w:rsidRPr="00CF6540" w:rsidRDefault="00CF6540" w:rsidP="00CF6540">
            <w:pPr>
              <w:spacing w:after="0" w:line="240" w:lineRule="auto"/>
              <w:jc w:val="right"/>
              <w:rPr>
                <w:rFonts w:cs="Times New Roman"/>
                <w:color w:val="17365D"/>
                <w:sz w:val="18"/>
                <w:szCs w:val="18"/>
              </w:rPr>
            </w:pPr>
            <w:r w:rsidRPr="00CF6540">
              <w:rPr>
                <w:rFonts w:cs="Times New Roman"/>
                <w:color w:val="17365D"/>
                <w:sz w:val="18"/>
                <w:szCs w:val="18"/>
              </w:rPr>
              <w:t>35.73</w:t>
            </w:r>
          </w:p>
        </w:tc>
      </w:tr>
      <w:tr w:rsidR="00C75991" w:rsidRPr="00E72168" w14:paraId="32E02F27" w14:textId="77777777" w:rsidTr="00315B90">
        <w:trPr>
          <w:trHeight w:val="202"/>
          <w:tblHeader/>
        </w:trPr>
        <w:tc>
          <w:tcPr>
            <w:tcW w:w="1626" w:type="pct"/>
            <w:gridSpan w:val="2"/>
            <w:tcBorders>
              <w:top w:val="single" w:sz="4" w:space="0" w:color="17365D"/>
            </w:tcBorders>
            <w:shd w:val="clear" w:color="auto" w:fill="B9CDE5"/>
            <w:vAlign w:val="center"/>
          </w:tcPr>
          <w:p w14:paraId="5AE3DC58" w14:textId="77777777" w:rsidR="00C75991" w:rsidRPr="00E72168" w:rsidRDefault="00C75991" w:rsidP="00D92FFA">
            <w:pPr>
              <w:spacing w:after="0" w:line="240" w:lineRule="auto"/>
              <w:rPr>
                <w:rFonts w:eastAsia="Times New Roman" w:cs="Times New Roman"/>
                <w:color w:val="17365D"/>
                <w:sz w:val="18"/>
                <w:szCs w:val="18"/>
                <w:lang w:eastAsia="lv-LV"/>
              </w:rPr>
            </w:pPr>
          </w:p>
        </w:tc>
        <w:tc>
          <w:tcPr>
            <w:tcW w:w="507" w:type="pct"/>
            <w:gridSpan w:val="2"/>
            <w:tcBorders>
              <w:top w:val="single" w:sz="4" w:space="0" w:color="17365D"/>
            </w:tcBorders>
            <w:shd w:val="clear" w:color="auto" w:fill="B9CDE5"/>
            <w:noWrap/>
            <w:vAlign w:val="center"/>
          </w:tcPr>
          <w:p w14:paraId="728904CA" w14:textId="77777777" w:rsidR="00C75991" w:rsidRPr="00E72168" w:rsidRDefault="00C75991" w:rsidP="00D92FFA">
            <w:pPr>
              <w:spacing w:after="0" w:line="240" w:lineRule="auto"/>
              <w:jc w:val="center"/>
              <w:rPr>
                <w:rFonts w:eastAsia="Times New Roman" w:cs="Times New Roman"/>
                <w:color w:val="17365D"/>
                <w:sz w:val="18"/>
                <w:szCs w:val="18"/>
                <w:lang w:eastAsia="lv-LV"/>
              </w:rPr>
            </w:pPr>
          </w:p>
        </w:tc>
        <w:tc>
          <w:tcPr>
            <w:tcW w:w="771" w:type="pct"/>
            <w:gridSpan w:val="2"/>
            <w:tcBorders>
              <w:top w:val="single" w:sz="4" w:space="0" w:color="17365D"/>
            </w:tcBorders>
            <w:shd w:val="clear" w:color="auto" w:fill="B9CDE5"/>
            <w:noWrap/>
            <w:vAlign w:val="center"/>
          </w:tcPr>
          <w:p w14:paraId="0D89BE02" w14:textId="77777777" w:rsidR="00C75991" w:rsidRPr="00E72168" w:rsidRDefault="00C75991" w:rsidP="00D92FFA">
            <w:pPr>
              <w:spacing w:after="0" w:line="240" w:lineRule="auto"/>
              <w:jc w:val="right"/>
              <w:rPr>
                <w:rFonts w:eastAsia="Times New Roman" w:cs="Times New Roman"/>
                <w:color w:val="17365D"/>
                <w:sz w:val="18"/>
                <w:szCs w:val="18"/>
                <w:lang w:eastAsia="lv-LV"/>
              </w:rPr>
            </w:pPr>
          </w:p>
        </w:tc>
        <w:tc>
          <w:tcPr>
            <w:tcW w:w="763" w:type="pct"/>
            <w:gridSpan w:val="2"/>
            <w:tcBorders>
              <w:top w:val="single" w:sz="4" w:space="0" w:color="17365D"/>
            </w:tcBorders>
            <w:shd w:val="clear" w:color="auto" w:fill="B9CDE5"/>
            <w:noWrap/>
            <w:vAlign w:val="center"/>
          </w:tcPr>
          <w:p w14:paraId="784B19AE" w14:textId="77777777" w:rsidR="00C75991" w:rsidRPr="00E72168" w:rsidRDefault="00C75991" w:rsidP="00D92FFA">
            <w:pPr>
              <w:spacing w:after="0" w:line="240" w:lineRule="auto"/>
              <w:jc w:val="right"/>
              <w:rPr>
                <w:rFonts w:eastAsia="Times New Roman" w:cs="Times New Roman"/>
                <w:color w:val="17365D"/>
                <w:sz w:val="18"/>
                <w:szCs w:val="18"/>
                <w:lang w:eastAsia="lv-LV"/>
              </w:rPr>
            </w:pPr>
          </w:p>
        </w:tc>
        <w:tc>
          <w:tcPr>
            <w:tcW w:w="676" w:type="pct"/>
            <w:tcBorders>
              <w:top w:val="single" w:sz="4" w:space="0" w:color="17365D"/>
            </w:tcBorders>
            <w:shd w:val="clear" w:color="auto" w:fill="B9CDE5"/>
            <w:noWrap/>
            <w:vAlign w:val="center"/>
          </w:tcPr>
          <w:p w14:paraId="742528EF" w14:textId="77777777" w:rsidR="00C75991" w:rsidRPr="00E72168" w:rsidRDefault="00C75991" w:rsidP="00D92FFA">
            <w:pPr>
              <w:spacing w:after="0" w:line="240" w:lineRule="auto"/>
              <w:jc w:val="right"/>
              <w:rPr>
                <w:rFonts w:eastAsia="Times New Roman" w:cs="Times New Roman"/>
                <w:color w:val="17365D"/>
                <w:sz w:val="18"/>
                <w:szCs w:val="18"/>
                <w:lang w:eastAsia="lv-LV"/>
              </w:rPr>
            </w:pPr>
          </w:p>
        </w:tc>
        <w:tc>
          <w:tcPr>
            <w:tcW w:w="657" w:type="pct"/>
            <w:gridSpan w:val="2"/>
            <w:tcBorders>
              <w:top w:val="single" w:sz="4" w:space="0" w:color="17365D"/>
            </w:tcBorders>
            <w:shd w:val="clear" w:color="auto" w:fill="B9CDE5"/>
            <w:noWrap/>
            <w:vAlign w:val="center"/>
          </w:tcPr>
          <w:p w14:paraId="50A05B6C" w14:textId="77777777" w:rsidR="00C75991" w:rsidRPr="00E72168" w:rsidRDefault="00C75991" w:rsidP="00D92FFA">
            <w:pPr>
              <w:spacing w:after="0" w:line="240" w:lineRule="auto"/>
              <w:jc w:val="right"/>
              <w:rPr>
                <w:rFonts w:eastAsia="Times New Roman" w:cs="Times New Roman"/>
                <w:color w:val="17365D"/>
                <w:sz w:val="18"/>
                <w:szCs w:val="18"/>
                <w:lang w:eastAsia="lv-LV"/>
              </w:rPr>
            </w:pPr>
          </w:p>
        </w:tc>
      </w:tr>
    </w:tbl>
    <w:p w14:paraId="30858C92" w14:textId="77777777" w:rsidR="00B44AC4" w:rsidRPr="00E72168" w:rsidRDefault="00B44AC4" w:rsidP="00060622">
      <w:pPr>
        <w:pStyle w:val="Pamatteksts1"/>
      </w:pPr>
    </w:p>
    <w:p w14:paraId="2D2FB77D" w14:textId="11A5B674" w:rsidR="009F01EB" w:rsidRPr="00315B90" w:rsidRDefault="009F01EB" w:rsidP="00060622">
      <w:pPr>
        <w:pStyle w:val="Pamatteksts1"/>
        <w:rPr>
          <w:bCs/>
        </w:rPr>
      </w:pPr>
      <w:r w:rsidRPr="00315B90">
        <w:t xml:space="preserve">Bilances postenī “Ieguldījuma īpašumi” pārskata gadā būtisku izmaiņu nav. </w:t>
      </w:r>
    </w:p>
    <w:p w14:paraId="6ADE2055" w14:textId="5B9756DD" w:rsidR="000708CF" w:rsidRPr="00485D6D" w:rsidRDefault="00EC1B09" w:rsidP="00060622">
      <w:pPr>
        <w:pStyle w:val="Pamatteksts1"/>
      </w:pPr>
      <w:r w:rsidRPr="00485D6D">
        <w:t xml:space="preserve">Ieguldījuma īpašumu vērtības samazinājums būtiski neietekmē posteņa vērtību. </w:t>
      </w:r>
      <w:r w:rsidR="007A15FA" w:rsidRPr="00485D6D">
        <w:rPr>
          <w:bCs/>
        </w:rPr>
        <w:t>Tas konstatēts</w:t>
      </w:r>
      <w:r w:rsidR="00C0530D">
        <w:rPr>
          <w:bCs/>
        </w:rPr>
        <w:t>,</w:t>
      </w:r>
      <w:r w:rsidR="007A15FA" w:rsidRPr="00485D6D">
        <w:rPr>
          <w:bCs/>
        </w:rPr>
        <w:t xml:space="preserve"> izvērtējot aktīva atgūstamo vērtību</w:t>
      </w:r>
      <w:r w:rsidR="00485D6D" w:rsidRPr="00485D6D">
        <w:rPr>
          <w:bCs/>
        </w:rPr>
        <w:t>.</w:t>
      </w:r>
      <w:r w:rsidR="007A15FA" w:rsidRPr="00485D6D">
        <w:rPr>
          <w:bCs/>
        </w:rPr>
        <w:t xml:space="preserve"> Ieguldījuma īpašumu vērtības samazinājuma noteikšanai galvenokārt lietota atjaunošanas izmaksu metode.</w:t>
      </w:r>
    </w:p>
    <w:p w14:paraId="55555CD0" w14:textId="689B1DFC" w:rsidR="00294B1A" w:rsidRDefault="00294B1A" w:rsidP="00060622">
      <w:pPr>
        <w:pStyle w:val="Pamatteksts1"/>
        <w:rPr>
          <w:bCs/>
        </w:rPr>
      </w:pPr>
      <w:r w:rsidRPr="00315B90">
        <w:rPr>
          <w:bCs/>
        </w:rPr>
        <w:t>P</w:t>
      </w:r>
      <w:r w:rsidR="00773B41" w:rsidRPr="00315B90">
        <w:rPr>
          <w:bCs/>
        </w:rPr>
        <w:t>ārskata gadā valsts un pašvaldību</w:t>
      </w:r>
      <w:r w:rsidRPr="00315B90">
        <w:rPr>
          <w:bCs/>
        </w:rPr>
        <w:t xml:space="preserve"> ieguldījuma</w:t>
      </w:r>
      <w:r w:rsidR="00773B41" w:rsidRPr="00315B90">
        <w:rPr>
          <w:bCs/>
        </w:rPr>
        <w:t xml:space="preserve"> īpašumos </w:t>
      </w:r>
      <w:r w:rsidRPr="00315B90">
        <w:rPr>
          <w:bCs/>
        </w:rPr>
        <w:t xml:space="preserve">nav </w:t>
      </w:r>
      <w:r w:rsidR="00773B41" w:rsidRPr="00315B90">
        <w:rPr>
          <w:bCs/>
        </w:rPr>
        <w:t>veikti kapitālsabiedrību ieguldījumi, kas nav iekļauti ieguldījuma īpašumu uzskaites vērtībā</w:t>
      </w:r>
      <w:r w:rsidR="00060622">
        <w:rPr>
          <w:bCs/>
        </w:rPr>
        <w:t>.</w:t>
      </w:r>
    </w:p>
    <w:p w14:paraId="7A6EEEA6" w14:textId="77777777" w:rsidR="00402C3D" w:rsidRPr="00E72168" w:rsidRDefault="00402C3D" w:rsidP="00060622">
      <w:pPr>
        <w:pStyle w:val="Pamatteksts1"/>
        <w:rPr>
          <w:bCs/>
        </w:rPr>
      </w:pPr>
    </w:p>
    <w:p w14:paraId="016AF518" w14:textId="3D78E1F3" w:rsidR="00AA06B8" w:rsidRPr="00E72168" w:rsidRDefault="00AA06B8" w:rsidP="006D1C00">
      <w:pPr>
        <w:pStyle w:val="Heading4"/>
        <w:rPr>
          <w:rFonts w:cs="Times New Roman"/>
        </w:rPr>
      </w:pPr>
      <w:r w:rsidRPr="00E72168">
        <w:rPr>
          <w:rFonts w:cs="Times New Roman"/>
        </w:rPr>
        <w:lastRenderedPageBreak/>
        <w:t>Piezīme Nr. KB.1.6. Bioloģiskie aktīvi lauksaimnieciskajai darbībai</w:t>
      </w:r>
    </w:p>
    <w:p w14:paraId="3620417B" w14:textId="5E055BCD" w:rsidR="00DB1118" w:rsidRPr="00E72168" w:rsidRDefault="00F06FED" w:rsidP="00324AC5">
      <w:pPr>
        <w:pStyle w:val="Tabnosauk"/>
      </w:pPr>
      <w:r>
        <w:t>1.</w:t>
      </w:r>
      <w:r w:rsidR="00854AC6">
        <w:t>9</w:t>
      </w:r>
      <w:r w:rsidR="00DB1118" w:rsidRPr="00E72168">
        <w:t xml:space="preserve">. tabula. </w:t>
      </w:r>
      <w:r w:rsidR="00146B5D" w:rsidRPr="00E72168">
        <w:t>Bioloģiskie aktīvi lauksaimnieciskajai darbībai</w:t>
      </w:r>
      <w:r w:rsidR="00DB1118" w:rsidRPr="00E72168">
        <w:t xml:space="preserve"> (euro)</w:t>
      </w:r>
    </w:p>
    <w:tbl>
      <w:tblPr>
        <w:tblW w:w="5008" w:type="pct"/>
        <w:jc w:val="center"/>
        <w:tblLayout w:type="fixed"/>
        <w:tblLook w:val="04A0" w:firstRow="1" w:lastRow="0" w:firstColumn="1" w:lastColumn="0" w:noHBand="0" w:noVBand="1"/>
      </w:tblPr>
      <w:tblGrid>
        <w:gridCol w:w="2555"/>
        <w:gridCol w:w="230"/>
        <w:gridCol w:w="693"/>
        <w:gridCol w:w="281"/>
        <w:gridCol w:w="1344"/>
        <w:gridCol w:w="283"/>
        <w:gridCol w:w="1203"/>
        <w:gridCol w:w="262"/>
        <w:gridCol w:w="1087"/>
        <w:gridCol w:w="81"/>
        <w:gridCol w:w="1344"/>
        <w:gridCol w:w="6"/>
      </w:tblGrid>
      <w:tr w:rsidR="000C1009" w:rsidRPr="00E72168" w14:paraId="1A496ECE" w14:textId="77777777" w:rsidTr="003C09DC">
        <w:trPr>
          <w:gridAfter w:val="1"/>
          <w:wAfter w:w="3" w:type="pct"/>
          <w:trHeight w:val="684"/>
          <w:jc w:val="center"/>
        </w:trPr>
        <w:tc>
          <w:tcPr>
            <w:tcW w:w="1364" w:type="pct"/>
            <w:tcBorders>
              <w:bottom w:val="single" w:sz="4" w:space="0" w:color="17365D"/>
            </w:tcBorders>
            <w:shd w:val="clear" w:color="auto" w:fill="B9CDE5"/>
            <w:vAlign w:val="center"/>
            <w:hideMark/>
          </w:tcPr>
          <w:p w14:paraId="33525A19" w14:textId="343905E2" w:rsidR="002B58FA" w:rsidRPr="00E72168" w:rsidRDefault="007611AA" w:rsidP="00D92FFA">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493" w:type="pct"/>
            <w:gridSpan w:val="2"/>
            <w:tcBorders>
              <w:bottom w:val="single" w:sz="4" w:space="0" w:color="17365D"/>
            </w:tcBorders>
            <w:shd w:val="clear" w:color="auto" w:fill="B9CDE5"/>
            <w:vAlign w:val="center"/>
            <w:hideMark/>
          </w:tcPr>
          <w:p w14:paraId="79574C7E"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867" w:type="pct"/>
            <w:gridSpan w:val="2"/>
            <w:tcBorders>
              <w:bottom w:val="single" w:sz="4" w:space="0" w:color="17365D"/>
            </w:tcBorders>
            <w:shd w:val="clear" w:color="auto" w:fill="B9CDE5"/>
            <w:vAlign w:val="center"/>
            <w:hideMark/>
          </w:tcPr>
          <w:p w14:paraId="251E6EB1"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793" w:type="pct"/>
            <w:gridSpan w:val="2"/>
            <w:tcBorders>
              <w:bottom w:val="single" w:sz="4" w:space="0" w:color="17365D"/>
            </w:tcBorders>
            <w:shd w:val="clear" w:color="auto" w:fill="B9CDE5"/>
            <w:vAlign w:val="center"/>
            <w:hideMark/>
          </w:tcPr>
          <w:p w14:paraId="1B894BF4"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20" w:type="pct"/>
            <w:gridSpan w:val="2"/>
            <w:tcBorders>
              <w:bottom w:val="single" w:sz="4" w:space="0" w:color="17365D"/>
            </w:tcBorders>
            <w:shd w:val="clear" w:color="auto" w:fill="B9CDE5"/>
            <w:vAlign w:val="center"/>
            <w:hideMark/>
          </w:tcPr>
          <w:p w14:paraId="7D338656" w14:textId="032A41A0"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760" w:type="pct"/>
            <w:gridSpan w:val="2"/>
            <w:tcBorders>
              <w:bottom w:val="single" w:sz="4" w:space="0" w:color="17365D"/>
            </w:tcBorders>
            <w:shd w:val="clear" w:color="auto" w:fill="B9CDE5"/>
            <w:vAlign w:val="center"/>
            <w:hideMark/>
          </w:tcPr>
          <w:p w14:paraId="3CB58203"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615987DB" w14:textId="77777777" w:rsidTr="002F0CB5">
        <w:trPr>
          <w:gridAfter w:val="1"/>
          <w:wAfter w:w="3" w:type="pct"/>
          <w:trHeight w:val="264"/>
          <w:jc w:val="center"/>
        </w:trPr>
        <w:tc>
          <w:tcPr>
            <w:tcW w:w="1364" w:type="pct"/>
            <w:tcBorders>
              <w:top w:val="single" w:sz="4" w:space="0" w:color="17365D"/>
              <w:bottom w:val="single" w:sz="4" w:space="0" w:color="17365D"/>
            </w:tcBorders>
            <w:shd w:val="clear" w:color="auto" w:fill="auto"/>
            <w:vAlign w:val="center"/>
            <w:hideMark/>
          </w:tcPr>
          <w:p w14:paraId="0E2C93C7"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493" w:type="pct"/>
            <w:gridSpan w:val="2"/>
            <w:tcBorders>
              <w:top w:val="single" w:sz="4" w:space="0" w:color="17365D"/>
              <w:bottom w:val="single" w:sz="4" w:space="0" w:color="17365D"/>
            </w:tcBorders>
            <w:shd w:val="clear" w:color="auto" w:fill="auto"/>
            <w:vAlign w:val="center"/>
            <w:hideMark/>
          </w:tcPr>
          <w:p w14:paraId="5F2E02F2"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867" w:type="pct"/>
            <w:gridSpan w:val="2"/>
            <w:tcBorders>
              <w:top w:val="single" w:sz="4" w:space="0" w:color="17365D"/>
              <w:bottom w:val="single" w:sz="4" w:space="0" w:color="17365D"/>
            </w:tcBorders>
            <w:shd w:val="clear" w:color="auto" w:fill="auto"/>
            <w:vAlign w:val="center"/>
            <w:hideMark/>
          </w:tcPr>
          <w:p w14:paraId="0333ECF6"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793" w:type="pct"/>
            <w:gridSpan w:val="2"/>
            <w:tcBorders>
              <w:top w:val="single" w:sz="4" w:space="0" w:color="17365D"/>
              <w:bottom w:val="single" w:sz="4" w:space="0" w:color="17365D"/>
            </w:tcBorders>
            <w:shd w:val="clear" w:color="auto" w:fill="auto"/>
            <w:vAlign w:val="center"/>
            <w:hideMark/>
          </w:tcPr>
          <w:p w14:paraId="7A16542F"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20" w:type="pct"/>
            <w:gridSpan w:val="2"/>
            <w:tcBorders>
              <w:top w:val="single" w:sz="4" w:space="0" w:color="17365D"/>
              <w:bottom w:val="single" w:sz="4" w:space="0" w:color="17365D"/>
            </w:tcBorders>
            <w:shd w:val="clear" w:color="auto" w:fill="auto"/>
            <w:vAlign w:val="center"/>
            <w:hideMark/>
          </w:tcPr>
          <w:p w14:paraId="45A87F78"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760" w:type="pct"/>
            <w:gridSpan w:val="2"/>
            <w:tcBorders>
              <w:top w:val="single" w:sz="4" w:space="0" w:color="17365D"/>
              <w:bottom w:val="single" w:sz="4" w:space="0" w:color="17365D"/>
            </w:tcBorders>
            <w:shd w:val="clear" w:color="auto" w:fill="auto"/>
            <w:vAlign w:val="center"/>
            <w:hideMark/>
          </w:tcPr>
          <w:p w14:paraId="6C2EFAD4"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BD7AB6" w:rsidRPr="00E72168" w14:paraId="6A8FE412" w14:textId="77777777" w:rsidTr="002F0CB5">
        <w:trPr>
          <w:gridAfter w:val="1"/>
          <w:wAfter w:w="3" w:type="pct"/>
          <w:trHeight w:val="264"/>
          <w:jc w:val="center"/>
        </w:trPr>
        <w:tc>
          <w:tcPr>
            <w:tcW w:w="1364" w:type="pct"/>
            <w:tcBorders>
              <w:top w:val="single" w:sz="4" w:space="0" w:color="17365D"/>
              <w:bottom w:val="single" w:sz="4" w:space="0" w:color="17365D"/>
            </w:tcBorders>
            <w:shd w:val="clear" w:color="auto" w:fill="auto"/>
            <w:vAlign w:val="center"/>
            <w:hideMark/>
          </w:tcPr>
          <w:p w14:paraId="42BDCBAD" w14:textId="4151EB46" w:rsidR="00BD7AB6" w:rsidRPr="00E72168" w:rsidRDefault="00BD7AB6" w:rsidP="00BD7AB6">
            <w:pPr>
              <w:spacing w:after="0" w:line="240" w:lineRule="auto"/>
              <w:rPr>
                <w:rFonts w:eastAsia="Times New Roman" w:cs="Times New Roman"/>
                <w:b/>
                <w:color w:val="17365D"/>
                <w:sz w:val="18"/>
                <w:szCs w:val="18"/>
                <w:lang w:eastAsia="lv-LV"/>
              </w:rPr>
            </w:pPr>
            <w:r w:rsidRPr="00E72168">
              <w:rPr>
                <w:rFonts w:cs="Times New Roman"/>
                <w:b/>
                <w:color w:val="17365D"/>
                <w:sz w:val="18"/>
                <w:szCs w:val="18"/>
              </w:rPr>
              <w:t>Bioloģiskie aktīvi lauksaimnieciskajai darbībai</w:t>
            </w:r>
          </w:p>
        </w:tc>
        <w:tc>
          <w:tcPr>
            <w:tcW w:w="493" w:type="pct"/>
            <w:gridSpan w:val="2"/>
            <w:tcBorders>
              <w:top w:val="single" w:sz="4" w:space="0" w:color="17365D"/>
              <w:bottom w:val="single" w:sz="4" w:space="0" w:color="17365D"/>
            </w:tcBorders>
            <w:shd w:val="clear" w:color="auto" w:fill="auto"/>
            <w:vAlign w:val="center"/>
            <w:hideMark/>
          </w:tcPr>
          <w:p w14:paraId="063B9400" w14:textId="1767CC20" w:rsidR="00BD7AB6" w:rsidRPr="00E72168" w:rsidRDefault="00BD7AB6" w:rsidP="00BD7AB6">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KB.1.6.</w:t>
            </w:r>
          </w:p>
        </w:tc>
        <w:tc>
          <w:tcPr>
            <w:tcW w:w="867" w:type="pct"/>
            <w:gridSpan w:val="2"/>
            <w:tcBorders>
              <w:top w:val="single" w:sz="4" w:space="0" w:color="17365D"/>
              <w:bottom w:val="single" w:sz="4" w:space="0" w:color="17365D"/>
            </w:tcBorders>
            <w:shd w:val="clear" w:color="auto" w:fill="auto"/>
            <w:vAlign w:val="center"/>
            <w:hideMark/>
          </w:tcPr>
          <w:p w14:paraId="36A989E9" w14:textId="1F5E4758" w:rsidR="00BD7AB6" w:rsidRPr="00BD7AB6" w:rsidRDefault="00BD7AB6" w:rsidP="00BD7AB6">
            <w:pPr>
              <w:spacing w:after="0" w:line="240" w:lineRule="auto"/>
              <w:jc w:val="right"/>
              <w:rPr>
                <w:rFonts w:eastAsia="Times New Roman" w:cs="Times New Roman"/>
                <w:b/>
                <w:color w:val="17365D"/>
                <w:sz w:val="18"/>
                <w:szCs w:val="18"/>
                <w:lang w:eastAsia="lv-LV"/>
              </w:rPr>
            </w:pPr>
            <w:r w:rsidRPr="00BD7AB6">
              <w:rPr>
                <w:rFonts w:eastAsia="Times New Roman" w:cs="Times New Roman"/>
                <w:b/>
                <w:color w:val="17365D"/>
                <w:sz w:val="18"/>
                <w:szCs w:val="18"/>
                <w:lang w:eastAsia="lv-LV"/>
              </w:rPr>
              <w:t>1 235 305 708</w:t>
            </w:r>
          </w:p>
        </w:tc>
        <w:tc>
          <w:tcPr>
            <w:tcW w:w="793" w:type="pct"/>
            <w:gridSpan w:val="2"/>
            <w:tcBorders>
              <w:top w:val="single" w:sz="4" w:space="0" w:color="17365D"/>
              <w:bottom w:val="single" w:sz="4" w:space="0" w:color="17365D"/>
            </w:tcBorders>
            <w:shd w:val="clear" w:color="auto" w:fill="auto"/>
            <w:vAlign w:val="center"/>
            <w:hideMark/>
          </w:tcPr>
          <w:p w14:paraId="211C752E" w14:textId="03B2EE88" w:rsidR="00BD7AB6" w:rsidRPr="00BD7AB6" w:rsidRDefault="00BD7AB6" w:rsidP="00BD7AB6">
            <w:pPr>
              <w:spacing w:after="0" w:line="240" w:lineRule="auto"/>
              <w:jc w:val="right"/>
              <w:rPr>
                <w:rFonts w:eastAsia="Times New Roman" w:cs="Times New Roman"/>
                <w:b/>
                <w:color w:val="17365D"/>
                <w:sz w:val="18"/>
                <w:szCs w:val="18"/>
                <w:lang w:eastAsia="lv-LV"/>
              </w:rPr>
            </w:pPr>
            <w:r w:rsidRPr="00BD7AB6">
              <w:rPr>
                <w:rFonts w:eastAsia="Times New Roman" w:cs="Times New Roman"/>
                <w:b/>
                <w:color w:val="17365D"/>
                <w:sz w:val="18"/>
                <w:szCs w:val="18"/>
                <w:lang w:eastAsia="lv-LV"/>
              </w:rPr>
              <w:t>1 224 042 637</w:t>
            </w:r>
          </w:p>
        </w:tc>
        <w:tc>
          <w:tcPr>
            <w:tcW w:w="720" w:type="pct"/>
            <w:gridSpan w:val="2"/>
            <w:tcBorders>
              <w:top w:val="single" w:sz="4" w:space="0" w:color="17365D"/>
              <w:bottom w:val="single" w:sz="4" w:space="0" w:color="17365D"/>
            </w:tcBorders>
            <w:shd w:val="clear" w:color="auto" w:fill="auto"/>
            <w:noWrap/>
            <w:vAlign w:val="center"/>
            <w:hideMark/>
          </w:tcPr>
          <w:p w14:paraId="5BC82EC4" w14:textId="74353C90" w:rsidR="00BD7AB6" w:rsidRPr="00BD7AB6" w:rsidRDefault="00BD7AB6" w:rsidP="00BD7AB6">
            <w:pPr>
              <w:spacing w:after="0" w:line="240" w:lineRule="auto"/>
              <w:jc w:val="right"/>
              <w:rPr>
                <w:rFonts w:eastAsia="Times New Roman" w:cs="Times New Roman"/>
                <w:b/>
                <w:color w:val="17365D"/>
                <w:sz w:val="18"/>
                <w:szCs w:val="18"/>
                <w:lang w:eastAsia="lv-LV"/>
              </w:rPr>
            </w:pPr>
            <w:r w:rsidRPr="00BD7AB6">
              <w:rPr>
                <w:rFonts w:eastAsia="Times New Roman" w:cs="Times New Roman"/>
                <w:b/>
                <w:color w:val="17365D"/>
                <w:sz w:val="18"/>
                <w:szCs w:val="18"/>
                <w:lang w:eastAsia="lv-LV"/>
              </w:rPr>
              <w:t>11 263 071</w:t>
            </w:r>
          </w:p>
        </w:tc>
        <w:tc>
          <w:tcPr>
            <w:tcW w:w="760" w:type="pct"/>
            <w:gridSpan w:val="2"/>
            <w:tcBorders>
              <w:top w:val="single" w:sz="4" w:space="0" w:color="17365D"/>
              <w:bottom w:val="single" w:sz="4" w:space="0" w:color="17365D"/>
            </w:tcBorders>
            <w:shd w:val="clear" w:color="auto" w:fill="auto"/>
            <w:noWrap/>
            <w:vAlign w:val="center"/>
            <w:hideMark/>
          </w:tcPr>
          <w:p w14:paraId="29B6F2DD" w14:textId="6422FA45" w:rsidR="00BD7AB6" w:rsidRPr="00BD7AB6" w:rsidRDefault="00BD7AB6" w:rsidP="00BD7AB6">
            <w:pPr>
              <w:spacing w:after="0" w:line="240" w:lineRule="auto"/>
              <w:jc w:val="right"/>
              <w:rPr>
                <w:rFonts w:eastAsia="Times New Roman" w:cs="Times New Roman"/>
                <w:b/>
                <w:color w:val="17365D"/>
                <w:sz w:val="18"/>
                <w:szCs w:val="18"/>
                <w:lang w:eastAsia="lv-LV"/>
              </w:rPr>
            </w:pPr>
            <w:r w:rsidRPr="00BD7AB6">
              <w:rPr>
                <w:rFonts w:eastAsia="Times New Roman" w:cs="Times New Roman"/>
                <w:b/>
                <w:color w:val="17365D"/>
                <w:sz w:val="18"/>
                <w:szCs w:val="18"/>
                <w:lang w:eastAsia="lv-LV"/>
              </w:rPr>
              <w:t>0.92</w:t>
            </w:r>
          </w:p>
        </w:tc>
      </w:tr>
      <w:tr w:rsidR="000C1009" w:rsidRPr="00E72168" w14:paraId="1731D344" w14:textId="77777777" w:rsidTr="002F0CB5">
        <w:trPr>
          <w:trHeight w:val="202"/>
          <w:jc w:val="center"/>
        </w:trPr>
        <w:tc>
          <w:tcPr>
            <w:tcW w:w="1487" w:type="pct"/>
            <w:gridSpan w:val="2"/>
            <w:tcBorders>
              <w:top w:val="single" w:sz="4" w:space="0" w:color="17365D"/>
            </w:tcBorders>
            <w:shd w:val="clear" w:color="auto" w:fill="B9CDE5"/>
            <w:vAlign w:val="center"/>
          </w:tcPr>
          <w:p w14:paraId="44D3DB29" w14:textId="77777777" w:rsidR="002B58FA" w:rsidRPr="00E72168" w:rsidRDefault="002B58FA" w:rsidP="00D92FFA">
            <w:pPr>
              <w:spacing w:after="0" w:line="240" w:lineRule="auto"/>
              <w:rPr>
                <w:rFonts w:eastAsia="Times New Roman" w:cs="Times New Roman"/>
                <w:color w:val="17365D"/>
                <w:sz w:val="18"/>
                <w:szCs w:val="18"/>
                <w:lang w:eastAsia="lv-LV"/>
              </w:rPr>
            </w:pPr>
          </w:p>
        </w:tc>
        <w:tc>
          <w:tcPr>
            <w:tcW w:w="520" w:type="pct"/>
            <w:gridSpan w:val="2"/>
            <w:tcBorders>
              <w:top w:val="single" w:sz="4" w:space="0" w:color="17365D"/>
            </w:tcBorders>
            <w:shd w:val="clear" w:color="auto" w:fill="B9CDE5"/>
            <w:noWrap/>
            <w:vAlign w:val="center"/>
          </w:tcPr>
          <w:p w14:paraId="0E8B91A2" w14:textId="77777777" w:rsidR="002B58FA" w:rsidRPr="00E72168" w:rsidRDefault="002B58FA" w:rsidP="00D92FFA">
            <w:pPr>
              <w:spacing w:after="0" w:line="240" w:lineRule="auto"/>
              <w:jc w:val="center"/>
              <w:rPr>
                <w:rFonts w:eastAsia="Times New Roman" w:cs="Times New Roman"/>
                <w:color w:val="17365D"/>
                <w:sz w:val="18"/>
                <w:szCs w:val="18"/>
                <w:lang w:eastAsia="lv-LV"/>
              </w:rPr>
            </w:pPr>
          </w:p>
        </w:tc>
        <w:tc>
          <w:tcPr>
            <w:tcW w:w="868" w:type="pct"/>
            <w:gridSpan w:val="2"/>
            <w:tcBorders>
              <w:top w:val="single" w:sz="4" w:space="0" w:color="17365D"/>
            </w:tcBorders>
            <w:shd w:val="clear" w:color="auto" w:fill="B9CDE5"/>
            <w:noWrap/>
            <w:vAlign w:val="center"/>
          </w:tcPr>
          <w:p w14:paraId="1B5EB03F" w14:textId="77777777" w:rsidR="002B58FA" w:rsidRPr="00E72168" w:rsidRDefault="002B58FA" w:rsidP="00D92FFA">
            <w:pPr>
              <w:spacing w:after="0" w:line="240" w:lineRule="auto"/>
              <w:jc w:val="right"/>
              <w:rPr>
                <w:rFonts w:eastAsia="Times New Roman" w:cs="Times New Roman"/>
                <w:color w:val="17365D"/>
                <w:sz w:val="18"/>
                <w:szCs w:val="18"/>
                <w:lang w:eastAsia="lv-LV"/>
              </w:rPr>
            </w:pPr>
          </w:p>
        </w:tc>
        <w:tc>
          <w:tcPr>
            <w:tcW w:w="782" w:type="pct"/>
            <w:gridSpan w:val="2"/>
            <w:tcBorders>
              <w:top w:val="single" w:sz="4" w:space="0" w:color="17365D"/>
            </w:tcBorders>
            <w:shd w:val="clear" w:color="auto" w:fill="B9CDE5"/>
            <w:noWrap/>
            <w:vAlign w:val="center"/>
          </w:tcPr>
          <w:p w14:paraId="1A9C23CD" w14:textId="77777777" w:rsidR="002B58FA" w:rsidRPr="00E72168" w:rsidRDefault="002B58FA" w:rsidP="00D92FFA">
            <w:pPr>
              <w:spacing w:after="0" w:line="240" w:lineRule="auto"/>
              <w:jc w:val="right"/>
              <w:rPr>
                <w:rFonts w:eastAsia="Times New Roman" w:cs="Times New Roman"/>
                <w:color w:val="17365D"/>
                <w:sz w:val="18"/>
                <w:szCs w:val="18"/>
                <w:lang w:eastAsia="lv-LV"/>
              </w:rPr>
            </w:pPr>
          </w:p>
        </w:tc>
        <w:tc>
          <w:tcPr>
            <w:tcW w:w="623" w:type="pct"/>
            <w:gridSpan w:val="2"/>
            <w:tcBorders>
              <w:top w:val="single" w:sz="4" w:space="0" w:color="17365D"/>
            </w:tcBorders>
            <w:shd w:val="clear" w:color="auto" w:fill="B9CDE5"/>
            <w:noWrap/>
            <w:vAlign w:val="center"/>
          </w:tcPr>
          <w:p w14:paraId="73162AD0" w14:textId="77777777" w:rsidR="002B58FA" w:rsidRPr="00E72168" w:rsidRDefault="002B58FA" w:rsidP="00D92FFA">
            <w:pPr>
              <w:spacing w:after="0" w:line="240" w:lineRule="auto"/>
              <w:jc w:val="right"/>
              <w:rPr>
                <w:rFonts w:eastAsia="Times New Roman" w:cs="Times New Roman"/>
                <w:color w:val="17365D"/>
                <w:sz w:val="18"/>
                <w:szCs w:val="18"/>
                <w:lang w:eastAsia="lv-LV"/>
              </w:rPr>
            </w:pPr>
          </w:p>
        </w:tc>
        <w:tc>
          <w:tcPr>
            <w:tcW w:w="720" w:type="pct"/>
            <w:gridSpan w:val="2"/>
            <w:tcBorders>
              <w:top w:val="single" w:sz="4" w:space="0" w:color="17365D"/>
            </w:tcBorders>
            <w:shd w:val="clear" w:color="auto" w:fill="B9CDE5"/>
            <w:noWrap/>
            <w:vAlign w:val="center"/>
          </w:tcPr>
          <w:p w14:paraId="3475685F" w14:textId="77777777" w:rsidR="002B58FA" w:rsidRPr="00E72168" w:rsidRDefault="002B58FA" w:rsidP="00D92FFA">
            <w:pPr>
              <w:spacing w:after="0" w:line="240" w:lineRule="auto"/>
              <w:jc w:val="right"/>
              <w:rPr>
                <w:rFonts w:eastAsia="Times New Roman" w:cs="Times New Roman"/>
                <w:color w:val="17365D"/>
                <w:sz w:val="18"/>
                <w:szCs w:val="18"/>
                <w:lang w:eastAsia="lv-LV"/>
              </w:rPr>
            </w:pPr>
          </w:p>
        </w:tc>
      </w:tr>
    </w:tbl>
    <w:p w14:paraId="37ED389F" w14:textId="4E7CAF70" w:rsidR="00D077C2" w:rsidRPr="00643578" w:rsidRDefault="00D23F23" w:rsidP="00C93A9C">
      <w:pPr>
        <w:spacing w:before="240" w:after="120" w:line="240" w:lineRule="auto"/>
        <w:ind w:firstLine="284"/>
        <w:jc w:val="both"/>
        <w:rPr>
          <w:rFonts w:cs="Times New Roman"/>
          <w:bCs/>
          <w:color w:val="17365D"/>
        </w:rPr>
      </w:pPr>
      <w:r w:rsidRPr="00643578">
        <w:rPr>
          <w:rFonts w:cs="Times New Roman"/>
          <w:bCs/>
          <w:color w:val="17365D"/>
        </w:rPr>
        <w:t>Šajā pos</w:t>
      </w:r>
      <w:r w:rsidR="003F15C6" w:rsidRPr="00643578">
        <w:rPr>
          <w:rFonts w:cs="Times New Roman"/>
          <w:bCs/>
          <w:color w:val="17365D"/>
        </w:rPr>
        <w:t>t</w:t>
      </w:r>
      <w:r w:rsidRPr="00643578">
        <w:rPr>
          <w:rFonts w:cs="Times New Roman"/>
          <w:bCs/>
          <w:color w:val="17365D"/>
        </w:rPr>
        <w:t>enī uzskaitīti</w:t>
      </w:r>
      <w:r w:rsidR="00146B5D" w:rsidRPr="00643578">
        <w:rPr>
          <w:rFonts w:cs="Times New Roman"/>
          <w:bCs/>
          <w:color w:val="17365D"/>
        </w:rPr>
        <w:t xml:space="preserve"> bioloģiskie aktīvi, ku</w:t>
      </w:r>
      <w:r w:rsidR="00D077C2" w:rsidRPr="00643578">
        <w:rPr>
          <w:rFonts w:cs="Times New Roman"/>
          <w:bCs/>
          <w:color w:val="17365D"/>
        </w:rPr>
        <w:t>r</w:t>
      </w:r>
      <w:r w:rsidR="00146B5D" w:rsidRPr="00643578">
        <w:rPr>
          <w:rFonts w:cs="Times New Roman"/>
          <w:bCs/>
          <w:color w:val="17365D"/>
        </w:rPr>
        <w:t xml:space="preserve">us </w:t>
      </w:r>
      <w:r w:rsidR="00D077C2" w:rsidRPr="00643578">
        <w:rPr>
          <w:rFonts w:cs="Times New Roman"/>
          <w:bCs/>
          <w:color w:val="17365D"/>
        </w:rPr>
        <w:t xml:space="preserve">budžeta iestādes </w:t>
      </w:r>
      <w:r w:rsidR="00146B5D" w:rsidRPr="00643578">
        <w:rPr>
          <w:rFonts w:cs="Times New Roman"/>
          <w:bCs/>
          <w:color w:val="17365D"/>
        </w:rPr>
        <w:t>izmanto plānveidīgai darbībai lauksaimniecībā, zivsaimniecībā un mežsaimniecībā ieņēmumu gūšanai</w:t>
      </w:r>
      <w:r w:rsidR="00D077C2" w:rsidRPr="00643578">
        <w:rPr>
          <w:rFonts w:cs="Times New Roman"/>
          <w:bCs/>
          <w:color w:val="17365D"/>
        </w:rPr>
        <w:t>.</w:t>
      </w:r>
    </w:p>
    <w:p w14:paraId="168C132C" w14:textId="13036B5B" w:rsidR="003F15C6" w:rsidRPr="00643578" w:rsidRDefault="00D23F23" w:rsidP="00060622">
      <w:pPr>
        <w:pStyle w:val="Pamatteksts1"/>
      </w:pPr>
      <w:r w:rsidRPr="00643578">
        <w:t xml:space="preserve">Pārskata periodā posteņa vērtība pieaugusi </w:t>
      </w:r>
      <w:r w:rsidR="003F15C6" w:rsidRPr="00643578">
        <w:t xml:space="preserve">aktīvu pārvērtēšanas rezultātā, galvenokārt par Zemkopības ministrijas uzskaitē esošo un VAS “Latvijas Valsts meži” turējumā nodoto mežaudžu vērtības izmaiņām </w:t>
      </w:r>
      <w:r w:rsidR="00643578" w:rsidRPr="00643578">
        <w:t>9,6 milj.</w:t>
      </w:r>
      <w:r w:rsidR="001E437B" w:rsidRPr="00643578">
        <w:t xml:space="preserve"> </w:t>
      </w:r>
      <w:r w:rsidR="003F15C6" w:rsidRPr="00643578">
        <w:rPr>
          <w:i/>
        </w:rPr>
        <w:t>euro</w:t>
      </w:r>
      <w:r w:rsidR="00643578" w:rsidRPr="00643578">
        <w:t xml:space="preserve"> apmērā.</w:t>
      </w:r>
    </w:p>
    <w:p w14:paraId="0A00714D" w14:textId="252B45DB" w:rsidR="003E4135" w:rsidRPr="00E72168" w:rsidRDefault="00D41F06" w:rsidP="008515BB">
      <w:pPr>
        <w:pStyle w:val="Heading3"/>
      </w:pPr>
      <w:r w:rsidRPr="00E72168">
        <w:t>Apgrozāmie līdzekļi</w:t>
      </w:r>
      <w:r w:rsidR="00724752" w:rsidRPr="00E72168">
        <w:t xml:space="preserve"> </w:t>
      </w:r>
    </w:p>
    <w:p w14:paraId="4E074B0C" w14:textId="5A58DBF9" w:rsidR="00616585" w:rsidRDefault="00616585" w:rsidP="00060622">
      <w:pPr>
        <w:pStyle w:val="Pamatteksts1"/>
      </w:pPr>
      <w:r w:rsidRPr="00E72168">
        <w:t>Apgrozāmie līdzekļi konsolidēti par valsts un pašvaldību budžeta iestāžu un valsts budžeta finanšu uzskaites savstarpējiem atlikumiem.</w:t>
      </w:r>
    </w:p>
    <w:p w14:paraId="08D6EE6B" w14:textId="7DF172C3" w:rsidR="00CA2DC5" w:rsidRPr="00E72168" w:rsidRDefault="00B539A5" w:rsidP="007B7C14">
      <w:pPr>
        <w:pStyle w:val="Heading4"/>
        <w:spacing w:after="0"/>
        <w:rPr>
          <w:rFonts w:cs="Times New Roman"/>
        </w:rPr>
      </w:pPr>
      <w:r w:rsidRPr="00E72168">
        <w:rPr>
          <w:rFonts w:cs="Times New Roman"/>
        </w:rPr>
        <w:t xml:space="preserve">Piezīme Nr. </w:t>
      </w:r>
      <w:r w:rsidR="00D41F06" w:rsidRPr="00E72168">
        <w:rPr>
          <w:rFonts w:cs="Times New Roman"/>
        </w:rPr>
        <w:t>KB.</w:t>
      </w:r>
      <w:r w:rsidR="00F73CE6" w:rsidRPr="00E72168">
        <w:rPr>
          <w:rFonts w:cs="Times New Roman"/>
        </w:rPr>
        <w:t>2.1</w:t>
      </w:r>
      <w:r w:rsidR="00D41F06" w:rsidRPr="00E72168">
        <w:rPr>
          <w:rFonts w:cs="Times New Roman"/>
        </w:rPr>
        <w:t>. Krājumi</w:t>
      </w:r>
    </w:p>
    <w:p w14:paraId="3885374B" w14:textId="70739110" w:rsidR="00025567" w:rsidRPr="00E72168" w:rsidRDefault="003B30FD" w:rsidP="00324AC5">
      <w:pPr>
        <w:pStyle w:val="Tabnosauk"/>
      </w:pPr>
      <w:r>
        <w:t>1.</w:t>
      </w:r>
      <w:r w:rsidR="00854AC6">
        <w:t>10</w:t>
      </w:r>
      <w:r w:rsidR="00025567" w:rsidRPr="00E72168">
        <w:t>. tabula. Krājumi (euro)</w:t>
      </w:r>
    </w:p>
    <w:tbl>
      <w:tblPr>
        <w:tblW w:w="5016" w:type="pct"/>
        <w:jc w:val="center"/>
        <w:tblLayout w:type="fixed"/>
        <w:tblLook w:val="04A0" w:firstRow="1" w:lastRow="0" w:firstColumn="1" w:lastColumn="0" w:noHBand="0" w:noVBand="1"/>
      </w:tblPr>
      <w:tblGrid>
        <w:gridCol w:w="2268"/>
        <w:gridCol w:w="1275"/>
        <w:gridCol w:w="1560"/>
        <w:gridCol w:w="1560"/>
        <w:gridCol w:w="1505"/>
        <w:gridCol w:w="1216"/>
      </w:tblGrid>
      <w:tr w:rsidR="000C1009" w:rsidRPr="00E72168" w14:paraId="2F2D0B1A" w14:textId="77777777" w:rsidTr="009A4177">
        <w:trPr>
          <w:trHeight w:val="684"/>
          <w:tblHeader/>
          <w:jc w:val="center"/>
        </w:trPr>
        <w:tc>
          <w:tcPr>
            <w:tcW w:w="1208" w:type="pct"/>
            <w:tcBorders>
              <w:bottom w:val="single" w:sz="4" w:space="0" w:color="17365D"/>
            </w:tcBorders>
            <w:shd w:val="clear" w:color="auto" w:fill="B9CDE5"/>
            <w:vAlign w:val="center"/>
            <w:hideMark/>
          </w:tcPr>
          <w:p w14:paraId="47C3FA3F" w14:textId="6A38CCCB" w:rsidR="00751550" w:rsidRPr="00E72168" w:rsidRDefault="007611AA" w:rsidP="008C7015">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679" w:type="pct"/>
            <w:tcBorders>
              <w:bottom w:val="single" w:sz="4" w:space="0" w:color="17365D"/>
            </w:tcBorders>
            <w:shd w:val="clear" w:color="auto" w:fill="B9CDE5"/>
            <w:vAlign w:val="center"/>
            <w:hideMark/>
          </w:tcPr>
          <w:p w14:paraId="44641A67"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831" w:type="pct"/>
            <w:tcBorders>
              <w:bottom w:val="single" w:sz="4" w:space="0" w:color="17365D"/>
            </w:tcBorders>
            <w:shd w:val="clear" w:color="auto" w:fill="B9CDE5"/>
            <w:vAlign w:val="center"/>
            <w:hideMark/>
          </w:tcPr>
          <w:p w14:paraId="7B7B9A0A" w14:textId="77777777" w:rsidR="00F23E8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Pārskata </w:t>
            </w:r>
          </w:p>
          <w:p w14:paraId="4F55C140" w14:textId="0DB88965"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perioda beigās</w:t>
            </w:r>
          </w:p>
        </w:tc>
        <w:tc>
          <w:tcPr>
            <w:tcW w:w="831" w:type="pct"/>
            <w:tcBorders>
              <w:bottom w:val="single" w:sz="4" w:space="0" w:color="17365D"/>
            </w:tcBorders>
            <w:shd w:val="clear" w:color="auto" w:fill="B9CDE5"/>
            <w:vAlign w:val="center"/>
            <w:hideMark/>
          </w:tcPr>
          <w:p w14:paraId="27E39A4E" w14:textId="4412A475"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w:t>
            </w:r>
            <w:r w:rsidR="00D50D19" w:rsidRPr="00E72168">
              <w:rPr>
                <w:rFonts w:eastAsia="Times New Roman" w:cs="Times New Roman"/>
                <w:b/>
                <w:color w:val="17365D"/>
                <w:sz w:val="18"/>
                <w:szCs w:val="18"/>
                <w:lang w:eastAsia="lv-LV"/>
              </w:rPr>
              <w:t xml:space="preserve"> </w:t>
            </w:r>
            <w:r w:rsidRPr="00E72168">
              <w:rPr>
                <w:rFonts w:eastAsia="Times New Roman" w:cs="Times New Roman"/>
                <w:b/>
                <w:color w:val="17365D"/>
                <w:sz w:val="18"/>
                <w:szCs w:val="18"/>
                <w:lang w:eastAsia="lv-LV"/>
              </w:rPr>
              <w:t>perioda sākumā</w:t>
            </w:r>
          </w:p>
        </w:tc>
        <w:tc>
          <w:tcPr>
            <w:tcW w:w="802" w:type="pct"/>
            <w:tcBorders>
              <w:bottom w:val="single" w:sz="4" w:space="0" w:color="17365D"/>
            </w:tcBorders>
            <w:shd w:val="clear" w:color="auto" w:fill="B9CDE5"/>
            <w:vAlign w:val="center"/>
            <w:hideMark/>
          </w:tcPr>
          <w:p w14:paraId="61A364F2" w14:textId="1560325B"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48" w:type="pct"/>
            <w:tcBorders>
              <w:bottom w:val="single" w:sz="4" w:space="0" w:color="17365D"/>
            </w:tcBorders>
            <w:shd w:val="clear" w:color="auto" w:fill="B9CDE5"/>
            <w:vAlign w:val="center"/>
            <w:hideMark/>
          </w:tcPr>
          <w:p w14:paraId="5464841C"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7565A4BB" w14:textId="77777777" w:rsidTr="00B7000B">
        <w:trPr>
          <w:trHeight w:val="240"/>
          <w:jc w:val="center"/>
        </w:trPr>
        <w:tc>
          <w:tcPr>
            <w:tcW w:w="1208" w:type="pct"/>
            <w:tcBorders>
              <w:top w:val="single" w:sz="4" w:space="0" w:color="17365D"/>
              <w:bottom w:val="single" w:sz="4" w:space="0" w:color="17365D"/>
            </w:tcBorders>
            <w:shd w:val="clear" w:color="auto" w:fill="auto"/>
            <w:vAlign w:val="center"/>
            <w:hideMark/>
          </w:tcPr>
          <w:p w14:paraId="6E0FB19E"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679" w:type="pct"/>
            <w:tcBorders>
              <w:top w:val="single" w:sz="4" w:space="0" w:color="17365D"/>
              <w:bottom w:val="single" w:sz="4" w:space="0" w:color="17365D"/>
            </w:tcBorders>
            <w:shd w:val="clear" w:color="auto" w:fill="auto"/>
            <w:vAlign w:val="center"/>
            <w:hideMark/>
          </w:tcPr>
          <w:p w14:paraId="6B1DFE0C"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831" w:type="pct"/>
            <w:tcBorders>
              <w:top w:val="single" w:sz="4" w:space="0" w:color="17365D"/>
              <w:bottom w:val="single" w:sz="4" w:space="0" w:color="17365D"/>
            </w:tcBorders>
            <w:shd w:val="clear" w:color="auto" w:fill="auto"/>
            <w:vAlign w:val="center"/>
            <w:hideMark/>
          </w:tcPr>
          <w:p w14:paraId="78A7F1BD"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831" w:type="pct"/>
            <w:tcBorders>
              <w:top w:val="single" w:sz="4" w:space="0" w:color="17365D"/>
              <w:bottom w:val="single" w:sz="4" w:space="0" w:color="17365D"/>
            </w:tcBorders>
            <w:shd w:val="clear" w:color="auto" w:fill="auto"/>
            <w:vAlign w:val="center"/>
            <w:hideMark/>
          </w:tcPr>
          <w:p w14:paraId="5DF1E8B4"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802" w:type="pct"/>
            <w:tcBorders>
              <w:top w:val="single" w:sz="4" w:space="0" w:color="17365D"/>
              <w:bottom w:val="single" w:sz="4" w:space="0" w:color="17365D"/>
            </w:tcBorders>
            <w:shd w:val="clear" w:color="auto" w:fill="auto"/>
            <w:vAlign w:val="center"/>
            <w:hideMark/>
          </w:tcPr>
          <w:p w14:paraId="247923C6"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48" w:type="pct"/>
            <w:tcBorders>
              <w:top w:val="single" w:sz="4" w:space="0" w:color="17365D"/>
              <w:bottom w:val="single" w:sz="4" w:space="0" w:color="17365D"/>
            </w:tcBorders>
            <w:shd w:val="clear" w:color="auto" w:fill="auto"/>
            <w:vAlign w:val="center"/>
            <w:hideMark/>
          </w:tcPr>
          <w:p w14:paraId="565E295C"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B76E8B" w:rsidRPr="00E72168" w14:paraId="28E23C7F" w14:textId="77777777" w:rsidTr="00B76E8B">
        <w:trPr>
          <w:trHeight w:val="325"/>
          <w:jc w:val="center"/>
        </w:trPr>
        <w:tc>
          <w:tcPr>
            <w:tcW w:w="1208" w:type="pct"/>
            <w:tcBorders>
              <w:top w:val="single" w:sz="4" w:space="0" w:color="17365D"/>
              <w:bottom w:val="single" w:sz="4" w:space="0" w:color="17365D"/>
            </w:tcBorders>
            <w:shd w:val="clear" w:color="auto" w:fill="auto"/>
            <w:vAlign w:val="center"/>
            <w:hideMark/>
          </w:tcPr>
          <w:p w14:paraId="576D92DE" w14:textId="05C2FB47" w:rsidR="00B76E8B" w:rsidRPr="00E72168" w:rsidRDefault="00B76E8B" w:rsidP="00B76E8B">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Krājumi</w:t>
            </w:r>
          </w:p>
        </w:tc>
        <w:tc>
          <w:tcPr>
            <w:tcW w:w="679" w:type="pct"/>
            <w:tcBorders>
              <w:top w:val="single" w:sz="4" w:space="0" w:color="17365D"/>
              <w:bottom w:val="single" w:sz="4" w:space="0" w:color="17365D"/>
            </w:tcBorders>
            <w:shd w:val="clear" w:color="auto" w:fill="auto"/>
            <w:vAlign w:val="center"/>
            <w:hideMark/>
          </w:tcPr>
          <w:p w14:paraId="21A82F15" w14:textId="6F574A85" w:rsidR="00B76E8B" w:rsidRPr="00E72168" w:rsidRDefault="00B76E8B" w:rsidP="00B76E8B">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KB.2.1.</w:t>
            </w:r>
          </w:p>
        </w:tc>
        <w:tc>
          <w:tcPr>
            <w:tcW w:w="831" w:type="pct"/>
            <w:tcBorders>
              <w:top w:val="single" w:sz="4" w:space="0" w:color="17365D"/>
              <w:bottom w:val="single" w:sz="4" w:space="0" w:color="17365D"/>
            </w:tcBorders>
            <w:shd w:val="clear" w:color="auto" w:fill="auto"/>
            <w:noWrap/>
            <w:vAlign w:val="center"/>
            <w:hideMark/>
          </w:tcPr>
          <w:p w14:paraId="4C2309B3" w14:textId="6AD6352C" w:rsidR="00B76E8B" w:rsidRPr="00B76E8B" w:rsidRDefault="00B76E8B" w:rsidP="00B76E8B">
            <w:pPr>
              <w:spacing w:after="0" w:line="240" w:lineRule="auto"/>
              <w:jc w:val="right"/>
              <w:rPr>
                <w:rFonts w:eastAsia="Times New Roman" w:cs="Times New Roman"/>
                <w:b/>
                <w:color w:val="17365D"/>
                <w:sz w:val="18"/>
                <w:szCs w:val="18"/>
                <w:lang w:eastAsia="lv-LV"/>
              </w:rPr>
            </w:pPr>
            <w:r w:rsidRPr="00B76E8B">
              <w:rPr>
                <w:rFonts w:eastAsia="Times New Roman" w:cs="Times New Roman"/>
                <w:b/>
                <w:color w:val="17365D"/>
                <w:sz w:val="18"/>
                <w:szCs w:val="18"/>
                <w:lang w:eastAsia="lv-LV"/>
              </w:rPr>
              <w:t>1 777 588 681</w:t>
            </w:r>
          </w:p>
        </w:tc>
        <w:tc>
          <w:tcPr>
            <w:tcW w:w="831" w:type="pct"/>
            <w:tcBorders>
              <w:top w:val="single" w:sz="4" w:space="0" w:color="17365D"/>
              <w:bottom w:val="single" w:sz="4" w:space="0" w:color="17365D"/>
            </w:tcBorders>
            <w:shd w:val="clear" w:color="auto" w:fill="auto"/>
            <w:noWrap/>
            <w:vAlign w:val="center"/>
            <w:hideMark/>
          </w:tcPr>
          <w:p w14:paraId="77380665" w14:textId="69C592C5" w:rsidR="00B76E8B" w:rsidRPr="00B76E8B" w:rsidRDefault="00B76E8B" w:rsidP="00B76E8B">
            <w:pPr>
              <w:spacing w:after="0" w:line="240" w:lineRule="auto"/>
              <w:jc w:val="right"/>
              <w:rPr>
                <w:rFonts w:eastAsia="Times New Roman" w:cs="Times New Roman"/>
                <w:b/>
                <w:color w:val="17365D"/>
                <w:sz w:val="18"/>
                <w:szCs w:val="18"/>
                <w:lang w:eastAsia="lv-LV"/>
              </w:rPr>
            </w:pPr>
            <w:r w:rsidRPr="00B76E8B">
              <w:rPr>
                <w:rFonts w:eastAsia="Times New Roman" w:cs="Times New Roman"/>
                <w:b/>
                <w:color w:val="17365D"/>
                <w:sz w:val="18"/>
                <w:szCs w:val="18"/>
                <w:lang w:eastAsia="lv-LV"/>
              </w:rPr>
              <w:t>1 545 556 703</w:t>
            </w:r>
          </w:p>
        </w:tc>
        <w:tc>
          <w:tcPr>
            <w:tcW w:w="802" w:type="pct"/>
            <w:tcBorders>
              <w:top w:val="single" w:sz="4" w:space="0" w:color="17365D"/>
              <w:bottom w:val="single" w:sz="4" w:space="0" w:color="17365D"/>
            </w:tcBorders>
            <w:shd w:val="clear" w:color="auto" w:fill="auto"/>
            <w:noWrap/>
            <w:vAlign w:val="center"/>
            <w:hideMark/>
          </w:tcPr>
          <w:p w14:paraId="3B5A3FE3" w14:textId="1CA993C1" w:rsidR="00B76E8B" w:rsidRPr="00B76E8B" w:rsidRDefault="00B76E8B" w:rsidP="00B76E8B">
            <w:pPr>
              <w:spacing w:after="0" w:line="240" w:lineRule="auto"/>
              <w:jc w:val="right"/>
              <w:rPr>
                <w:rFonts w:eastAsia="Times New Roman" w:cs="Times New Roman"/>
                <w:b/>
                <w:color w:val="17365D"/>
                <w:sz w:val="18"/>
                <w:szCs w:val="18"/>
                <w:lang w:eastAsia="lv-LV"/>
              </w:rPr>
            </w:pPr>
            <w:r w:rsidRPr="00B76E8B">
              <w:rPr>
                <w:rFonts w:eastAsia="Times New Roman" w:cs="Times New Roman"/>
                <w:b/>
                <w:color w:val="17365D"/>
                <w:sz w:val="18"/>
                <w:szCs w:val="18"/>
                <w:lang w:eastAsia="lv-LV"/>
              </w:rPr>
              <w:t>232 031 978</w:t>
            </w:r>
          </w:p>
        </w:tc>
        <w:tc>
          <w:tcPr>
            <w:tcW w:w="648" w:type="pct"/>
            <w:tcBorders>
              <w:top w:val="single" w:sz="4" w:space="0" w:color="17365D"/>
              <w:bottom w:val="single" w:sz="4" w:space="0" w:color="17365D"/>
            </w:tcBorders>
            <w:shd w:val="clear" w:color="auto" w:fill="auto"/>
            <w:noWrap/>
            <w:vAlign w:val="center"/>
            <w:hideMark/>
          </w:tcPr>
          <w:p w14:paraId="1051B039" w14:textId="093C615D" w:rsidR="00B76E8B" w:rsidRPr="00B76E8B" w:rsidRDefault="00B76E8B" w:rsidP="00B76E8B">
            <w:pPr>
              <w:spacing w:after="0" w:line="240" w:lineRule="auto"/>
              <w:jc w:val="right"/>
              <w:rPr>
                <w:rFonts w:eastAsia="Times New Roman" w:cs="Times New Roman"/>
                <w:b/>
                <w:color w:val="17365D"/>
                <w:sz w:val="18"/>
                <w:szCs w:val="18"/>
                <w:lang w:eastAsia="lv-LV"/>
              </w:rPr>
            </w:pPr>
            <w:r w:rsidRPr="00B76E8B">
              <w:rPr>
                <w:rFonts w:eastAsia="Times New Roman" w:cs="Times New Roman"/>
                <w:b/>
                <w:color w:val="17365D"/>
                <w:sz w:val="18"/>
                <w:szCs w:val="18"/>
                <w:lang w:eastAsia="lv-LV"/>
              </w:rPr>
              <w:t>15.01</w:t>
            </w:r>
          </w:p>
        </w:tc>
      </w:tr>
      <w:tr w:rsidR="000C1009" w:rsidRPr="00E72168" w14:paraId="1FF07C94" w14:textId="77777777" w:rsidTr="00B7000B">
        <w:trPr>
          <w:trHeight w:val="56"/>
          <w:jc w:val="center"/>
        </w:trPr>
        <w:tc>
          <w:tcPr>
            <w:tcW w:w="1208" w:type="pct"/>
            <w:tcBorders>
              <w:top w:val="single" w:sz="4" w:space="0" w:color="17365D"/>
            </w:tcBorders>
            <w:shd w:val="clear" w:color="auto" w:fill="B9CDE5"/>
            <w:vAlign w:val="center"/>
          </w:tcPr>
          <w:p w14:paraId="0A379A0C" w14:textId="77777777" w:rsidR="00751550" w:rsidRPr="00E72168" w:rsidRDefault="00751550" w:rsidP="008C7015">
            <w:pPr>
              <w:spacing w:after="0"/>
              <w:rPr>
                <w:rFonts w:eastAsia="Times New Roman" w:cs="Times New Roman"/>
                <w:color w:val="17365D"/>
                <w:sz w:val="16"/>
                <w:szCs w:val="18"/>
                <w:lang w:eastAsia="lv-LV"/>
              </w:rPr>
            </w:pPr>
          </w:p>
        </w:tc>
        <w:tc>
          <w:tcPr>
            <w:tcW w:w="679" w:type="pct"/>
            <w:tcBorders>
              <w:top w:val="single" w:sz="4" w:space="0" w:color="17365D"/>
            </w:tcBorders>
            <w:shd w:val="clear" w:color="auto" w:fill="B9CDE5"/>
            <w:noWrap/>
            <w:vAlign w:val="center"/>
          </w:tcPr>
          <w:p w14:paraId="121D83E5" w14:textId="77777777" w:rsidR="00751550" w:rsidRPr="00E72168" w:rsidRDefault="00751550" w:rsidP="008C7015">
            <w:pPr>
              <w:spacing w:after="0"/>
              <w:jc w:val="center"/>
              <w:rPr>
                <w:rFonts w:eastAsia="Times New Roman" w:cs="Times New Roman"/>
                <w:color w:val="17365D"/>
                <w:sz w:val="18"/>
                <w:szCs w:val="18"/>
                <w:lang w:eastAsia="lv-LV"/>
              </w:rPr>
            </w:pPr>
          </w:p>
        </w:tc>
        <w:tc>
          <w:tcPr>
            <w:tcW w:w="831" w:type="pct"/>
            <w:tcBorders>
              <w:top w:val="single" w:sz="4" w:space="0" w:color="17365D"/>
            </w:tcBorders>
            <w:shd w:val="clear" w:color="auto" w:fill="B9CDE5"/>
            <w:noWrap/>
            <w:vAlign w:val="center"/>
          </w:tcPr>
          <w:p w14:paraId="1159B140" w14:textId="77777777" w:rsidR="00751550" w:rsidRPr="00E72168" w:rsidRDefault="00751550" w:rsidP="008C7015">
            <w:pPr>
              <w:spacing w:after="0"/>
              <w:jc w:val="right"/>
              <w:rPr>
                <w:rFonts w:eastAsia="Times New Roman" w:cs="Times New Roman"/>
                <w:color w:val="17365D"/>
                <w:sz w:val="18"/>
                <w:szCs w:val="18"/>
                <w:lang w:eastAsia="lv-LV"/>
              </w:rPr>
            </w:pPr>
          </w:p>
        </w:tc>
        <w:tc>
          <w:tcPr>
            <w:tcW w:w="831" w:type="pct"/>
            <w:tcBorders>
              <w:top w:val="single" w:sz="4" w:space="0" w:color="17365D"/>
            </w:tcBorders>
            <w:shd w:val="clear" w:color="auto" w:fill="B9CDE5"/>
            <w:noWrap/>
            <w:vAlign w:val="center"/>
          </w:tcPr>
          <w:p w14:paraId="38F19B8C" w14:textId="77777777" w:rsidR="00751550" w:rsidRPr="00E72168" w:rsidRDefault="00751550" w:rsidP="008C7015">
            <w:pPr>
              <w:spacing w:after="0"/>
              <w:jc w:val="right"/>
              <w:rPr>
                <w:rFonts w:eastAsia="Times New Roman" w:cs="Times New Roman"/>
                <w:color w:val="17365D"/>
                <w:sz w:val="18"/>
                <w:szCs w:val="18"/>
                <w:lang w:eastAsia="lv-LV"/>
              </w:rPr>
            </w:pPr>
          </w:p>
        </w:tc>
        <w:tc>
          <w:tcPr>
            <w:tcW w:w="802" w:type="pct"/>
            <w:tcBorders>
              <w:top w:val="single" w:sz="4" w:space="0" w:color="17365D"/>
            </w:tcBorders>
            <w:shd w:val="clear" w:color="auto" w:fill="B9CDE5"/>
            <w:noWrap/>
            <w:vAlign w:val="center"/>
          </w:tcPr>
          <w:p w14:paraId="27E925A6" w14:textId="77777777" w:rsidR="00751550" w:rsidRPr="00E72168" w:rsidRDefault="00751550" w:rsidP="008C7015">
            <w:pPr>
              <w:spacing w:after="0"/>
              <w:jc w:val="right"/>
              <w:rPr>
                <w:rFonts w:eastAsia="Times New Roman" w:cs="Times New Roman"/>
                <w:color w:val="17365D"/>
                <w:sz w:val="18"/>
                <w:szCs w:val="18"/>
                <w:lang w:eastAsia="lv-LV"/>
              </w:rPr>
            </w:pPr>
          </w:p>
        </w:tc>
        <w:tc>
          <w:tcPr>
            <w:tcW w:w="648" w:type="pct"/>
            <w:tcBorders>
              <w:top w:val="single" w:sz="4" w:space="0" w:color="17365D"/>
            </w:tcBorders>
            <w:shd w:val="clear" w:color="auto" w:fill="B9CDE5"/>
            <w:noWrap/>
            <w:vAlign w:val="center"/>
          </w:tcPr>
          <w:p w14:paraId="36561856" w14:textId="77777777" w:rsidR="00751550" w:rsidRPr="00E72168" w:rsidRDefault="00751550" w:rsidP="008C7015">
            <w:pPr>
              <w:spacing w:after="0"/>
              <w:jc w:val="right"/>
              <w:rPr>
                <w:rFonts w:eastAsia="Times New Roman" w:cs="Times New Roman"/>
                <w:color w:val="17365D"/>
                <w:sz w:val="18"/>
                <w:szCs w:val="18"/>
                <w:lang w:eastAsia="lv-LV"/>
              </w:rPr>
            </w:pPr>
          </w:p>
        </w:tc>
      </w:tr>
    </w:tbl>
    <w:p w14:paraId="6D0F938C" w14:textId="77777777" w:rsidR="00E564B0" w:rsidRPr="00E72168" w:rsidRDefault="00E564B0" w:rsidP="00AF6D47">
      <w:pPr>
        <w:spacing w:before="75" w:after="75"/>
        <w:ind w:firstLine="284"/>
        <w:jc w:val="both"/>
        <w:rPr>
          <w:rFonts w:cs="Times New Roman"/>
          <w:bCs/>
          <w:color w:val="17365D"/>
        </w:rPr>
      </w:pPr>
    </w:p>
    <w:p w14:paraId="11C0B19F" w14:textId="084CA7CE" w:rsidR="00D3156C" w:rsidRDefault="001F5B31" w:rsidP="00060622">
      <w:pPr>
        <w:pStyle w:val="Pamatteksts1"/>
      </w:pPr>
      <w:r w:rsidRPr="00E72168">
        <w:t>Pārskata gadā krājumu atlikuma izmaiņas galvenokārt ietekmēja</w:t>
      </w:r>
      <w:r w:rsidR="00D3156C">
        <w:t>:</w:t>
      </w:r>
    </w:p>
    <w:p w14:paraId="495A1410" w14:textId="0B2F873A" w:rsidR="00233429" w:rsidRDefault="00233429" w:rsidP="00060622">
      <w:pPr>
        <w:pStyle w:val="Bullets"/>
      </w:pPr>
      <w:r w:rsidRPr="00233429">
        <w:t>Aizsardzības ministrija</w:t>
      </w:r>
      <w:r>
        <w:t>s</w:t>
      </w:r>
      <w:r w:rsidRPr="00233429">
        <w:t xml:space="preserve"> veiktie avansa maksājumi par krājumiem atbilstoši noslēgtajiem līgumiem par starptautisko palīdzību, iegādāt</w:t>
      </w:r>
      <w:r w:rsidR="005A3929">
        <w:t>ais</w:t>
      </w:r>
      <w:r w:rsidRPr="00233429">
        <w:t>, bet lietošanā neizsniegt</w:t>
      </w:r>
      <w:r w:rsidR="005A3929">
        <w:t>ais</w:t>
      </w:r>
      <w:r w:rsidRPr="00233429">
        <w:t xml:space="preserve"> inventār</w:t>
      </w:r>
      <w:r w:rsidR="005A3929">
        <w:t>s</w:t>
      </w:r>
      <w:r w:rsidRPr="00233429">
        <w:t xml:space="preserve"> un lietošanā neizsniegt</w:t>
      </w:r>
      <w:r w:rsidR="005A3929">
        <w:t>ās</w:t>
      </w:r>
      <w:r w:rsidRPr="00233429">
        <w:t xml:space="preserve"> izejviel</w:t>
      </w:r>
      <w:r w:rsidR="005A3929">
        <w:t>as</w:t>
      </w:r>
      <w:r w:rsidRPr="00233429">
        <w:t xml:space="preserve"> un materiāl</w:t>
      </w:r>
      <w:r w:rsidR="005A3929">
        <w:t>i</w:t>
      </w:r>
      <w:r w:rsidRPr="00233429">
        <w:t>, bez atlīdzības saņemtie kolektīvās lietošanas materiāltehniskie līdzekļi, transportlīdzekļu rezerves daļas, multimediju tehnoloģiju inventāra un materiālu iegāde izstādei, grāmatas izdošana</w:t>
      </w:r>
      <w:r>
        <w:t xml:space="preserve"> 315,3</w:t>
      </w:r>
      <w:r w:rsidRPr="00643578">
        <w:t xml:space="preserve"> milj. </w:t>
      </w:r>
      <w:r w:rsidRPr="00643578">
        <w:rPr>
          <w:i/>
        </w:rPr>
        <w:t>euro</w:t>
      </w:r>
      <w:r w:rsidRPr="00643578">
        <w:t xml:space="preserve"> </w:t>
      </w:r>
      <w:r>
        <w:t>vērtībā;</w:t>
      </w:r>
    </w:p>
    <w:p w14:paraId="1EDAA8CF" w14:textId="79F478BB" w:rsidR="00CF06B1" w:rsidRDefault="000D706B" w:rsidP="00060622">
      <w:pPr>
        <w:pStyle w:val="Bullets"/>
      </w:pPr>
      <w:r w:rsidRPr="000D706B">
        <w:t>Aizsardzības ministrija</w:t>
      </w:r>
      <w:r w:rsidR="005A3929">
        <w:t>s</w:t>
      </w:r>
      <w:r w:rsidRPr="000D706B">
        <w:t xml:space="preserve"> lietošanā izsniegtā inventāra </w:t>
      </w:r>
      <w:r w:rsidR="005A3929">
        <w:t xml:space="preserve">vērtības </w:t>
      </w:r>
      <w:r w:rsidR="005A3929" w:rsidRPr="000D706B">
        <w:t>un izlietot</w:t>
      </w:r>
      <w:r w:rsidR="005A3929">
        <w:t>o</w:t>
      </w:r>
      <w:r w:rsidR="005A3929" w:rsidRPr="000D706B">
        <w:t xml:space="preserve"> krājum</w:t>
      </w:r>
      <w:r w:rsidR="005A3929">
        <w:t>u izslēgšana no uzskaites</w:t>
      </w:r>
      <w:r w:rsidRPr="000D706B">
        <w:t xml:space="preserve"> </w:t>
      </w:r>
      <w:r>
        <w:t xml:space="preserve">(144,9) milj. </w:t>
      </w:r>
      <w:r w:rsidRPr="005A3929">
        <w:rPr>
          <w:i/>
          <w:iCs/>
        </w:rPr>
        <w:t>euro</w:t>
      </w:r>
      <w:r>
        <w:t xml:space="preserve"> vērtībā;</w:t>
      </w:r>
    </w:p>
    <w:p w14:paraId="394F9676" w14:textId="1B700340" w:rsidR="00AF6D47" w:rsidRPr="001D0C7B" w:rsidRDefault="000D706B" w:rsidP="00060622">
      <w:pPr>
        <w:pStyle w:val="Bullets"/>
      </w:pPr>
      <w:r w:rsidRPr="000D706B">
        <w:t>Ekonomikas ministrija</w:t>
      </w:r>
      <w:r w:rsidR="005A3929">
        <w:t xml:space="preserve">s atzītie </w:t>
      </w:r>
      <w:r w:rsidR="005A3929" w:rsidRPr="000D706B">
        <w:t>naftas produkti saskaņā ar noslēgto līgumu ar SIA</w:t>
      </w:r>
      <w:r w:rsidR="00E70560">
        <w:t> </w:t>
      </w:r>
      <w:r w:rsidR="00673435">
        <w:t>“</w:t>
      </w:r>
      <w:r w:rsidR="005A3929" w:rsidRPr="000D706B">
        <w:t xml:space="preserve">Publisko aktīvu pārvaldītājs </w:t>
      </w:r>
      <w:proofErr w:type="spellStart"/>
      <w:r w:rsidR="005A3929" w:rsidRPr="000D706B">
        <w:t>Possessor</w:t>
      </w:r>
      <w:proofErr w:type="spellEnd"/>
      <w:r w:rsidR="00673435">
        <w:t>”</w:t>
      </w:r>
      <w:r w:rsidR="005A3929" w:rsidRPr="000D706B">
        <w:t xml:space="preserve"> par valsts pārvaldes uzdevuma izpildi </w:t>
      </w:r>
      <w:r>
        <w:t>59,4</w:t>
      </w:r>
      <w:r w:rsidR="005A3929">
        <w:t> </w:t>
      </w:r>
      <w:r w:rsidRPr="00643578">
        <w:t>milj.</w:t>
      </w:r>
      <w:r w:rsidR="00A7131E">
        <w:t> </w:t>
      </w:r>
      <w:r w:rsidRPr="00643578">
        <w:rPr>
          <w:i/>
        </w:rPr>
        <w:t>euro</w:t>
      </w:r>
      <w:r w:rsidRPr="00643578">
        <w:t xml:space="preserve"> </w:t>
      </w:r>
      <w:r>
        <w:t>vērtībā.</w:t>
      </w:r>
    </w:p>
    <w:p w14:paraId="35344B6F" w14:textId="3E4AD1FA" w:rsidR="00402C3D" w:rsidRDefault="00A2534B" w:rsidP="002F0CB5">
      <w:pPr>
        <w:pStyle w:val="Pamatteksts1"/>
      </w:pPr>
      <w:r w:rsidRPr="002C69FA">
        <w:t>Atsavināšanai paredzēto krājumu sastāvā uzskaitīti aktīvi</w:t>
      </w:r>
      <w:r w:rsidR="00DD4ABC" w:rsidRPr="002C69FA">
        <w:t xml:space="preserve"> </w:t>
      </w:r>
      <w:r w:rsidR="002C69FA" w:rsidRPr="002C69FA">
        <w:t xml:space="preserve">64,6 milj. </w:t>
      </w:r>
      <w:r w:rsidR="002C69FA" w:rsidRPr="002C69FA">
        <w:rPr>
          <w:i/>
        </w:rPr>
        <w:t>euro</w:t>
      </w:r>
      <w:r w:rsidR="002C69FA" w:rsidRPr="002C69FA">
        <w:t xml:space="preserve"> vērtībā </w:t>
      </w:r>
      <w:r w:rsidR="00DD4ABC" w:rsidRPr="002C69FA">
        <w:t xml:space="preserve">saskaņā ar </w:t>
      </w:r>
      <w:r w:rsidR="003B30FD" w:rsidRPr="002C69FA">
        <w:t>1.</w:t>
      </w:r>
      <w:r w:rsidR="00DD4ABC" w:rsidRPr="002C69FA">
        <w:t>1</w:t>
      </w:r>
      <w:r w:rsidR="00854AC6">
        <w:t>1</w:t>
      </w:r>
      <w:r w:rsidR="00DD4ABC" w:rsidRPr="002C69FA">
        <w:t>. tabulā snie</w:t>
      </w:r>
      <w:r w:rsidR="005E780D" w:rsidRPr="002C69FA">
        <w:t>g</w:t>
      </w:r>
      <w:r w:rsidR="00DD4ABC" w:rsidRPr="002C69FA">
        <w:t>to informāciju:</w:t>
      </w:r>
    </w:p>
    <w:p w14:paraId="076E9321" w14:textId="1DF8063A" w:rsidR="00575D43" w:rsidRPr="00E72168" w:rsidRDefault="003B30FD" w:rsidP="00324AC5">
      <w:pPr>
        <w:pStyle w:val="Tabnosauk"/>
      </w:pPr>
      <w:r>
        <w:t>1.</w:t>
      </w:r>
      <w:r w:rsidR="00DB1118" w:rsidRPr="00E72168">
        <w:t>1</w:t>
      </w:r>
      <w:r w:rsidR="00854AC6">
        <w:t>1</w:t>
      </w:r>
      <w:r w:rsidR="00DB1118" w:rsidRPr="00E72168">
        <w:t xml:space="preserve">. tabula. Atsavināšanai </w:t>
      </w:r>
      <w:r w:rsidR="00DB1118" w:rsidRPr="000D2C39">
        <w:t>paredzētie</w:t>
      </w:r>
      <w:r w:rsidR="00DB1118" w:rsidRPr="00E72168">
        <w:t xml:space="preserve"> krājumi (euro)</w:t>
      </w:r>
    </w:p>
    <w:tbl>
      <w:tblPr>
        <w:tblW w:w="5000" w:type="pct"/>
        <w:tblLook w:val="04A0" w:firstRow="1" w:lastRow="0" w:firstColumn="1" w:lastColumn="0" w:noHBand="0" w:noVBand="1"/>
      </w:tblPr>
      <w:tblGrid>
        <w:gridCol w:w="5426"/>
        <w:gridCol w:w="1964"/>
        <w:gridCol w:w="1964"/>
      </w:tblGrid>
      <w:tr w:rsidR="000C1009" w:rsidRPr="00E72168" w14:paraId="6AFE5E78" w14:textId="3D97ECE5" w:rsidTr="009A4177">
        <w:trPr>
          <w:trHeight w:val="684"/>
          <w:tblHeader/>
        </w:trPr>
        <w:tc>
          <w:tcPr>
            <w:tcW w:w="2900" w:type="pct"/>
            <w:tcBorders>
              <w:bottom w:val="single" w:sz="4" w:space="0" w:color="17365D"/>
            </w:tcBorders>
            <w:shd w:val="clear" w:color="auto" w:fill="B9CDE5"/>
            <w:vAlign w:val="center"/>
            <w:hideMark/>
          </w:tcPr>
          <w:p w14:paraId="3024D071" w14:textId="57011AE4" w:rsidR="00CF5FD8" w:rsidRPr="00E72168" w:rsidRDefault="00CF5FD8" w:rsidP="00684DCB">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Aktīva veids</w:t>
            </w:r>
          </w:p>
        </w:tc>
        <w:tc>
          <w:tcPr>
            <w:tcW w:w="1050" w:type="pct"/>
            <w:tcBorders>
              <w:bottom w:val="single" w:sz="4" w:space="0" w:color="17365D"/>
            </w:tcBorders>
            <w:shd w:val="clear" w:color="auto" w:fill="B9CDE5"/>
            <w:vAlign w:val="center"/>
            <w:hideMark/>
          </w:tcPr>
          <w:p w14:paraId="023E0BEF" w14:textId="51E086FB"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Uzskaites (atlikusī) vērtība</w:t>
            </w:r>
          </w:p>
          <w:p w14:paraId="0BD46CBE" w14:textId="328DBAA5"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1050" w:type="pct"/>
            <w:tcBorders>
              <w:bottom w:val="single" w:sz="4" w:space="0" w:color="17365D"/>
            </w:tcBorders>
            <w:shd w:val="clear" w:color="auto" w:fill="B9CDE5"/>
            <w:vAlign w:val="center"/>
          </w:tcPr>
          <w:p w14:paraId="5F3DD0FD" w14:textId="77777777"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Uzskaites (atlikusī) vērtība</w:t>
            </w:r>
          </w:p>
          <w:p w14:paraId="0867F07A" w14:textId="54BE50D1"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r>
      <w:tr w:rsidR="000C1009" w:rsidRPr="00E72168" w14:paraId="26E491F4" w14:textId="16811F49" w:rsidTr="001A43D4">
        <w:trPr>
          <w:trHeight w:val="266"/>
        </w:trPr>
        <w:tc>
          <w:tcPr>
            <w:tcW w:w="2900" w:type="pct"/>
            <w:tcBorders>
              <w:top w:val="single" w:sz="4" w:space="0" w:color="17365D"/>
              <w:bottom w:val="single" w:sz="4" w:space="0" w:color="17365D"/>
            </w:tcBorders>
            <w:shd w:val="clear" w:color="auto" w:fill="auto"/>
            <w:vAlign w:val="center"/>
            <w:hideMark/>
          </w:tcPr>
          <w:p w14:paraId="3B7AFFC7" w14:textId="77777777" w:rsidR="00CF5FD8" w:rsidRPr="00E72168" w:rsidRDefault="00CF5FD8" w:rsidP="00684DCB">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1050" w:type="pct"/>
            <w:tcBorders>
              <w:top w:val="single" w:sz="4" w:space="0" w:color="17365D"/>
              <w:bottom w:val="single" w:sz="4" w:space="0" w:color="17365D"/>
            </w:tcBorders>
            <w:shd w:val="clear" w:color="auto" w:fill="auto"/>
            <w:vAlign w:val="center"/>
            <w:hideMark/>
          </w:tcPr>
          <w:p w14:paraId="13CCC78F" w14:textId="77777777"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1050" w:type="pct"/>
            <w:tcBorders>
              <w:top w:val="single" w:sz="4" w:space="0" w:color="17365D"/>
              <w:bottom w:val="single" w:sz="4" w:space="0" w:color="17365D"/>
            </w:tcBorders>
            <w:vAlign w:val="center"/>
          </w:tcPr>
          <w:p w14:paraId="7299F860" w14:textId="1AC1D9F2"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r>
      <w:tr w:rsidR="002C69FA" w:rsidRPr="00E72168" w14:paraId="66BCE5AD" w14:textId="77777777" w:rsidTr="001A43D4">
        <w:trPr>
          <w:trHeight w:val="266"/>
        </w:trPr>
        <w:tc>
          <w:tcPr>
            <w:tcW w:w="2900" w:type="pct"/>
            <w:tcBorders>
              <w:top w:val="single" w:sz="4" w:space="0" w:color="17365D"/>
              <w:bottom w:val="single" w:sz="4" w:space="0" w:color="17365D"/>
            </w:tcBorders>
            <w:shd w:val="clear" w:color="auto" w:fill="auto"/>
            <w:vAlign w:val="center"/>
          </w:tcPr>
          <w:p w14:paraId="55116769" w14:textId="46B07ABC" w:rsidR="002C69FA" w:rsidRPr="00E72168" w:rsidRDefault="002C69FA" w:rsidP="002C69FA">
            <w:pPr>
              <w:spacing w:after="0"/>
              <w:rPr>
                <w:rFonts w:cs="Times New Roman"/>
                <w:color w:val="17365D"/>
                <w:sz w:val="18"/>
                <w:szCs w:val="18"/>
              </w:rPr>
            </w:pPr>
            <w:r w:rsidRPr="00E72168">
              <w:rPr>
                <w:rFonts w:cs="Times New Roman"/>
                <w:color w:val="17365D"/>
                <w:sz w:val="18"/>
                <w:szCs w:val="18"/>
              </w:rPr>
              <w:t>Nemateriālie ieguldījumi</w:t>
            </w:r>
          </w:p>
        </w:tc>
        <w:tc>
          <w:tcPr>
            <w:tcW w:w="1050" w:type="pct"/>
            <w:tcBorders>
              <w:top w:val="single" w:sz="4" w:space="0" w:color="17365D"/>
              <w:bottom w:val="single" w:sz="4" w:space="0" w:color="17365D"/>
            </w:tcBorders>
            <w:shd w:val="clear" w:color="auto" w:fill="auto"/>
            <w:vAlign w:val="center"/>
          </w:tcPr>
          <w:p w14:paraId="17B90CAD" w14:textId="46AE9FBE"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5 270 991</w:t>
            </w:r>
          </w:p>
        </w:tc>
        <w:tc>
          <w:tcPr>
            <w:tcW w:w="1050" w:type="pct"/>
            <w:tcBorders>
              <w:top w:val="single" w:sz="4" w:space="0" w:color="17365D"/>
              <w:left w:val="nil"/>
              <w:bottom w:val="single" w:sz="4" w:space="0" w:color="17365D"/>
            </w:tcBorders>
            <w:shd w:val="clear" w:color="auto" w:fill="auto"/>
            <w:vAlign w:val="center"/>
          </w:tcPr>
          <w:p w14:paraId="3128010C" w14:textId="25FA6683"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100 973</w:t>
            </w:r>
          </w:p>
        </w:tc>
      </w:tr>
      <w:tr w:rsidR="002C69FA" w:rsidRPr="00E72168" w14:paraId="080F0B0A" w14:textId="17DA784F" w:rsidTr="001A43D4">
        <w:trPr>
          <w:trHeight w:val="266"/>
        </w:trPr>
        <w:tc>
          <w:tcPr>
            <w:tcW w:w="2900" w:type="pct"/>
            <w:tcBorders>
              <w:top w:val="single" w:sz="4" w:space="0" w:color="17365D"/>
              <w:bottom w:val="single" w:sz="4" w:space="0" w:color="17365D"/>
            </w:tcBorders>
            <w:shd w:val="clear" w:color="auto" w:fill="auto"/>
            <w:vAlign w:val="center"/>
            <w:hideMark/>
          </w:tcPr>
          <w:p w14:paraId="29BFFC35" w14:textId="35765946" w:rsidR="002C69FA" w:rsidRPr="00E72168" w:rsidRDefault="002C69FA" w:rsidP="002C69FA">
            <w:pPr>
              <w:spacing w:after="0" w:line="240" w:lineRule="auto"/>
              <w:rPr>
                <w:rFonts w:cs="Times New Roman"/>
                <w:color w:val="17365D"/>
                <w:sz w:val="18"/>
                <w:szCs w:val="18"/>
              </w:rPr>
            </w:pPr>
            <w:r w:rsidRPr="00E72168">
              <w:rPr>
                <w:rFonts w:cs="Times New Roman"/>
                <w:color w:val="17365D"/>
                <w:sz w:val="18"/>
                <w:szCs w:val="18"/>
              </w:rPr>
              <w:t>Pamatlīdzekļi</w:t>
            </w:r>
          </w:p>
        </w:tc>
        <w:tc>
          <w:tcPr>
            <w:tcW w:w="1050" w:type="pct"/>
            <w:tcBorders>
              <w:top w:val="single" w:sz="4" w:space="0" w:color="17365D"/>
              <w:bottom w:val="single" w:sz="4" w:space="0" w:color="17365D"/>
            </w:tcBorders>
            <w:shd w:val="clear" w:color="auto" w:fill="auto"/>
            <w:noWrap/>
            <w:vAlign w:val="center"/>
            <w:hideMark/>
          </w:tcPr>
          <w:p w14:paraId="0EA33B40" w14:textId="0C3D2A60"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39 947 980</w:t>
            </w:r>
          </w:p>
        </w:tc>
        <w:tc>
          <w:tcPr>
            <w:tcW w:w="1050" w:type="pct"/>
            <w:tcBorders>
              <w:top w:val="single" w:sz="4" w:space="0" w:color="17365D"/>
              <w:left w:val="nil"/>
              <w:bottom w:val="single" w:sz="4" w:space="0" w:color="17365D"/>
            </w:tcBorders>
            <w:shd w:val="clear" w:color="auto" w:fill="auto"/>
            <w:vAlign w:val="center"/>
          </w:tcPr>
          <w:p w14:paraId="334624E0" w14:textId="14E3D35C"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37 934 619</w:t>
            </w:r>
          </w:p>
        </w:tc>
      </w:tr>
      <w:tr w:rsidR="002C69FA" w:rsidRPr="00E72168" w14:paraId="4FD6156D" w14:textId="2501655E" w:rsidTr="001A43D4">
        <w:trPr>
          <w:trHeight w:val="266"/>
        </w:trPr>
        <w:tc>
          <w:tcPr>
            <w:tcW w:w="2900" w:type="pct"/>
            <w:tcBorders>
              <w:top w:val="single" w:sz="4" w:space="0" w:color="17365D"/>
              <w:bottom w:val="single" w:sz="4" w:space="0" w:color="17365D"/>
            </w:tcBorders>
            <w:shd w:val="clear" w:color="auto" w:fill="auto"/>
            <w:vAlign w:val="center"/>
          </w:tcPr>
          <w:p w14:paraId="1005803E" w14:textId="2419EF48" w:rsidR="002C69FA" w:rsidRPr="00E72168" w:rsidRDefault="002C69FA" w:rsidP="002C69FA">
            <w:pPr>
              <w:spacing w:after="0" w:line="240" w:lineRule="auto"/>
              <w:rPr>
                <w:rFonts w:cs="Times New Roman"/>
                <w:color w:val="17365D"/>
                <w:sz w:val="18"/>
                <w:szCs w:val="18"/>
              </w:rPr>
            </w:pPr>
            <w:r w:rsidRPr="00E72168">
              <w:rPr>
                <w:rFonts w:cs="Times New Roman"/>
                <w:color w:val="17365D"/>
                <w:sz w:val="18"/>
                <w:szCs w:val="18"/>
              </w:rPr>
              <w:lastRenderedPageBreak/>
              <w:t>Bioloģiskie aktīvi</w:t>
            </w:r>
          </w:p>
        </w:tc>
        <w:tc>
          <w:tcPr>
            <w:tcW w:w="1050" w:type="pct"/>
            <w:tcBorders>
              <w:top w:val="single" w:sz="4" w:space="0" w:color="17365D"/>
              <w:bottom w:val="single" w:sz="4" w:space="0" w:color="17365D"/>
            </w:tcBorders>
            <w:shd w:val="clear" w:color="auto" w:fill="auto"/>
            <w:noWrap/>
            <w:vAlign w:val="center"/>
          </w:tcPr>
          <w:p w14:paraId="588CE34F" w14:textId="6A00532A"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117 307</w:t>
            </w:r>
          </w:p>
        </w:tc>
        <w:tc>
          <w:tcPr>
            <w:tcW w:w="1050" w:type="pct"/>
            <w:tcBorders>
              <w:top w:val="single" w:sz="4" w:space="0" w:color="17365D"/>
              <w:left w:val="nil"/>
              <w:bottom w:val="single" w:sz="4" w:space="0" w:color="17365D"/>
            </w:tcBorders>
            <w:shd w:val="clear" w:color="auto" w:fill="auto"/>
            <w:vAlign w:val="center"/>
          </w:tcPr>
          <w:p w14:paraId="419A7F45" w14:textId="2DD75A93"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69 295</w:t>
            </w:r>
          </w:p>
        </w:tc>
      </w:tr>
      <w:tr w:rsidR="002C69FA" w:rsidRPr="00E72168" w14:paraId="11C45F04" w14:textId="5F1155C7" w:rsidTr="001A43D4">
        <w:trPr>
          <w:trHeight w:val="266"/>
        </w:trPr>
        <w:tc>
          <w:tcPr>
            <w:tcW w:w="2900" w:type="pct"/>
            <w:tcBorders>
              <w:top w:val="single" w:sz="4" w:space="0" w:color="17365D"/>
              <w:bottom w:val="single" w:sz="4" w:space="0" w:color="17365D"/>
            </w:tcBorders>
            <w:shd w:val="clear" w:color="auto" w:fill="auto"/>
            <w:vAlign w:val="center"/>
          </w:tcPr>
          <w:p w14:paraId="3224B254" w14:textId="260C138E" w:rsidR="002C69FA" w:rsidRPr="00E72168" w:rsidRDefault="002C69FA" w:rsidP="002C69FA">
            <w:pPr>
              <w:spacing w:after="0" w:line="240" w:lineRule="auto"/>
              <w:rPr>
                <w:rFonts w:cs="Times New Roman"/>
                <w:color w:val="17365D"/>
                <w:sz w:val="18"/>
                <w:szCs w:val="18"/>
              </w:rPr>
            </w:pPr>
            <w:r w:rsidRPr="00E72168">
              <w:rPr>
                <w:rFonts w:cs="Times New Roman"/>
                <w:color w:val="17365D"/>
                <w:sz w:val="18"/>
                <w:szCs w:val="18"/>
              </w:rPr>
              <w:t>Ieguldījuma īpašumi</w:t>
            </w:r>
          </w:p>
        </w:tc>
        <w:tc>
          <w:tcPr>
            <w:tcW w:w="1050" w:type="pct"/>
            <w:tcBorders>
              <w:top w:val="single" w:sz="4" w:space="0" w:color="17365D"/>
              <w:bottom w:val="single" w:sz="4" w:space="0" w:color="17365D"/>
            </w:tcBorders>
            <w:shd w:val="clear" w:color="auto" w:fill="auto"/>
            <w:noWrap/>
            <w:vAlign w:val="center"/>
          </w:tcPr>
          <w:p w14:paraId="7DF86950" w14:textId="46677AEB"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15 874 566</w:t>
            </w:r>
          </w:p>
        </w:tc>
        <w:tc>
          <w:tcPr>
            <w:tcW w:w="1050" w:type="pct"/>
            <w:tcBorders>
              <w:top w:val="single" w:sz="4" w:space="0" w:color="17365D"/>
              <w:left w:val="nil"/>
              <w:bottom w:val="single" w:sz="4" w:space="0" w:color="17365D"/>
            </w:tcBorders>
            <w:shd w:val="clear" w:color="auto" w:fill="auto"/>
            <w:vAlign w:val="center"/>
          </w:tcPr>
          <w:p w14:paraId="371499B9" w14:textId="510898CA"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10 063 374</w:t>
            </w:r>
          </w:p>
        </w:tc>
      </w:tr>
      <w:tr w:rsidR="002C69FA" w:rsidRPr="00E72168" w14:paraId="29686470" w14:textId="2C5A0D4C" w:rsidTr="001A43D4">
        <w:trPr>
          <w:trHeight w:val="266"/>
        </w:trPr>
        <w:tc>
          <w:tcPr>
            <w:tcW w:w="2900" w:type="pct"/>
            <w:tcBorders>
              <w:top w:val="single" w:sz="4" w:space="0" w:color="17365D"/>
              <w:bottom w:val="single" w:sz="4" w:space="0" w:color="17365D"/>
            </w:tcBorders>
            <w:shd w:val="clear" w:color="auto" w:fill="auto"/>
            <w:vAlign w:val="center"/>
          </w:tcPr>
          <w:p w14:paraId="62B5EBB8" w14:textId="385703A1" w:rsidR="002C69FA" w:rsidRPr="00E72168" w:rsidRDefault="002C69FA" w:rsidP="002C69FA">
            <w:pPr>
              <w:spacing w:after="0" w:line="240" w:lineRule="auto"/>
              <w:rPr>
                <w:rFonts w:cs="Times New Roman"/>
                <w:color w:val="17365D"/>
                <w:sz w:val="18"/>
                <w:szCs w:val="18"/>
              </w:rPr>
            </w:pPr>
            <w:r w:rsidRPr="00E72168">
              <w:rPr>
                <w:rFonts w:cs="Times New Roman"/>
                <w:color w:val="17365D"/>
                <w:sz w:val="18"/>
                <w:szCs w:val="18"/>
              </w:rPr>
              <w:t>Krājumi</w:t>
            </w:r>
          </w:p>
        </w:tc>
        <w:tc>
          <w:tcPr>
            <w:tcW w:w="1050" w:type="pct"/>
            <w:tcBorders>
              <w:top w:val="single" w:sz="4" w:space="0" w:color="17365D"/>
              <w:bottom w:val="single" w:sz="4" w:space="0" w:color="17365D"/>
            </w:tcBorders>
            <w:shd w:val="clear" w:color="auto" w:fill="auto"/>
            <w:noWrap/>
            <w:vAlign w:val="center"/>
          </w:tcPr>
          <w:p w14:paraId="1DEAC1F9" w14:textId="3EEC876A"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3 419 926</w:t>
            </w:r>
          </w:p>
        </w:tc>
        <w:tc>
          <w:tcPr>
            <w:tcW w:w="1050" w:type="pct"/>
            <w:tcBorders>
              <w:top w:val="single" w:sz="4" w:space="0" w:color="17365D"/>
              <w:left w:val="nil"/>
              <w:bottom w:val="single" w:sz="4" w:space="0" w:color="17365D"/>
            </w:tcBorders>
            <w:shd w:val="clear" w:color="auto" w:fill="auto"/>
            <w:vAlign w:val="center"/>
          </w:tcPr>
          <w:p w14:paraId="15BCF434" w14:textId="7A999E91" w:rsidR="002C69FA" w:rsidRPr="002C69FA" w:rsidRDefault="002C69FA" w:rsidP="002C69FA">
            <w:pPr>
              <w:spacing w:after="0" w:line="240" w:lineRule="auto"/>
              <w:jc w:val="right"/>
              <w:rPr>
                <w:rFonts w:eastAsia="Times New Roman" w:cs="Times New Roman"/>
                <w:color w:val="17365D"/>
                <w:sz w:val="18"/>
                <w:szCs w:val="18"/>
                <w:lang w:eastAsia="lv-LV"/>
              </w:rPr>
            </w:pPr>
            <w:r w:rsidRPr="002C69FA">
              <w:rPr>
                <w:rFonts w:eastAsia="Times New Roman" w:cs="Times New Roman"/>
                <w:color w:val="17365D"/>
                <w:sz w:val="18"/>
                <w:szCs w:val="18"/>
                <w:lang w:eastAsia="lv-LV"/>
              </w:rPr>
              <w:t>3 692 289</w:t>
            </w:r>
          </w:p>
        </w:tc>
      </w:tr>
      <w:tr w:rsidR="002C69FA" w:rsidRPr="00E72168" w14:paraId="31136793" w14:textId="0CF12F55" w:rsidTr="001A43D4">
        <w:trPr>
          <w:trHeight w:val="56"/>
        </w:trPr>
        <w:tc>
          <w:tcPr>
            <w:tcW w:w="2900" w:type="pct"/>
            <w:tcBorders>
              <w:top w:val="single" w:sz="4" w:space="0" w:color="17365D"/>
            </w:tcBorders>
            <w:shd w:val="clear" w:color="auto" w:fill="B9CDE5"/>
            <w:vAlign w:val="center"/>
          </w:tcPr>
          <w:p w14:paraId="44272F7C" w14:textId="40FDDBE1" w:rsidR="002C69FA" w:rsidRPr="00E72168" w:rsidRDefault="002C69FA" w:rsidP="002C69FA">
            <w:pPr>
              <w:spacing w:after="0"/>
              <w:rPr>
                <w:rFonts w:eastAsia="Times New Roman" w:cs="Times New Roman"/>
                <w:b/>
                <w:color w:val="17365D"/>
                <w:sz w:val="16"/>
                <w:szCs w:val="18"/>
                <w:lang w:eastAsia="lv-LV"/>
              </w:rPr>
            </w:pPr>
            <w:r w:rsidRPr="00E72168">
              <w:rPr>
                <w:rFonts w:cs="Times New Roman"/>
                <w:b/>
                <w:color w:val="17365D"/>
                <w:sz w:val="18"/>
                <w:szCs w:val="18"/>
              </w:rPr>
              <w:t>Kopā</w:t>
            </w:r>
          </w:p>
        </w:tc>
        <w:tc>
          <w:tcPr>
            <w:tcW w:w="1050" w:type="pct"/>
            <w:tcBorders>
              <w:top w:val="single" w:sz="4" w:space="0" w:color="17365D"/>
            </w:tcBorders>
            <w:shd w:val="clear" w:color="auto" w:fill="B8CCE4" w:themeFill="accent1" w:themeFillTint="66"/>
            <w:noWrap/>
            <w:vAlign w:val="center"/>
          </w:tcPr>
          <w:p w14:paraId="23DD16B0" w14:textId="2CC22874" w:rsidR="002C69FA" w:rsidRPr="002C69FA" w:rsidRDefault="002C69FA" w:rsidP="002C69FA">
            <w:pPr>
              <w:spacing w:after="0"/>
              <w:ind w:left="-113"/>
              <w:jc w:val="right"/>
              <w:rPr>
                <w:rFonts w:eastAsia="Times New Roman" w:cs="Times New Roman"/>
                <w:b/>
                <w:bCs/>
                <w:color w:val="17365D"/>
                <w:sz w:val="18"/>
                <w:szCs w:val="18"/>
                <w:lang w:eastAsia="lv-LV"/>
              </w:rPr>
            </w:pPr>
            <w:r w:rsidRPr="002C69FA">
              <w:rPr>
                <w:rFonts w:eastAsia="Times New Roman" w:cs="Times New Roman"/>
                <w:b/>
                <w:bCs/>
                <w:color w:val="17365D"/>
                <w:sz w:val="18"/>
                <w:szCs w:val="18"/>
                <w:lang w:eastAsia="lv-LV"/>
              </w:rPr>
              <w:t>64 630 770</w:t>
            </w:r>
          </w:p>
        </w:tc>
        <w:tc>
          <w:tcPr>
            <w:tcW w:w="1050" w:type="pct"/>
            <w:tcBorders>
              <w:top w:val="single" w:sz="4" w:space="0" w:color="17365D"/>
              <w:left w:val="nil"/>
            </w:tcBorders>
            <w:shd w:val="clear" w:color="auto" w:fill="B8CCE4" w:themeFill="accent1" w:themeFillTint="66"/>
            <w:vAlign w:val="center"/>
          </w:tcPr>
          <w:p w14:paraId="1BB18B73" w14:textId="41F57361" w:rsidR="002C69FA" w:rsidRPr="002C69FA" w:rsidRDefault="002C69FA" w:rsidP="002C69FA">
            <w:pPr>
              <w:spacing w:after="0"/>
              <w:ind w:left="-113"/>
              <w:jc w:val="right"/>
              <w:rPr>
                <w:rFonts w:eastAsia="Times New Roman" w:cs="Times New Roman"/>
                <w:b/>
                <w:bCs/>
                <w:color w:val="17365D"/>
                <w:sz w:val="18"/>
                <w:szCs w:val="18"/>
                <w:lang w:eastAsia="lv-LV"/>
              </w:rPr>
            </w:pPr>
            <w:r w:rsidRPr="002C69FA">
              <w:rPr>
                <w:rFonts w:eastAsia="Times New Roman" w:cs="Times New Roman"/>
                <w:b/>
                <w:bCs/>
                <w:color w:val="17365D"/>
                <w:sz w:val="18"/>
                <w:szCs w:val="18"/>
                <w:lang w:eastAsia="lv-LV"/>
              </w:rPr>
              <w:t>51 860 550</w:t>
            </w:r>
          </w:p>
        </w:tc>
      </w:tr>
    </w:tbl>
    <w:p w14:paraId="771E0647" w14:textId="77777777" w:rsidR="002A375B" w:rsidRDefault="002A375B" w:rsidP="002A375B">
      <w:pPr>
        <w:pStyle w:val="Pamatteksts1"/>
      </w:pPr>
    </w:p>
    <w:p w14:paraId="71FFF4C0" w14:textId="401D630D" w:rsidR="00637EA7" w:rsidRPr="00060622" w:rsidRDefault="00B657DC" w:rsidP="00060622">
      <w:pPr>
        <w:pStyle w:val="Pamatteksts1"/>
      </w:pPr>
      <w:r w:rsidRPr="00060622">
        <w:t xml:space="preserve">Vērtības samazinājums krājumiem un avansa maksājumiem par krājumiem būtiski neietekmē posteņa vērtību. Vērtības samazinājums </w:t>
      </w:r>
      <w:r w:rsidR="00662AB4" w:rsidRPr="00060622">
        <w:t xml:space="preserve">avansa maksājumiem par </w:t>
      </w:r>
      <w:r w:rsidRPr="00060622">
        <w:t xml:space="preserve">krājumiem </w:t>
      </w:r>
      <w:r w:rsidR="00662AB4" w:rsidRPr="00060622">
        <w:t xml:space="preserve">galvenokārt veidots </w:t>
      </w:r>
      <w:r w:rsidR="006B7E5C" w:rsidRPr="00060622">
        <w:t>saistībā ar darījuma partnerim ierosinātu maksātnespēju.</w:t>
      </w:r>
    </w:p>
    <w:p w14:paraId="07A3BC26" w14:textId="06E854C7" w:rsidR="00D41F06" w:rsidRPr="00E72168" w:rsidRDefault="009D537C" w:rsidP="005A3758">
      <w:pPr>
        <w:pStyle w:val="Heading4"/>
        <w:rPr>
          <w:rFonts w:cs="Times New Roman"/>
        </w:rPr>
      </w:pPr>
      <w:r w:rsidRPr="00E72168">
        <w:rPr>
          <w:rFonts w:cs="Times New Roman"/>
        </w:rPr>
        <w:t xml:space="preserve">Piezīme Nr. </w:t>
      </w:r>
      <w:r w:rsidR="00D41F06" w:rsidRPr="00E72168">
        <w:rPr>
          <w:rFonts w:cs="Times New Roman"/>
        </w:rPr>
        <w:t>KB.</w:t>
      </w:r>
      <w:r w:rsidR="00F73CE6" w:rsidRPr="00E72168">
        <w:rPr>
          <w:rFonts w:cs="Times New Roman"/>
        </w:rPr>
        <w:t>2.3</w:t>
      </w:r>
      <w:r w:rsidR="00D41F06" w:rsidRPr="00E72168">
        <w:rPr>
          <w:rFonts w:cs="Times New Roman"/>
        </w:rPr>
        <w:t xml:space="preserve">. </w:t>
      </w:r>
      <w:r w:rsidR="0003117E" w:rsidRPr="00E72168">
        <w:rPr>
          <w:rFonts w:cs="Times New Roman"/>
        </w:rPr>
        <w:t>Īstermiņa prasības</w:t>
      </w:r>
    </w:p>
    <w:p w14:paraId="2F75B63A" w14:textId="40D8C35B" w:rsidR="00B84FF3" w:rsidRPr="00E72168" w:rsidRDefault="00F06FED" w:rsidP="00324AC5">
      <w:pPr>
        <w:pStyle w:val="Tabnosauk"/>
      </w:pPr>
      <w:r>
        <w:t>1.</w:t>
      </w:r>
      <w:r w:rsidR="00DB1118" w:rsidRPr="00E72168">
        <w:t>1</w:t>
      </w:r>
      <w:r w:rsidR="007B608A">
        <w:t>2</w:t>
      </w:r>
      <w:r w:rsidR="00B84FF3" w:rsidRPr="00E72168">
        <w:t xml:space="preserve">. tabula. </w:t>
      </w:r>
      <w:r w:rsidR="0003117E" w:rsidRPr="00E72168">
        <w:rPr>
          <w:iCs/>
        </w:rPr>
        <w:t>Īstermiņa prasības</w:t>
      </w:r>
      <w:r w:rsidR="0003117E" w:rsidRPr="00E72168">
        <w:t xml:space="preserve"> </w:t>
      </w:r>
      <w:r w:rsidR="00B84FF3" w:rsidRPr="00E72168">
        <w:t>(euro)</w:t>
      </w:r>
    </w:p>
    <w:tbl>
      <w:tblPr>
        <w:tblW w:w="5000" w:type="pct"/>
        <w:tblLayout w:type="fixed"/>
        <w:tblLook w:val="04A0" w:firstRow="1" w:lastRow="0" w:firstColumn="1" w:lastColumn="0" w:noHBand="0" w:noVBand="1"/>
      </w:tblPr>
      <w:tblGrid>
        <w:gridCol w:w="1993"/>
        <w:gridCol w:w="1560"/>
        <w:gridCol w:w="1416"/>
        <w:gridCol w:w="1702"/>
        <w:gridCol w:w="1416"/>
        <w:gridCol w:w="1267"/>
      </w:tblGrid>
      <w:tr w:rsidR="000C1009" w:rsidRPr="00E72168" w14:paraId="3099555C" w14:textId="77777777" w:rsidTr="009A4177">
        <w:trPr>
          <w:trHeight w:val="684"/>
          <w:tblHeader/>
        </w:trPr>
        <w:tc>
          <w:tcPr>
            <w:tcW w:w="1065" w:type="pct"/>
            <w:tcBorders>
              <w:bottom w:val="single" w:sz="4" w:space="0" w:color="17365D"/>
            </w:tcBorders>
            <w:shd w:val="clear" w:color="auto" w:fill="B9CDE5"/>
            <w:vAlign w:val="center"/>
            <w:hideMark/>
          </w:tcPr>
          <w:p w14:paraId="4518F3DC" w14:textId="5B360F67" w:rsidR="00E138F1" w:rsidRPr="00E72168" w:rsidRDefault="007611AA" w:rsidP="00792AE6">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834" w:type="pct"/>
            <w:tcBorders>
              <w:bottom w:val="single" w:sz="4" w:space="0" w:color="17365D"/>
            </w:tcBorders>
            <w:shd w:val="clear" w:color="auto" w:fill="B9CDE5"/>
            <w:vAlign w:val="center"/>
            <w:hideMark/>
          </w:tcPr>
          <w:p w14:paraId="69501DB4"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57" w:type="pct"/>
            <w:tcBorders>
              <w:bottom w:val="single" w:sz="4" w:space="0" w:color="17365D"/>
            </w:tcBorders>
            <w:shd w:val="clear" w:color="auto" w:fill="B9CDE5"/>
            <w:vAlign w:val="center"/>
            <w:hideMark/>
          </w:tcPr>
          <w:p w14:paraId="419079FA"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910" w:type="pct"/>
            <w:tcBorders>
              <w:bottom w:val="single" w:sz="4" w:space="0" w:color="17365D"/>
            </w:tcBorders>
            <w:shd w:val="clear" w:color="auto" w:fill="B9CDE5"/>
            <w:vAlign w:val="center"/>
            <w:hideMark/>
          </w:tcPr>
          <w:p w14:paraId="5EA441C3"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57" w:type="pct"/>
            <w:tcBorders>
              <w:bottom w:val="single" w:sz="4" w:space="0" w:color="17365D"/>
            </w:tcBorders>
            <w:shd w:val="clear" w:color="auto" w:fill="B9CDE5"/>
            <w:vAlign w:val="center"/>
            <w:hideMark/>
          </w:tcPr>
          <w:p w14:paraId="5E7BBCCA" w14:textId="7ACD1C19"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77" w:type="pct"/>
            <w:tcBorders>
              <w:bottom w:val="single" w:sz="4" w:space="0" w:color="17365D"/>
            </w:tcBorders>
            <w:shd w:val="clear" w:color="auto" w:fill="B9CDE5"/>
            <w:vAlign w:val="center"/>
            <w:hideMark/>
          </w:tcPr>
          <w:p w14:paraId="4C068140"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511013B4" w14:textId="77777777" w:rsidTr="00EA088C">
        <w:trPr>
          <w:trHeight w:val="240"/>
        </w:trPr>
        <w:tc>
          <w:tcPr>
            <w:tcW w:w="1065" w:type="pct"/>
            <w:tcBorders>
              <w:top w:val="single" w:sz="4" w:space="0" w:color="17365D"/>
              <w:bottom w:val="single" w:sz="4" w:space="0" w:color="17365D"/>
            </w:tcBorders>
            <w:shd w:val="clear" w:color="auto" w:fill="auto"/>
            <w:vAlign w:val="center"/>
            <w:hideMark/>
          </w:tcPr>
          <w:p w14:paraId="056C6D7D"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834" w:type="pct"/>
            <w:tcBorders>
              <w:top w:val="single" w:sz="4" w:space="0" w:color="17365D"/>
              <w:bottom w:val="single" w:sz="4" w:space="0" w:color="17365D"/>
            </w:tcBorders>
            <w:shd w:val="clear" w:color="auto" w:fill="auto"/>
            <w:vAlign w:val="center"/>
            <w:hideMark/>
          </w:tcPr>
          <w:p w14:paraId="2BB0F754"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57" w:type="pct"/>
            <w:tcBorders>
              <w:top w:val="single" w:sz="4" w:space="0" w:color="17365D"/>
              <w:bottom w:val="single" w:sz="4" w:space="0" w:color="17365D"/>
            </w:tcBorders>
            <w:shd w:val="clear" w:color="auto" w:fill="auto"/>
            <w:vAlign w:val="center"/>
            <w:hideMark/>
          </w:tcPr>
          <w:p w14:paraId="3F0D1DB8"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910" w:type="pct"/>
            <w:tcBorders>
              <w:top w:val="single" w:sz="4" w:space="0" w:color="17365D"/>
              <w:bottom w:val="single" w:sz="4" w:space="0" w:color="17365D"/>
            </w:tcBorders>
            <w:shd w:val="clear" w:color="auto" w:fill="auto"/>
            <w:vAlign w:val="center"/>
            <w:hideMark/>
          </w:tcPr>
          <w:p w14:paraId="7539EB44"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57" w:type="pct"/>
            <w:tcBorders>
              <w:top w:val="single" w:sz="4" w:space="0" w:color="17365D"/>
              <w:bottom w:val="single" w:sz="4" w:space="0" w:color="17365D"/>
            </w:tcBorders>
            <w:shd w:val="clear" w:color="auto" w:fill="auto"/>
            <w:vAlign w:val="center"/>
            <w:hideMark/>
          </w:tcPr>
          <w:p w14:paraId="4A037E39"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77" w:type="pct"/>
            <w:tcBorders>
              <w:top w:val="single" w:sz="4" w:space="0" w:color="17365D"/>
              <w:bottom w:val="single" w:sz="4" w:space="0" w:color="17365D"/>
            </w:tcBorders>
            <w:shd w:val="clear" w:color="auto" w:fill="auto"/>
            <w:vAlign w:val="center"/>
            <w:hideMark/>
          </w:tcPr>
          <w:p w14:paraId="030E278E"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160CED" w:rsidRPr="00E72168" w14:paraId="1747B214" w14:textId="77777777" w:rsidTr="00EA088C">
        <w:trPr>
          <w:trHeight w:val="335"/>
        </w:trPr>
        <w:tc>
          <w:tcPr>
            <w:tcW w:w="1065" w:type="pct"/>
            <w:tcBorders>
              <w:top w:val="single" w:sz="4" w:space="0" w:color="17365D"/>
              <w:bottom w:val="single" w:sz="4" w:space="0" w:color="17365D"/>
            </w:tcBorders>
            <w:shd w:val="clear" w:color="auto" w:fill="auto"/>
            <w:vAlign w:val="center"/>
            <w:hideMark/>
          </w:tcPr>
          <w:p w14:paraId="70D0C52B" w14:textId="7FBD5BF7" w:rsidR="00160CED" w:rsidRPr="00E72168" w:rsidRDefault="00160CED" w:rsidP="00160CED">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Īstermiņa prasības</w:t>
            </w:r>
          </w:p>
        </w:tc>
        <w:tc>
          <w:tcPr>
            <w:tcW w:w="834" w:type="pct"/>
            <w:tcBorders>
              <w:top w:val="single" w:sz="4" w:space="0" w:color="17365D"/>
              <w:bottom w:val="single" w:sz="4" w:space="0" w:color="17365D"/>
            </w:tcBorders>
            <w:shd w:val="clear" w:color="auto" w:fill="auto"/>
            <w:vAlign w:val="center"/>
            <w:hideMark/>
          </w:tcPr>
          <w:p w14:paraId="1428FF3B" w14:textId="58293603" w:rsidR="00160CED" w:rsidRPr="00E72168" w:rsidRDefault="00160CED" w:rsidP="00160CED">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KB.2.3.</w:t>
            </w:r>
          </w:p>
        </w:tc>
        <w:tc>
          <w:tcPr>
            <w:tcW w:w="757" w:type="pct"/>
            <w:tcBorders>
              <w:top w:val="single" w:sz="4" w:space="0" w:color="17365D"/>
              <w:left w:val="nil"/>
              <w:bottom w:val="single" w:sz="4" w:space="0" w:color="17365D"/>
              <w:right w:val="nil"/>
            </w:tcBorders>
            <w:shd w:val="clear" w:color="auto" w:fill="auto"/>
            <w:noWrap/>
            <w:vAlign w:val="center"/>
            <w:hideMark/>
          </w:tcPr>
          <w:p w14:paraId="03D4309C" w14:textId="00B09055" w:rsidR="00160CED" w:rsidRPr="00907350" w:rsidRDefault="00160CED" w:rsidP="00160CED">
            <w:pPr>
              <w:spacing w:after="0" w:line="240" w:lineRule="auto"/>
              <w:jc w:val="right"/>
              <w:rPr>
                <w:rFonts w:eastAsia="Times New Roman" w:cs="Times New Roman"/>
                <w:b/>
                <w:color w:val="17365D"/>
                <w:sz w:val="18"/>
                <w:szCs w:val="18"/>
                <w:highlight w:val="yellow"/>
                <w:lang w:eastAsia="lv-LV"/>
              </w:rPr>
            </w:pPr>
            <w:r>
              <w:rPr>
                <w:b/>
                <w:bCs/>
                <w:color w:val="17365D"/>
                <w:sz w:val="18"/>
                <w:szCs w:val="18"/>
              </w:rPr>
              <w:t>2 189 043 290</w:t>
            </w:r>
          </w:p>
        </w:tc>
        <w:tc>
          <w:tcPr>
            <w:tcW w:w="910" w:type="pct"/>
            <w:tcBorders>
              <w:top w:val="single" w:sz="4" w:space="0" w:color="17365D"/>
              <w:left w:val="nil"/>
              <w:bottom w:val="single" w:sz="4" w:space="0" w:color="17365D"/>
              <w:right w:val="nil"/>
            </w:tcBorders>
            <w:shd w:val="clear" w:color="auto" w:fill="auto"/>
            <w:noWrap/>
            <w:vAlign w:val="center"/>
            <w:hideMark/>
          </w:tcPr>
          <w:p w14:paraId="7E5990A8" w14:textId="0C7C50AB" w:rsidR="00160CED" w:rsidRPr="00907350" w:rsidRDefault="00160CED" w:rsidP="00160CED">
            <w:pPr>
              <w:spacing w:after="0" w:line="240" w:lineRule="auto"/>
              <w:jc w:val="right"/>
              <w:rPr>
                <w:rFonts w:eastAsia="Times New Roman" w:cs="Times New Roman"/>
                <w:b/>
                <w:color w:val="17365D"/>
                <w:sz w:val="18"/>
                <w:szCs w:val="18"/>
                <w:highlight w:val="yellow"/>
                <w:lang w:eastAsia="lv-LV"/>
              </w:rPr>
            </w:pPr>
            <w:r>
              <w:rPr>
                <w:b/>
                <w:bCs/>
                <w:color w:val="17365D"/>
                <w:sz w:val="18"/>
                <w:szCs w:val="18"/>
              </w:rPr>
              <w:t>1 801 369 971</w:t>
            </w:r>
          </w:p>
        </w:tc>
        <w:tc>
          <w:tcPr>
            <w:tcW w:w="757" w:type="pct"/>
            <w:tcBorders>
              <w:top w:val="single" w:sz="4" w:space="0" w:color="17365D"/>
              <w:left w:val="nil"/>
              <w:bottom w:val="single" w:sz="4" w:space="0" w:color="17365D"/>
              <w:right w:val="nil"/>
            </w:tcBorders>
            <w:shd w:val="clear" w:color="auto" w:fill="auto"/>
            <w:noWrap/>
            <w:vAlign w:val="center"/>
            <w:hideMark/>
          </w:tcPr>
          <w:p w14:paraId="4D0F81E1" w14:textId="6FDFA5BA" w:rsidR="00160CED" w:rsidRPr="00907350" w:rsidRDefault="00160CED" w:rsidP="00160CED">
            <w:pPr>
              <w:spacing w:after="0" w:line="240" w:lineRule="auto"/>
              <w:jc w:val="right"/>
              <w:rPr>
                <w:rFonts w:eastAsia="Times New Roman" w:cs="Times New Roman"/>
                <w:b/>
                <w:color w:val="17365D"/>
                <w:sz w:val="18"/>
                <w:szCs w:val="18"/>
                <w:highlight w:val="yellow"/>
                <w:lang w:eastAsia="lv-LV"/>
              </w:rPr>
            </w:pPr>
            <w:r>
              <w:rPr>
                <w:b/>
                <w:bCs/>
                <w:color w:val="17365D"/>
                <w:sz w:val="18"/>
                <w:szCs w:val="18"/>
              </w:rPr>
              <w:t>387 673 319</w:t>
            </w:r>
          </w:p>
        </w:tc>
        <w:tc>
          <w:tcPr>
            <w:tcW w:w="677" w:type="pct"/>
            <w:tcBorders>
              <w:top w:val="single" w:sz="4" w:space="0" w:color="17365D"/>
              <w:left w:val="nil"/>
              <w:bottom w:val="single" w:sz="4" w:space="0" w:color="17365D"/>
              <w:right w:val="nil"/>
            </w:tcBorders>
            <w:shd w:val="clear" w:color="auto" w:fill="auto"/>
            <w:noWrap/>
            <w:vAlign w:val="center"/>
            <w:hideMark/>
          </w:tcPr>
          <w:p w14:paraId="66F67086" w14:textId="157D80B3" w:rsidR="00160CED" w:rsidRPr="00907350" w:rsidRDefault="00160CED" w:rsidP="00160CED">
            <w:pPr>
              <w:spacing w:after="0" w:line="240" w:lineRule="auto"/>
              <w:jc w:val="right"/>
              <w:rPr>
                <w:rFonts w:eastAsia="Times New Roman" w:cs="Times New Roman"/>
                <w:b/>
                <w:color w:val="17365D"/>
                <w:sz w:val="18"/>
                <w:szCs w:val="18"/>
                <w:highlight w:val="yellow"/>
                <w:lang w:eastAsia="lv-LV"/>
              </w:rPr>
            </w:pPr>
            <w:r>
              <w:rPr>
                <w:b/>
                <w:bCs/>
                <w:color w:val="17365D"/>
                <w:sz w:val="18"/>
                <w:szCs w:val="18"/>
              </w:rPr>
              <w:t>21.52</w:t>
            </w:r>
          </w:p>
        </w:tc>
      </w:tr>
      <w:tr w:rsidR="000C1009" w:rsidRPr="00E72168" w14:paraId="7336863E" w14:textId="77777777" w:rsidTr="00EA088C">
        <w:trPr>
          <w:trHeight w:val="56"/>
        </w:trPr>
        <w:tc>
          <w:tcPr>
            <w:tcW w:w="1065" w:type="pct"/>
            <w:tcBorders>
              <w:top w:val="single" w:sz="4" w:space="0" w:color="17365D"/>
            </w:tcBorders>
            <w:shd w:val="clear" w:color="auto" w:fill="B9CDE5"/>
            <w:vAlign w:val="center"/>
          </w:tcPr>
          <w:p w14:paraId="3487643C" w14:textId="77777777" w:rsidR="00E138F1" w:rsidRPr="00E72168" w:rsidRDefault="00E138F1" w:rsidP="00792AE6">
            <w:pPr>
              <w:spacing w:after="0"/>
              <w:rPr>
                <w:rFonts w:eastAsia="Times New Roman" w:cs="Times New Roman"/>
                <w:color w:val="17365D"/>
                <w:sz w:val="16"/>
                <w:szCs w:val="18"/>
                <w:lang w:eastAsia="lv-LV"/>
              </w:rPr>
            </w:pPr>
          </w:p>
        </w:tc>
        <w:tc>
          <w:tcPr>
            <w:tcW w:w="834" w:type="pct"/>
            <w:tcBorders>
              <w:top w:val="single" w:sz="4" w:space="0" w:color="17365D"/>
            </w:tcBorders>
            <w:shd w:val="clear" w:color="auto" w:fill="B9CDE5"/>
            <w:noWrap/>
            <w:vAlign w:val="center"/>
          </w:tcPr>
          <w:p w14:paraId="491D29C3" w14:textId="77777777" w:rsidR="00E138F1" w:rsidRPr="007E66AE" w:rsidRDefault="00E138F1" w:rsidP="00792AE6">
            <w:pPr>
              <w:spacing w:after="0"/>
              <w:jc w:val="center"/>
              <w:rPr>
                <w:rFonts w:eastAsia="Times New Roman" w:cs="Times New Roman"/>
                <w:color w:val="17365D"/>
                <w:sz w:val="16"/>
                <w:szCs w:val="18"/>
                <w:lang w:eastAsia="lv-LV"/>
              </w:rPr>
            </w:pPr>
          </w:p>
        </w:tc>
        <w:tc>
          <w:tcPr>
            <w:tcW w:w="757" w:type="pct"/>
            <w:tcBorders>
              <w:top w:val="single" w:sz="4" w:space="0" w:color="17365D"/>
            </w:tcBorders>
            <w:shd w:val="clear" w:color="auto" w:fill="B9CDE5"/>
            <w:noWrap/>
            <w:vAlign w:val="center"/>
          </w:tcPr>
          <w:p w14:paraId="7ED8011E" w14:textId="77777777" w:rsidR="00E138F1" w:rsidRPr="007E66AE" w:rsidRDefault="00E138F1" w:rsidP="00792AE6">
            <w:pPr>
              <w:spacing w:after="0"/>
              <w:jc w:val="right"/>
              <w:rPr>
                <w:rFonts w:eastAsia="Times New Roman" w:cs="Times New Roman"/>
                <w:color w:val="17365D"/>
                <w:sz w:val="16"/>
                <w:szCs w:val="18"/>
                <w:lang w:eastAsia="lv-LV"/>
              </w:rPr>
            </w:pPr>
          </w:p>
        </w:tc>
        <w:tc>
          <w:tcPr>
            <w:tcW w:w="910" w:type="pct"/>
            <w:tcBorders>
              <w:top w:val="single" w:sz="4" w:space="0" w:color="17365D"/>
            </w:tcBorders>
            <w:shd w:val="clear" w:color="auto" w:fill="B9CDE5"/>
            <w:noWrap/>
            <w:vAlign w:val="center"/>
          </w:tcPr>
          <w:p w14:paraId="3FAFCF97" w14:textId="77777777" w:rsidR="00E138F1" w:rsidRPr="007E66AE" w:rsidRDefault="00E138F1" w:rsidP="00792AE6">
            <w:pPr>
              <w:spacing w:after="0"/>
              <w:jc w:val="right"/>
              <w:rPr>
                <w:rFonts w:eastAsia="Times New Roman" w:cs="Times New Roman"/>
                <w:color w:val="17365D"/>
                <w:sz w:val="16"/>
                <w:szCs w:val="18"/>
                <w:lang w:eastAsia="lv-LV"/>
              </w:rPr>
            </w:pPr>
          </w:p>
        </w:tc>
        <w:tc>
          <w:tcPr>
            <w:tcW w:w="757" w:type="pct"/>
            <w:tcBorders>
              <w:top w:val="single" w:sz="4" w:space="0" w:color="17365D"/>
            </w:tcBorders>
            <w:shd w:val="clear" w:color="auto" w:fill="B9CDE5"/>
            <w:noWrap/>
            <w:vAlign w:val="center"/>
          </w:tcPr>
          <w:p w14:paraId="56BB98B7" w14:textId="77777777" w:rsidR="00E138F1" w:rsidRPr="007E66AE" w:rsidRDefault="00E138F1" w:rsidP="00792AE6">
            <w:pPr>
              <w:spacing w:after="0"/>
              <w:jc w:val="right"/>
              <w:rPr>
                <w:rFonts w:eastAsia="Times New Roman" w:cs="Times New Roman"/>
                <w:color w:val="17365D"/>
                <w:sz w:val="16"/>
                <w:szCs w:val="18"/>
                <w:lang w:eastAsia="lv-LV"/>
              </w:rPr>
            </w:pPr>
          </w:p>
        </w:tc>
        <w:tc>
          <w:tcPr>
            <w:tcW w:w="677" w:type="pct"/>
            <w:tcBorders>
              <w:top w:val="single" w:sz="4" w:space="0" w:color="17365D"/>
            </w:tcBorders>
            <w:shd w:val="clear" w:color="auto" w:fill="B9CDE5"/>
            <w:noWrap/>
            <w:vAlign w:val="center"/>
          </w:tcPr>
          <w:p w14:paraId="75DE7B8B" w14:textId="77777777" w:rsidR="00E138F1" w:rsidRPr="007E66AE" w:rsidRDefault="00E138F1" w:rsidP="00792AE6">
            <w:pPr>
              <w:spacing w:after="0"/>
              <w:jc w:val="right"/>
              <w:rPr>
                <w:rFonts w:eastAsia="Times New Roman" w:cs="Times New Roman"/>
                <w:color w:val="17365D"/>
                <w:sz w:val="16"/>
                <w:szCs w:val="18"/>
                <w:lang w:eastAsia="lv-LV"/>
              </w:rPr>
            </w:pPr>
          </w:p>
        </w:tc>
      </w:tr>
    </w:tbl>
    <w:p w14:paraId="728C5325" w14:textId="77777777" w:rsidR="002A375B" w:rsidRPr="002F0CB5" w:rsidRDefault="002A375B" w:rsidP="002A375B">
      <w:pPr>
        <w:pStyle w:val="Pamatteksts1"/>
        <w:rPr>
          <w:sz w:val="10"/>
          <w:szCs w:val="8"/>
        </w:rPr>
      </w:pPr>
    </w:p>
    <w:p w14:paraId="65384084" w14:textId="02B4F0F3" w:rsidR="00C23868" w:rsidRPr="005A48A5" w:rsidRDefault="00DC6EAE" w:rsidP="002A375B">
      <w:pPr>
        <w:pStyle w:val="Pamatteksts1"/>
      </w:pPr>
      <w:r w:rsidRPr="005A48A5">
        <w:t>Bilances postenī “</w:t>
      </w:r>
      <w:r w:rsidR="0003117E" w:rsidRPr="005A48A5">
        <w:t>Īstermiņa prasības</w:t>
      </w:r>
      <w:r w:rsidRPr="005A48A5">
        <w:t>” konsolidētas valsts un pašvaldību budžeta iestāžu un valsts budžeta finanšu uzskaites savstarpējās prasības un attiecīgās saistības.</w:t>
      </w:r>
    </w:p>
    <w:p w14:paraId="1D855364" w14:textId="76CF72B2" w:rsidR="00D3156C" w:rsidRDefault="003959E9" w:rsidP="002A375B">
      <w:pPr>
        <w:pStyle w:val="Pamatteksts1"/>
      </w:pPr>
      <w:r w:rsidRPr="008A7DF1">
        <w:t>Pārskata gadā bilances posteņa iz</w:t>
      </w:r>
      <w:r w:rsidR="00D3156C" w:rsidRPr="008A7DF1">
        <w:t>maiņas galvenokārt saistītas ar:</w:t>
      </w:r>
    </w:p>
    <w:p w14:paraId="3EA8043F" w14:textId="76CA6CDA" w:rsidR="008A7DF1" w:rsidRPr="008A7DF1" w:rsidRDefault="008A7DF1" w:rsidP="008A7DF1">
      <w:pPr>
        <w:pStyle w:val="Bullets"/>
      </w:pPr>
      <w:r>
        <w:t>uzkrāt</w:t>
      </w:r>
      <w:r w:rsidR="005A3929">
        <w:t>o</w:t>
      </w:r>
      <w:r>
        <w:t xml:space="preserve"> ieņēmum</w:t>
      </w:r>
      <w:r w:rsidR="005A3929">
        <w:t xml:space="preserve">u </w:t>
      </w:r>
      <w:r w:rsidR="005A3929" w:rsidRPr="008A7DF1">
        <w:t xml:space="preserve">palielinājumu </w:t>
      </w:r>
      <w:r>
        <w:t>par nodokļiem, nodevām un citiem maksājumiem valsts budžetā</w:t>
      </w:r>
      <w:r w:rsidR="005A3929">
        <w:t xml:space="preserve"> </w:t>
      </w:r>
      <w:r>
        <w:t>146,8</w:t>
      </w:r>
      <w:r w:rsidRPr="00B21DBF">
        <w:rPr>
          <w:bCs/>
        </w:rPr>
        <w:t xml:space="preserve"> </w:t>
      </w:r>
      <w:r w:rsidRPr="00643578">
        <w:rPr>
          <w:bCs/>
        </w:rPr>
        <w:t xml:space="preserve">milj. </w:t>
      </w:r>
      <w:r w:rsidRPr="00643578">
        <w:rPr>
          <w:bCs/>
          <w:i/>
        </w:rPr>
        <w:t>euro</w:t>
      </w:r>
      <w:r w:rsidRPr="00643578">
        <w:rPr>
          <w:bCs/>
        </w:rPr>
        <w:t xml:space="preserve"> </w:t>
      </w:r>
      <w:r>
        <w:rPr>
          <w:bCs/>
        </w:rPr>
        <w:t>apmērā</w:t>
      </w:r>
      <w:r w:rsidR="005A3929" w:rsidRPr="005A3929">
        <w:t xml:space="preserve"> </w:t>
      </w:r>
      <w:r w:rsidR="005A3929" w:rsidRPr="008A7DF1">
        <w:t>VID administrēto valsts budžeta ieņēmumu uzskaitē</w:t>
      </w:r>
      <w:r>
        <w:rPr>
          <w:bCs/>
        </w:rPr>
        <w:t>;</w:t>
      </w:r>
    </w:p>
    <w:p w14:paraId="58EA4AB0" w14:textId="57CF5D6F" w:rsidR="008A7DF1" w:rsidRPr="008A7DF1" w:rsidRDefault="008A7DF1" w:rsidP="008A7DF1">
      <w:pPr>
        <w:pStyle w:val="Bullets"/>
      </w:pPr>
      <w:r>
        <w:t>īstermiņa prasīb</w:t>
      </w:r>
      <w:r w:rsidR="005A3929">
        <w:t>u</w:t>
      </w:r>
      <w:r>
        <w:t xml:space="preserve"> </w:t>
      </w:r>
      <w:r w:rsidR="005A3929">
        <w:t xml:space="preserve">palielinājumu </w:t>
      </w:r>
      <w:r>
        <w:t xml:space="preserve">par iekšzemē iekasēto pievienotās vērtības nodokli un valsts sociālās apdrošināšanas obligātajām iemaksām 135,1 </w:t>
      </w:r>
      <w:r w:rsidRPr="00643578">
        <w:rPr>
          <w:bCs/>
        </w:rPr>
        <w:t xml:space="preserve">milj. </w:t>
      </w:r>
      <w:r w:rsidRPr="00643578">
        <w:rPr>
          <w:bCs/>
          <w:i/>
        </w:rPr>
        <w:t>euro</w:t>
      </w:r>
      <w:r w:rsidRPr="00643578">
        <w:rPr>
          <w:bCs/>
        </w:rPr>
        <w:t xml:space="preserve"> </w:t>
      </w:r>
      <w:r>
        <w:rPr>
          <w:bCs/>
        </w:rPr>
        <w:t>apmērā</w:t>
      </w:r>
      <w:r w:rsidR="005A3929" w:rsidRPr="005A3929">
        <w:t xml:space="preserve"> </w:t>
      </w:r>
      <w:r w:rsidR="005A3929">
        <w:t>VID administrēto valsts budžeta ieņēmumu uzskaitē</w:t>
      </w:r>
      <w:r>
        <w:rPr>
          <w:bCs/>
        </w:rPr>
        <w:t>;</w:t>
      </w:r>
    </w:p>
    <w:p w14:paraId="42C59419" w14:textId="7640EA9E" w:rsidR="008A7DF1" w:rsidRPr="008A7DF1" w:rsidRDefault="008A7DF1" w:rsidP="008A7DF1">
      <w:pPr>
        <w:pStyle w:val="Bullets"/>
      </w:pPr>
      <w:r>
        <w:t xml:space="preserve">valsts </w:t>
      </w:r>
      <w:r w:rsidRPr="008A7DF1">
        <w:t>budžeta finanšu uzskaitē atzīt</w:t>
      </w:r>
      <w:r w:rsidR="005A3929">
        <w:t>ām</w:t>
      </w:r>
      <w:r w:rsidRPr="008A7DF1">
        <w:t xml:space="preserve"> prasīb</w:t>
      </w:r>
      <w:r w:rsidR="005A3929">
        <w:t>ām</w:t>
      </w:r>
      <w:r w:rsidRPr="008A7DF1">
        <w:t xml:space="preserve"> pret Eiropas Komisiju Eiropas Lauksaimniecības garantiju fonda ietvaros 108,9 </w:t>
      </w:r>
      <w:r w:rsidRPr="008A7DF1">
        <w:rPr>
          <w:bCs/>
        </w:rPr>
        <w:t xml:space="preserve">milj. </w:t>
      </w:r>
      <w:r w:rsidRPr="008A7DF1">
        <w:rPr>
          <w:bCs/>
          <w:i/>
        </w:rPr>
        <w:t>euro</w:t>
      </w:r>
      <w:r w:rsidRPr="008A7DF1">
        <w:rPr>
          <w:bCs/>
        </w:rPr>
        <w:t xml:space="preserve"> apmērā</w:t>
      </w:r>
      <w:r w:rsidRPr="008A7DF1">
        <w:t xml:space="preserve"> un dzēst</w:t>
      </w:r>
      <w:r w:rsidR="005A3929">
        <w:t>ām</w:t>
      </w:r>
      <w:r w:rsidRPr="008A7DF1">
        <w:t xml:space="preserve"> iepriekš atzītā</w:t>
      </w:r>
      <w:r w:rsidR="005A3929">
        <w:t>m</w:t>
      </w:r>
      <w:r w:rsidRPr="008A7DF1">
        <w:t xml:space="preserve"> prasīb</w:t>
      </w:r>
      <w:r w:rsidR="005A3929">
        <w:t>ām</w:t>
      </w:r>
      <w:r w:rsidRPr="008A7DF1">
        <w:t xml:space="preserve"> (98,5) </w:t>
      </w:r>
      <w:r w:rsidRPr="008A7DF1">
        <w:rPr>
          <w:bCs/>
        </w:rPr>
        <w:t xml:space="preserve">milj. </w:t>
      </w:r>
      <w:r w:rsidRPr="008A7DF1">
        <w:rPr>
          <w:bCs/>
          <w:i/>
        </w:rPr>
        <w:t>euro</w:t>
      </w:r>
      <w:r w:rsidRPr="008A7DF1">
        <w:rPr>
          <w:bCs/>
        </w:rPr>
        <w:t xml:space="preserve"> apmērā</w:t>
      </w:r>
      <w:r w:rsidR="005A3929">
        <w:rPr>
          <w:bCs/>
        </w:rPr>
        <w:t xml:space="preserve"> atbilstoši</w:t>
      </w:r>
      <w:r w:rsidRPr="008A7DF1">
        <w:t xml:space="preserve"> saņemti</w:t>
      </w:r>
      <w:r w:rsidR="005A3929">
        <w:t>em</w:t>
      </w:r>
      <w:r w:rsidRPr="008A7DF1">
        <w:t xml:space="preserve"> līdzekļi</w:t>
      </w:r>
      <w:r w:rsidR="005A3929">
        <w:t>em</w:t>
      </w:r>
      <w:r w:rsidRPr="008A7DF1">
        <w:t xml:space="preserve"> no Eiropas Komisijas.</w:t>
      </w:r>
    </w:p>
    <w:p w14:paraId="6A9801A1" w14:textId="1E11A229" w:rsidR="0057470D" w:rsidRPr="00E72168" w:rsidRDefault="0048672F" w:rsidP="002A375B">
      <w:pPr>
        <w:pStyle w:val="Pamatteksts1"/>
      </w:pPr>
      <w:r w:rsidRPr="00670BB9">
        <w:t>Pārskata gadā</w:t>
      </w:r>
      <w:r w:rsidR="005A3929">
        <w:t xml:space="preserve"> pašvaldību</w:t>
      </w:r>
      <w:r w:rsidRPr="00670BB9">
        <w:t xml:space="preserve"> piešķirt</w:t>
      </w:r>
      <w:r w:rsidR="003E7CEB" w:rsidRPr="00670BB9">
        <w:t>o</w:t>
      </w:r>
      <w:r w:rsidRPr="00670BB9">
        <w:t xml:space="preserve"> </w:t>
      </w:r>
      <w:r w:rsidR="00BB3FA5" w:rsidRPr="00670BB9">
        <w:t xml:space="preserve">nekustamā īpašuma </w:t>
      </w:r>
      <w:r w:rsidRPr="00670BB9">
        <w:t>nodokļ</w:t>
      </w:r>
      <w:r w:rsidR="00BB3FA5" w:rsidRPr="00670BB9">
        <w:t>a</w:t>
      </w:r>
      <w:r w:rsidRPr="00670BB9">
        <w:t xml:space="preserve"> atvieglojum</w:t>
      </w:r>
      <w:r w:rsidR="003E7CEB" w:rsidRPr="00670BB9">
        <w:t xml:space="preserve">u kopsumma norādīta </w:t>
      </w:r>
      <w:r w:rsidR="00F06FED" w:rsidRPr="00670BB9">
        <w:t>1.</w:t>
      </w:r>
      <w:r w:rsidR="00CE6606" w:rsidRPr="00670BB9">
        <w:t>1</w:t>
      </w:r>
      <w:r w:rsidR="007B608A">
        <w:t>3</w:t>
      </w:r>
      <w:r w:rsidR="007E57EC" w:rsidRPr="00670BB9">
        <w:t>. </w:t>
      </w:r>
      <w:r w:rsidR="003E7CEB" w:rsidRPr="00670BB9">
        <w:t>tabulā</w:t>
      </w:r>
      <w:r w:rsidR="00BB3FA5" w:rsidRPr="00670BB9">
        <w:t>.</w:t>
      </w:r>
      <w:r w:rsidR="00EB68F9" w:rsidRPr="00670BB9">
        <w:t xml:space="preserve"> Atbilstoši likumā </w:t>
      </w:r>
      <w:r w:rsidR="006B0E02" w:rsidRPr="00670BB9">
        <w:t xml:space="preserve">“Par nekustamā īpašuma nodokli” </w:t>
      </w:r>
      <w:r w:rsidR="00EB68F9" w:rsidRPr="00670BB9">
        <w:t>paredzētajam atviegloju</w:t>
      </w:r>
      <w:r w:rsidR="00DF71F1" w:rsidRPr="00670BB9">
        <w:t>ma veidam piešķirti nodokļa atvi</w:t>
      </w:r>
      <w:r w:rsidR="00EB68F9" w:rsidRPr="00670BB9">
        <w:t>eglojumi</w:t>
      </w:r>
      <w:r w:rsidR="00EA0F97" w:rsidRPr="00670BB9">
        <w:t xml:space="preserve"> </w:t>
      </w:r>
      <w:r w:rsidR="00210C28" w:rsidRPr="00670BB9">
        <w:t>3,4</w:t>
      </w:r>
      <w:r w:rsidR="00EB68F9" w:rsidRPr="00670BB9">
        <w:t xml:space="preserve"> </w:t>
      </w:r>
      <w:r w:rsidR="00210C28" w:rsidRPr="00670BB9">
        <w:rPr>
          <w:bCs/>
        </w:rPr>
        <w:t xml:space="preserve">milj. </w:t>
      </w:r>
      <w:r w:rsidR="00210C28" w:rsidRPr="00670BB9">
        <w:rPr>
          <w:bCs/>
          <w:i/>
        </w:rPr>
        <w:t>euro</w:t>
      </w:r>
      <w:r w:rsidR="00210C28" w:rsidRPr="00670BB9">
        <w:rPr>
          <w:bCs/>
        </w:rPr>
        <w:t xml:space="preserve"> apmērā</w:t>
      </w:r>
      <w:r w:rsidR="00EB68F9" w:rsidRPr="00670BB9">
        <w:t>, atbilstoši iestādes saistošajos noteikumos noteiktajiem atvieglojumiem</w:t>
      </w:r>
      <w:r w:rsidR="005A3929">
        <w:t xml:space="preserve"> –</w:t>
      </w:r>
      <w:r w:rsidR="00EA0F97" w:rsidRPr="00670BB9">
        <w:softHyphen/>
        <w:t xml:space="preserve"> </w:t>
      </w:r>
      <w:r w:rsidR="00EB68F9" w:rsidRPr="00670BB9">
        <w:t>14</w:t>
      </w:r>
      <w:r w:rsidR="00210C28" w:rsidRPr="00670BB9">
        <w:t xml:space="preserve">,3 milj. </w:t>
      </w:r>
      <w:r w:rsidR="00EB68F9" w:rsidRPr="00670BB9">
        <w:rPr>
          <w:i/>
        </w:rPr>
        <w:t xml:space="preserve">euro </w:t>
      </w:r>
      <w:r w:rsidR="00EB68F9" w:rsidRPr="00670BB9">
        <w:t>apmērā.</w:t>
      </w:r>
      <w:r w:rsidR="00EB68F9" w:rsidRPr="00E72168">
        <w:t xml:space="preserve"> </w:t>
      </w:r>
    </w:p>
    <w:p w14:paraId="741CC23D" w14:textId="2586B359" w:rsidR="005B5D45" w:rsidRPr="00E72168" w:rsidRDefault="00F06FED" w:rsidP="00C36594">
      <w:pPr>
        <w:spacing w:after="0" w:line="240" w:lineRule="auto"/>
        <w:ind w:firstLine="284"/>
        <w:jc w:val="right"/>
        <w:rPr>
          <w:rFonts w:cs="Times New Roman"/>
          <w:color w:val="17365D"/>
        </w:rPr>
      </w:pPr>
      <w:r>
        <w:rPr>
          <w:rFonts w:eastAsia="Times New Roman" w:cs="Times New Roman"/>
          <w:i/>
          <w:color w:val="17365D"/>
          <w:sz w:val="20"/>
          <w:szCs w:val="20"/>
          <w:lang w:eastAsia="lv-LV"/>
        </w:rPr>
        <w:t>1.</w:t>
      </w:r>
      <w:r w:rsidR="005B5D45" w:rsidRPr="00E72168">
        <w:rPr>
          <w:rFonts w:eastAsia="Times New Roman" w:cs="Times New Roman"/>
          <w:i/>
          <w:color w:val="17365D"/>
          <w:sz w:val="20"/>
          <w:szCs w:val="20"/>
          <w:lang w:eastAsia="lv-LV"/>
        </w:rPr>
        <w:t>1</w:t>
      </w:r>
      <w:r w:rsidR="007B608A">
        <w:rPr>
          <w:rFonts w:eastAsia="Times New Roman" w:cs="Times New Roman"/>
          <w:i/>
          <w:color w:val="17365D"/>
          <w:sz w:val="20"/>
          <w:szCs w:val="20"/>
          <w:lang w:eastAsia="lv-LV"/>
        </w:rPr>
        <w:t>3</w:t>
      </w:r>
      <w:r w:rsidR="005B5D45" w:rsidRPr="00E72168">
        <w:rPr>
          <w:rFonts w:eastAsia="Times New Roman" w:cs="Times New Roman"/>
          <w:i/>
          <w:color w:val="17365D"/>
          <w:sz w:val="20"/>
          <w:szCs w:val="20"/>
          <w:lang w:eastAsia="lv-LV"/>
        </w:rPr>
        <w:t>. tabula. Piešķirtie</w:t>
      </w:r>
      <w:r w:rsidR="00EE4C90">
        <w:rPr>
          <w:rFonts w:eastAsia="Times New Roman" w:cs="Times New Roman"/>
          <w:i/>
          <w:color w:val="17365D"/>
          <w:sz w:val="20"/>
          <w:szCs w:val="20"/>
          <w:lang w:eastAsia="lv-LV"/>
        </w:rPr>
        <w:t xml:space="preserve"> nekustamā īpašuma</w:t>
      </w:r>
      <w:r w:rsidR="005B5D45" w:rsidRPr="00E72168">
        <w:rPr>
          <w:rFonts w:eastAsia="Times New Roman" w:cs="Times New Roman"/>
          <w:i/>
          <w:color w:val="17365D"/>
          <w:sz w:val="20"/>
          <w:szCs w:val="20"/>
          <w:lang w:eastAsia="lv-LV"/>
        </w:rPr>
        <w:t xml:space="preserve"> nodokļ</w:t>
      </w:r>
      <w:r w:rsidR="00EE4C90">
        <w:rPr>
          <w:rFonts w:eastAsia="Times New Roman" w:cs="Times New Roman"/>
          <w:i/>
          <w:color w:val="17365D"/>
          <w:sz w:val="20"/>
          <w:szCs w:val="20"/>
          <w:lang w:eastAsia="lv-LV"/>
        </w:rPr>
        <w:t>a</w:t>
      </w:r>
      <w:r w:rsidR="005B5D45" w:rsidRPr="00E72168">
        <w:rPr>
          <w:rFonts w:eastAsia="Times New Roman" w:cs="Times New Roman"/>
          <w:i/>
          <w:color w:val="17365D"/>
          <w:sz w:val="20"/>
          <w:szCs w:val="20"/>
          <w:lang w:eastAsia="lv-LV"/>
        </w:rPr>
        <w:t xml:space="preserve"> atvieglojumi (euro)</w:t>
      </w:r>
    </w:p>
    <w:tbl>
      <w:tblPr>
        <w:tblW w:w="5000" w:type="pct"/>
        <w:tblLook w:val="04A0" w:firstRow="1" w:lastRow="0" w:firstColumn="1" w:lastColumn="0" w:noHBand="0" w:noVBand="1"/>
      </w:tblPr>
      <w:tblGrid>
        <w:gridCol w:w="5684"/>
        <w:gridCol w:w="1835"/>
        <w:gridCol w:w="1835"/>
      </w:tblGrid>
      <w:tr w:rsidR="000C1009" w:rsidRPr="00E72168" w14:paraId="6393D9F6" w14:textId="7249620E" w:rsidTr="009A4177">
        <w:trPr>
          <w:trHeight w:val="74"/>
          <w:tblHeader/>
        </w:trPr>
        <w:tc>
          <w:tcPr>
            <w:tcW w:w="3038" w:type="pct"/>
            <w:tcBorders>
              <w:bottom w:val="single" w:sz="4" w:space="0" w:color="17365D"/>
            </w:tcBorders>
            <w:shd w:val="clear" w:color="auto" w:fill="B9CDE5"/>
            <w:vAlign w:val="center"/>
            <w:hideMark/>
          </w:tcPr>
          <w:p w14:paraId="6A601405" w14:textId="396AB64E" w:rsidR="007A0E27" w:rsidRPr="00E72168" w:rsidRDefault="007A0E27"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Ieņēmumu klasifikācijas nosaukums</w:t>
            </w:r>
          </w:p>
        </w:tc>
        <w:tc>
          <w:tcPr>
            <w:tcW w:w="981" w:type="pct"/>
            <w:tcBorders>
              <w:bottom w:val="single" w:sz="4" w:space="0" w:color="17365D"/>
            </w:tcBorders>
            <w:shd w:val="clear" w:color="auto" w:fill="B9CDE5"/>
            <w:vAlign w:val="center"/>
            <w:hideMark/>
          </w:tcPr>
          <w:p w14:paraId="02ECE813" w14:textId="006B4419" w:rsidR="007A0E27" w:rsidRPr="00E72168" w:rsidRDefault="003C4B56"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periodā</w:t>
            </w:r>
          </w:p>
        </w:tc>
        <w:tc>
          <w:tcPr>
            <w:tcW w:w="981" w:type="pct"/>
            <w:tcBorders>
              <w:bottom w:val="single" w:sz="4" w:space="0" w:color="17365D"/>
            </w:tcBorders>
            <w:shd w:val="clear" w:color="auto" w:fill="B9CDE5"/>
            <w:vAlign w:val="center"/>
          </w:tcPr>
          <w:p w14:paraId="0443B1CB" w14:textId="134E2A94" w:rsidR="007A0E27" w:rsidRPr="00E72168" w:rsidRDefault="003C4B56"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Iepriekšējā pārskata periodā</w:t>
            </w:r>
          </w:p>
        </w:tc>
      </w:tr>
      <w:tr w:rsidR="000C1009" w:rsidRPr="00E72168" w14:paraId="6660F5E7" w14:textId="34087238" w:rsidTr="00581A8F">
        <w:trPr>
          <w:trHeight w:val="266"/>
        </w:trPr>
        <w:tc>
          <w:tcPr>
            <w:tcW w:w="3038" w:type="pct"/>
            <w:tcBorders>
              <w:top w:val="single" w:sz="4" w:space="0" w:color="17365D"/>
              <w:bottom w:val="single" w:sz="4" w:space="0" w:color="17365D"/>
            </w:tcBorders>
            <w:shd w:val="clear" w:color="auto" w:fill="auto"/>
            <w:vAlign w:val="center"/>
            <w:hideMark/>
          </w:tcPr>
          <w:p w14:paraId="3A1DB15F" w14:textId="77777777" w:rsidR="007A0E27" w:rsidRPr="00E72168" w:rsidRDefault="007A0E27"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981" w:type="pct"/>
            <w:tcBorders>
              <w:top w:val="single" w:sz="4" w:space="0" w:color="17365D"/>
              <w:bottom w:val="single" w:sz="4" w:space="0" w:color="17365D"/>
            </w:tcBorders>
            <w:shd w:val="clear" w:color="auto" w:fill="auto"/>
            <w:vAlign w:val="center"/>
            <w:hideMark/>
          </w:tcPr>
          <w:p w14:paraId="202A5EC8" w14:textId="46F9C0BE" w:rsidR="007A0E27" w:rsidRPr="00E72168" w:rsidRDefault="007A0E27"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981" w:type="pct"/>
            <w:tcBorders>
              <w:top w:val="single" w:sz="4" w:space="0" w:color="17365D"/>
              <w:bottom w:val="single" w:sz="4" w:space="0" w:color="17365D"/>
            </w:tcBorders>
            <w:vAlign w:val="center"/>
          </w:tcPr>
          <w:p w14:paraId="43128E08" w14:textId="57F8E199" w:rsidR="007A0E27" w:rsidRPr="00E72168" w:rsidRDefault="007A0E27"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r>
      <w:tr w:rsidR="008E15D4" w:rsidRPr="00E72168" w14:paraId="1029FAEB" w14:textId="39DFB1E2" w:rsidTr="00581A8F">
        <w:trPr>
          <w:trHeight w:val="266"/>
        </w:trPr>
        <w:tc>
          <w:tcPr>
            <w:tcW w:w="3038" w:type="pct"/>
            <w:tcBorders>
              <w:top w:val="single" w:sz="4" w:space="0" w:color="17365D"/>
              <w:bottom w:val="single" w:sz="4" w:space="0" w:color="17365D"/>
            </w:tcBorders>
            <w:shd w:val="clear" w:color="auto" w:fill="auto"/>
            <w:vAlign w:val="center"/>
            <w:hideMark/>
          </w:tcPr>
          <w:p w14:paraId="30C67C81" w14:textId="13F07979" w:rsidR="008E15D4" w:rsidRPr="00E72168" w:rsidRDefault="008E15D4" w:rsidP="008E15D4">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Nekustamā īpašuma nodoklis par zemi</w:t>
            </w:r>
          </w:p>
        </w:tc>
        <w:tc>
          <w:tcPr>
            <w:tcW w:w="981" w:type="pct"/>
            <w:tcBorders>
              <w:top w:val="single" w:sz="4" w:space="0" w:color="17365D"/>
              <w:bottom w:val="single" w:sz="4" w:space="0" w:color="17365D"/>
            </w:tcBorders>
            <w:shd w:val="clear" w:color="auto" w:fill="auto"/>
            <w:vAlign w:val="center"/>
            <w:hideMark/>
          </w:tcPr>
          <w:p w14:paraId="49A335AF" w14:textId="06F0A4B8" w:rsidR="008E15D4" w:rsidRPr="008E15D4" w:rsidRDefault="008E15D4" w:rsidP="008E15D4">
            <w:pPr>
              <w:spacing w:after="0" w:line="240" w:lineRule="auto"/>
              <w:jc w:val="right"/>
              <w:rPr>
                <w:rFonts w:eastAsia="Times New Roman" w:cs="Times New Roman"/>
                <w:color w:val="17365D"/>
                <w:sz w:val="18"/>
                <w:szCs w:val="18"/>
                <w:lang w:eastAsia="lv-LV"/>
              </w:rPr>
            </w:pPr>
            <w:r w:rsidRPr="008E15D4">
              <w:rPr>
                <w:rFonts w:eastAsia="Times New Roman" w:cs="Times New Roman"/>
                <w:color w:val="17365D"/>
                <w:sz w:val="18"/>
                <w:szCs w:val="18"/>
                <w:lang w:eastAsia="lv-LV"/>
              </w:rPr>
              <w:t>9 082 411</w:t>
            </w:r>
          </w:p>
        </w:tc>
        <w:tc>
          <w:tcPr>
            <w:tcW w:w="981" w:type="pct"/>
            <w:tcBorders>
              <w:top w:val="single" w:sz="4" w:space="0" w:color="17365D"/>
              <w:bottom w:val="single" w:sz="4" w:space="0" w:color="17365D"/>
            </w:tcBorders>
            <w:vAlign w:val="center"/>
          </w:tcPr>
          <w:p w14:paraId="55B7F0EF" w14:textId="6D3435AA" w:rsidR="008E15D4" w:rsidRPr="008E15D4" w:rsidRDefault="008E15D4" w:rsidP="008E15D4">
            <w:pPr>
              <w:spacing w:after="0" w:line="240" w:lineRule="auto"/>
              <w:jc w:val="right"/>
              <w:rPr>
                <w:rFonts w:eastAsia="Times New Roman" w:cs="Times New Roman"/>
                <w:color w:val="17365D"/>
                <w:sz w:val="18"/>
                <w:szCs w:val="18"/>
                <w:lang w:eastAsia="lv-LV"/>
              </w:rPr>
            </w:pPr>
            <w:r w:rsidRPr="008E15D4">
              <w:rPr>
                <w:rFonts w:eastAsia="Times New Roman" w:cs="Times New Roman"/>
                <w:color w:val="17365D"/>
                <w:sz w:val="18"/>
                <w:szCs w:val="18"/>
                <w:lang w:eastAsia="lv-LV"/>
              </w:rPr>
              <w:t>8 941 504</w:t>
            </w:r>
          </w:p>
        </w:tc>
      </w:tr>
      <w:tr w:rsidR="008E15D4" w:rsidRPr="00E72168" w14:paraId="1E3809FA" w14:textId="0CA2E5C2" w:rsidTr="000842CA">
        <w:trPr>
          <w:trHeight w:val="266"/>
        </w:trPr>
        <w:tc>
          <w:tcPr>
            <w:tcW w:w="3038" w:type="pct"/>
            <w:tcBorders>
              <w:top w:val="single" w:sz="4" w:space="0" w:color="17365D"/>
              <w:bottom w:val="single" w:sz="4" w:space="0" w:color="17365D"/>
            </w:tcBorders>
            <w:shd w:val="clear" w:color="auto" w:fill="auto"/>
            <w:vAlign w:val="center"/>
          </w:tcPr>
          <w:p w14:paraId="3A0C7F0A" w14:textId="532822D0" w:rsidR="008E15D4" w:rsidRPr="00E72168" w:rsidRDefault="008E15D4" w:rsidP="008E15D4">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Nekustamā īpašuma nodoklis par ēkām</w:t>
            </w:r>
          </w:p>
        </w:tc>
        <w:tc>
          <w:tcPr>
            <w:tcW w:w="981" w:type="pct"/>
            <w:tcBorders>
              <w:top w:val="single" w:sz="4" w:space="0" w:color="17365D"/>
              <w:bottom w:val="single" w:sz="4" w:space="0" w:color="17365D"/>
            </w:tcBorders>
            <w:shd w:val="clear" w:color="auto" w:fill="auto"/>
            <w:vAlign w:val="center"/>
          </w:tcPr>
          <w:p w14:paraId="0C72767B" w14:textId="778250B7" w:rsidR="008E15D4" w:rsidRPr="008E15D4" w:rsidRDefault="008E15D4" w:rsidP="008E15D4">
            <w:pPr>
              <w:spacing w:after="0" w:line="240" w:lineRule="auto"/>
              <w:jc w:val="right"/>
              <w:rPr>
                <w:rFonts w:eastAsia="Times New Roman" w:cs="Times New Roman"/>
                <w:color w:val="17365D"/>
                <w:sz w:val="18"/>
                <w:szCs w:val="18"/>
                <w:lang w:eastAsia="lv-LV"/>
              </w:rPr>
            </w:pPr>
            <w:r w:rsidRPr="008E15D4">
              <w:rPr>
                <w:rFonts w:eastAsia="Times New Roman" w:cs="Times New Roman"/>
                <w:color w:val="17365D"/>
                <w:sz w:val="18"/>
                <w:szCs w:val="18"/>
                <w:lang w:eastAsia="lv-LV"/>
              </w:rPr>
              <w:t>3 375 322</w:t>
            </w:r>
          </w:p>
        </w:tc>
        <w:tc>
          <w:tcPr>
            <w:tcW w:w="981" w:type="pct"/>
            <w:tcBorders>
              <w:top w:val="single" w:sz="4" w:space="0" w:color="17365D"/>
              <w:bottom w:val="single" w:sz="4" w:space="0" w:color="17365D"/>
            </w:tcBorders>
            <w:shd w:val="clear" w:color="auto" w:fill="auto"/>
            <w:vAlign w:val="center"/>
          </w:tcPr>
          <w:p w14:paraId="6054EA4A" w14:textId="3200059A" w:rsidR="008E15D4" w:rsidRPr="008E15D4" w:rsidRDefault="008E15D4" w:rsidP="008E15D4">
            <w:pPr>
              <w:spacing w:after="0" w:line="240" w:lineRule="auto"/>
              <w:jc w:val="right"/>
              <w:rPr>
                <w:rFonts w:eastAsia="Times New Roman" w:cs="Times New Roman"/>
                <w:color w:val="17365D"/>
                <w:sz w:val="18"/>
                <w:szCs w:val="18"/>
                <w:lang w:eastAsia="lv-LV"/>
              </w:rPr>
            </w:pPr>
            <w:r w:rsidRPr="008E15D4">
              <w:rPr>
                <w:rFonts w:eastAsia="Times New Roman" w:cs="Times New Roman"/>
                <w:color w:val="17365D"/>
                <w:sz w:val="18"/>
                <w:szCs w:val="18"/>
                <w:lang w:eastAsia="lv-LV"/>
              </w:rPr>
              <w:t>3 452 053</w:t>
            </w:r>
          </w:p>
        </w:tc>
      </w:tr>
      <w:tr w:rsidR="008E15D4" w:rsidRPr="00E72168" w14:paraId="114BB750" w14:textId="34ACF62B" w:rsidTr="000842CA">
        <w:trPr>
          <w:trHeight w:val="266"/>
        </w:trPr>
        <w:tc>
          <w:tcPr>
            <w:tcW w:w="3038" w:type="pct"/>
            <w:tcBorders>
              <w:top w:val="single" w:sz="4" w:space="0" w:color="17365D"/>
              <w:bottom w:val="single" w:sz="4" w:space="0" w:color="17365D"/>
            </w:tcBorders>
            <w:shd w:val="clear" w:color="auto" w:fill="auto"/>
            <w:vAlign w:val="center"/>
          </w:tcPr>
          <w:p w14:paraId="27C55AB9" w14:textId="3855D086" w:rsidR="008E15D4" w:rsidRPr="00E72168" w:rsidRDefault="008E15D4" w:rsidP="008E15D4">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Nekustamā īpašuma nodoklis par mājokļiem</w:t>
            </w:r>
          </w:p>
        </w:tc>
        <w:tc>
          <w:tcPr>
            <w:tcW w:w="981" w:type="pct"/>
            <w:tcBorders>
              <w:top w:val="single" w:sz="4" w:space="0" w:color="17365D"/>
              <w:bottom w:val="single" w:sz="4" w:space="0" w:color="17365D"/>
            </w:tcBorders>
            <w:shd w:val="clear" w:color="auto" w:fill="auto"/>
            <w:vAlign w:val="center"/>
          </w:tcPr>
          <w:p w14:paraId="59364040" w14:textId="6860B688" w:rsidR="008E15D4" w:rsidRPr="008E15D4" w:rsidRDefault="008E15D4" w:rsidP="008E15D4">
            <w:pPr>
              <w:spacing w:after="0" w:line="240" w:lineRule="auto"/>
              <w:jc w:val="right"/>
              <w:rPr>
                <w:rFonts w:eastAsia="Times New Roman" w:cs="Times New Roman"/>
                <w:color w:val="17365D"/>
                <w:sz w:val="18"/>
                <w:szCs w:val="18"/>
                <w:lang w:eastAsia="lv-LV"/>
              </w:rPr>
            </w:pPr>
            <w:r w:rsidRPr="008E15D4">
              <w:rPr>
                <w:rFonts w:eastAsia="Times New Roman" w:cs="Times New Roman"/>
                <w:color w:val="17365D"/>
                <w:sz w:val="18"/>
                <w:szCs w:val="18"/>
                <w:lang w:eastAsia="lv-LV"/>
              </w:rPr>
              <w:t>5 228 563</w:t>
            </w:r>
          </w:p>
        </w:tc>
        <w:tc>
          <w:tcPr>
            <w:tcW w:w="981" w:type="pct"/>
            <w:tcBorders>
              <w:top w:val="single" w:sz="4" w:space="0" w:color="17365D"/>
              <w:bottom w:val="single" w:sz="4" w:space="0" w:color="17365D"/>
            </w:tcBorders>
            <w:shd w:val="clear" w:color="auto" w:fill="auto"/>
            <w:vAlign w:val="center"/>
          </w:tcPr>
          <w:p w14:paraId="6A6CAEED" w14:textId="0B56DF1F" w:rsidR="008E15D4" w:rsidRPr="008E15D4" w:rsidRDefault="008E15D4" w:rsidP="008E15D4">
            <w:pPr>
              <w:spacing w:after="0" w:line="240" w:lineRule="auto"/>
              <w:jc w:val="right"/>
              <w:rPr>
                <w:rFonts w:eastAsia="Times New Roman" w:cs="Times New Roman"/>
                <w:color w:val="17365D"/>
                <w:sz w:val="18"/>
                <w:szCs w:val="18"/>
                <w:lang w:eastAsia="lv-LV"/>
              </w:rPr>
            </w:pPr>
            <w:r w:rsidRPr="008E15D4">
              <w:rPr>
                <w:rFonts w:eastAsia="Times New Roman" w:cs="Times New Roman"/>
                <w:color w:val="17365D"/>
                <w:sz w:val="18"/>
                <w:szCs w:val="18"/>
                <w:lang w:eastAsia="lv-LV"/>
              </w:rPr>
              <w:t>4 995 279</w:t>
            </w:r>
          </w:p>
        </w:tc>
      </w:tr>
      <w:tr w:rsidR="008E15D4" w:rsidRPr="00E72168" w14:paraId="5600027C" w14:textId="667FBC19" w:rsidTr="00581A8F">
        <w:trPr>
          <w:trHeight w:val="56"/>
        </w:trPr>
        <w:tc>
          <w:tcPr>
            <w:tcW w:w="3038" w:type="pct"/>
            <w:tcBorders>
              <w:top w:val="single" w:sz="4" w:space="0" w:color="17365D"/>
            </w:tcBorders>
            <w:shd w:val="clear" w:color="auto" w:fill="B9CDE5"/>
            <w:vAlign w:val="center"/>
          </w:tcPr>
          <w:p w14:paraId="358BB97A" w14:textId="62E7A073" w:rsidR="008E15D4" w:rsidRPr="00E72168" w:rsidRDefault="008E15D4" w:rsidP="008E15D4">
            <w:pPr>
              <w:spacing w:after="0"/>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Kopā</w:t>
            </w:r>
          </w:p>
        </w:tc>
        <w:tc>
          <w:tcPr>
            <w:tcW w:w="981" w:type="pct"/>
            <w:tcBorders>
              <w:top w:val="single" w:sz="4" w:space="0" w:color="17365D"/>
            </w:tcBorders>
            <w:shd w:val="clear" w:color="auto" w:fill="B9CDE5"/>
            <w:noWrap/>
            <w:vAlign w:val="center"/>
          </w:tcPr>
          <w:p w14:paraId="4C574853" w14:textId="1B4C4EDB" w:rsidR="008E15D4" w:rsidRPr="008E15D4" w:rsidRDefault="008E15D4" w:rsidP="008E15D4">
            <w:pPr>
              <w:spacing w:after="0"/>
              <w:ind w:left="-113"/>
              <w:jc w:val="right"/>
              <w:rPr>
                <w:rFonts w:eastAsia="Times New Roman" w:cs="Times New Roman"/>
                <w:b/>
                <w:bCs/>
                <w:color w:val="17365D"/>
                <w:sz w:val="18"/>
                <w:szCs w:val="18"/>
                <w:lang w:eastAsia="lv-LV"/>
              </w:rPr>
            </w:pPr>
            <w:r w:rsidRPr="008E15D4">
              <w:rPr>
                <w:rFonts w:eastAsia="Times New Roman" w:cs="Times New Roman"/>
                <w:b/>
                <w:bCs/>
                <w:color w:val="17365D"/>
                <w:sz w:val="18"/>
                <w:szCs w:val="18"/>
                <w:lang w:eastAsia="lv-LV"/>
              </w:rPr>
              <w:t>17 686 296</w:t>
            </w:r>
          </w:p>
        </w:tc>
        <w:tc>
          <w:tcPr>
            <w:tcW w:w="981" w:type="pct"/>
            <w:tcBorders>
              <w:top w:val="single" w:sz="4" w:space="0" w:color="17365D"/>
            </w:tcBorders>
            <w:shd w:val="clear" w:color="auto" w:fill="B9CDE5"/>
            <w:vAlign w:val="center"/>
          </w:tcPr>
          <w:p w14:paraId="4D5FEA8A" w14:textId="3527BF2C" w:rsidR="008E15D4" w:rsidRPr="008E15D4" w:rsidRDefault="008E15D4" w:rsidP="008E15D4">
            <w:pPr>
              <w:spacing w:after="0"/>
              <w:ind w:left="-113"/>
              <w:jc w:val="right"/>
              <w:rPr>
                <w:rFonts w:eastAsia="Times New Roman" w:cs="Times New Roman"/>
                <w:b/>
                <w:bCs/>
                <w:color w:val="17365D"/>
                <w:sz w:val="18"/>
                <w:szCs w:val="18"/>
                <w:lang w:eastAsia="lv-LV"/>
              </w:rPr>
            </w:pPr>
            <w:r w:rsidRPr="008E15D4">
              <w:rPr>
                <w:rFonts w:eastAsia="Times New Roman" w:cs="Times New Roman"/>
                <w:b/>
                <w:bCs/>
                <w:color w:val="17365D"/>
                <w:sz w:val="18"/>
                <w:szCs w:val="18"/>
                <w:lang w:eastAsia="lv-LV"/>
              </w:rPr>
              <w:t>17 388 836</w:t>
            </w:r>
          </w:p>
        </w:tc>
      </w:tr>
    </w:tbl>
    <w:p w14:paraId="66F8D83A" w14:textId="77777777" w:rsidR="008F6207" w:rsidRDefault="008F6207" w:rsidP="006D7BEC">
      <w:pPr>
        <w:spacing w:after="120" w:line="240" w:lineRule="auto"/>
        <w:ind w:firstLine="284"/>
        <w:jc w:val="both"/>
        <w:rPr>
          <w:rFonts w:cs="Times New Roman"/>
          <w:color w:val="17365D"/>
        </w:rPr>
      </w:pPr>
    </w:p>
    <w:p w14:paraId="6759E729" w14:textId="682823F8" w:rsidR="00AD542F" w:rsidRPr="00787FA4" w:rsidRDefault="00AD542F" w:rsidP="006D7BEC">
      <w:pPr>
        <w:spacing w:after="120" w:line="240" w:lineRule="auto"/>
        <w:ind w:firstLine="284"/>
        <w:jc w:val="both"/>
        <w:rPr>
          <w:rFonts w:cs="Times New Roman"/>
          <w:color w:val="17365D"/>
        </w:rPr>
      </w:pPr>
      <w:r w:rsidRPr="00787FA4">
        <w:rPr>
          <w:rFonts w:cs="Times New Roman"/>
          <w:color w:val="17365D"/>
        </w:rPr>
        <w:t xml:space="preserve">Prasībām </w:t>
      </w:r>
      <w:r w:rsidR="0051376B" w:rsidRPr="00787FA4">
        <w:rPr>
          <w:rFonts w:cs="Times New Roman"/>
          <w:color w:val="17365D"/>
        </w:rPr>
        <w:t>202</w:t>
      </w:r>
      <w:r w:rsidR="008B0513" w:rsidRPr="00787FA4">
        <w:rPr>
          <w:rFonts w:cs="Times New Roman"/>
          <w:color w:val="17365D"/>
        </w:rPr>
        <w:t>4</w:t>
      </w:r>
      <w:r w:rsidRPr="00787FA4">
        <w:rPr>
          <w:rFonts w:cs="Times New Roman"/>
          <w:color w:val="17365D"/>
        </w:rPr>
        <w:t>.</w:t>
      </w:r>
      <w:r w:rsidR="00F73CE6" w:rsidRPr="00787FA4">
        <w:rPr>
          <w:rFonts w:cs="Times New Roman"/>
          <w:color w:val="17365D"/>
        </w:rPr>
        <w:t> </w:t>
      </w:r>
      <w:r w:rsidRPr="00787FA4">
        <w:rPr>
          <w:rFonts w:cs="Times New Roman"/>
          <w:color w:val="17365D"/>
        </w:rPr>
        <w:t xml:space="preserve">gada beigās atzītais vērtības samazinājums </w:t>
      </w:r>
      <w:r w:rsidR="000F20E1">
        <w:rPr>
          <w:rFonts w:cs="Times New Roman"/>
          <w:color w:val="17365D"/>
        </w:rPr>
        <w:t xml:space="preserve">palielinājies par </w:t>
      </w:r>
      <w:r w:rsidR="003A5AEB">
        <w:rPr>
          <w:rFonts w:cs="Times New Roman"/>
          <w:color w:val="17365D"/>
        </w:rPr>
        <w:t>(</w:t>
      </w:r>
      <w:r w:rsidR="000F20E1">
        <w:rPr>
          <w:rFonts w:cs="Times New Roman"/>
          <w:color w:val="17365D"/>
        </w:rPr>
        <w:t>18,7</w:t>
      </w:r>
      <w:r w:rsidR="003A5AEB">
        <w:rPr>
          <w:rFonts w:cs="Times New Roman"/>
          <w:color w:val="17365D"/>
        </w:rPr>
        <w:t>)</w:t>
      </w:r>
      <w:r w:rsidR="000F20E1" w:rsidRPr="000F20E1">
        <w:t xml:space="preserve"> </w:t>
      </w:r>
      <w:r w:rsidR="000F20E1" w:rsidRPr="006654C6">
        <w:rPr>
          <w:rFonts w:cs="Times New Roman"/>
          <w:color w:val="17365D"/>
        </w:rPr>
        <w:t>milj. </w:t>
      </w:r>
      <w:proofErr w:type="spellStart"/>
      <w:r w:rsidR="000F20E1" w:rsidRPr="006654C6">
        <w:rPr>
          <w:rFonts w:cs="Times New Roman"/>
          <w:i/>
          <w:iCs/>
          <w:color w:val="17365D"/>
        </w:rPr>
        <w:t>euro</w:t>
      </w:r>
      <w:proofErr w:type="spellEnd"/>
      <w:r w:rsidR="000F20E1" w:rsidRPr="006654C6">
        <w:rPr>
          <w:rFonts w:cs="Times New Roman"/>
          <w:color w:val="17365D"/>
        </w:rPr>
        <w:t xml:space="preserve"> salīdzinājumā ar iepriekšējo gadu un pārskata gada beigās</w:t>
      </w:r>
      <w:r w:rsidR="000F20E1">
        <w:rPr>
          <w:rFonts w:cs="Times New Roman"/>
          <w:color w:val="17365D"/>
        </w:rPr>
        <w:t xml:space="preserve"> </w:t>
      </w:r>
      <w:r w:rsidRPr="00787FA4">
        <w:rPr>
          <w:rFonts w:cs="Times New Roman"/>
          <w:color w:val="17365D"/>
        </w:rPr>
        <w:t>saskaņā ar:</w:t>
      </w:r>
    </w:p>
    <w:p w14:paraId="3632ED0B" w14:textId="009F0814" w:rsidR="00AD542F" w:rsidRPr="00787FA4" w:rsidRDefault="00AD542F" w:rsidP="00060622">
      <w:pPr>
        <w:pStyle w:val="Bullets"/>
      </w:pPr>
      <w:r w:rsidRPr="00787FA4">
        <w:rPr>
          <w:bCs/>
        </w:rPr>
        <w:lastRenderedPageBreak/>
        <w:t>ministriju un centrālo valsts iestāžu sniegto informāciju ir (</w:t>
      </w:r>
      <w:r w:rsidR="008B0513" w:rsidRPr="00787FA4">
        <w:rPr>
          <w:bCs/>
        </w:rPr>
        <w:t>618,3</w:t>
      </w:r>
      <w:r w:rsidRPr="00787FA4">
        <w:rPr>
          <w:bCs/>
        </w:rPr>
        <w:t xml:space="preserve">) </w:t>
      </w:r>
      <w:r w:rsidR="008B0513" w:rsidRPr="00787FA4">
        <w:rPr>
          <w:bCs/>
        </w:rPr>
        <w:t xml:space="preserve">milj. </w:t>
      </w:r>
      <w:r w:rsidRPr="00787FA4">
        <w:rPr>
          <w:bCs/>
          <w:i/>
        </w:rPr>
        <w:t>euro</w:t>
      </w:r>
      <w:r w:rsidRPr="00787FA4">
        <w:rPr>
          <w:bCs/>
        </w:rPr>
        <w:t>.</w:t>
      </w:r>
      <w:r w:rsidRPr="00787FA4">
        <w:t xml:space="preserve"> Lielākā vērtības samazinājuma daļa ir izveidota prasībām pret uzturlīdzekļu parādniekiem par izmaksātajiem uzturlīdzekļiem pilnas apšaubāmās summas (</w:t>
      </w:r>
      <w:r w:rsidR="00B0732C" w:rsidRPr="00787FA4">
        <w:t>5</w:t>
      </w:r>
      <w:r w:rsidR="00787FA4" w:rsidRPr="00787FA4">
        <w:t>72,9</w:t>
      </w:r>
      <w:r w:rsidRPr="00787FA4">
        <w:t>)</w:t>
      </w:r>
      <w:r w:rsidR="00E70560">
        <w:t> </w:t>
      </w:r>
      <w:r w:rsidR="00787FA4" w:rsidRPr="00787FA4">
        <w:t>milj.</w:t>
      </w:r>
      <w:r w:rsidR="00E70560">
        <w:t> </w:t>
      </w:r>
      <w:r w:rsidRPr="00787FA4">
        <w:rPr>
          <w:i/>
        </w:rPr>
        <w:t>euro</w:t>
      </w:r>
      <w:r w:rsidRPr="00787FA4">
        <w:t xml:space="preserve"> apmērā;</w:t>
      </w:r>
    </w:p>
    <w:p w14:paraId="441171B5" w14:textId="25222821" w:rsidR="00801CED" w:rsidRPr="00C6474B" w:rsidRDefault="00AD542F" w:rsidP="00060622">
      <w:pPr>
        <w:pStyle w:val="Bullets"/>
      </w:pPr>
      <w:r w:rsidRPr="00C6474B">
        <w:rPr>
          <w:bCs/>
        </w:rPr>
        <w:t>pašvaldību sniegto informāciju ir (</w:t>
      </w:r>
      <w:r w:rsidR="00C6474B" w:rsidRPr="00C6474B">
        <w:rPr>
          <w:bCs/>
        </w:rPr>
        <w:t>61,3</w:t>
      </w:r>
      <w:r w:rsidRPr="00C6474B">
        <w:rPr>
          <w:bCs/>
        </w:rPr>
        <w:t xml:space="preserve">) </w:t>
      </w:r>
      <w:r w:rsidR="00C6474B" w:rsidRPr="00C6474B">
        <w:rPr>
          <w:bCs/>
        </w:rPr>
        <w:t xml:space="preserve">milj. </w:t>
      </w:r>
      <w:r w:rsidRPr="00C6474B">
        <w:rPr>
          <w:bCs/>
          <w:i/>
        </w:rPr>
        <w:t>euro</w:t>
      </w:r>
      <w:r w:rsidRPr="00C6474B">
        <w:rPr>
          <w:bCs/>
        </w:rPr>
        <w:t>. Lielākā vērtības samazinājuma daļa ir izveidota</w:t>
      </w:r>
      <w:r w:rsidR="00417AAE">
        <w:rPr>
          <w:bCs/>
        </w:rPr>
        <w:t xml:space="preserve"> </w:t>
      </w:r>
      <w:r w:rsidR="00417AAE" w:rsidRPr="00D06860">
        <w:t>atbilstoši izpildes termiņa kavēto dienu skaitam</w:t>
      </w:r>
      <w:r w:rsidR="00801CED" w:rsidRPr="00C6474B">
        <w:rPr>
          <w:bCs/>
        </w:rPr>
        <w:t>;</w:t>
      </w:r>
    </w:p>
    <w:p w14:paraId="55F85D15" w14:textId="56DACFCE" w:rsidR="00AD542F" w:rsidRPr="003D2016" w:rsidRDefault="00876BB1" w:rsidP="00060622">
      <w:pPr>
        <w:pStyle w:val="Bullets"/>
      </w:pPr>
      <w:r w:rsidRPr="003D2016">
        <w:rPr>
          <w:bCs/>
        </w:rPr>
        <w:t xml:space="preserve">ikgadējo pārskatu par VID administrēto valsts budžeta ieņēmumu grāmatvedības uzskaiti </w:t>
      </w:r>
      <w:r w:rsidR="006644A1" w:rsidRPr="003D2016">
        <w:rPr>
          <w:bCs/>
        </w:rPr>
        <w:t xml:space="preserve">un ikgadējo pārskatu par valsts budžeta finanšu uzskaiti </w:t>
      </w:r>
      <w:r w:rsidRPr="003D2016">
        <w:rPr>
          <w:bCs/>
        </w:rPr>
        <w:t>ir (</w:t>
      </w:r>
      <w:r w:rsidR="003D2016" w:rsidRPr="003D2016">
        <w:rPr>
          <w:bCs/>
          <w:iCs/>
        </w:rPr>
        <w:t>557,5</w:t>
      </w:r>
      <w:r w:rsidR="00D46188" w:rsidRPr="003D2016">
        <w:rPr>
          <w:bCs/>
          <w:iCs/>
        </w:rPr>
        <w:t>)</w:t>
      </w:r>
      <w:r w:rsidRPr="003D2016">
        <w:rPr>
          <w:bCs/>
        </w:rPr>
        <w:t xml:space="preserve"> </w:t>
      </w:r>
      <w:r w:rsidR="003D2016" w:rsidRPr="003D2016">
        <w:rPr>
          <w:bCs/>
        </w:rPr>
        <w:t xml:space="preserve">milj. </w:t>
      </w:r>
      <w:r w:rsidRPr="003D2016">
        <w:rPr>
          <w:bCs/>
          <w:i/>
        </w:rPr>
        <w:t>euro</w:t>
      </w:r>
      <w:r w:rsidRPr="003D2016">
        <w:rPr>
          <w:bCs/>
        </w:rPr>
        <w:t>.</w:t>
      </w:r>
    </w:p>
    <w:p w14:paraId="4B78161B" w14:textId="1BE82B82" w:rsidR="007F47FB" w:rsidRPr="00E72168" w:rsidRDefault="00672937" w:rsidP="00417AAE">
      <w:pPr>
        <w:pStyle w:val="Pamatteksts1"/>
        <w:rPr>
          <w:sz w:val="22"/>
        </w:rPr>
      </w:pPr>
      <w:r w:rsidRPr="00D06860">
        <w:t>Vērtības samazinājums</w:t>
      </w:r>
      <w:r w:rsidR="00EE02BB">
        <w:t xml:space="preserve"> īstermiņa</w:t>
      </w:r>
      <w:r w:rsidRPr="00D06860">
        <w:t xml:space="preserve"> prasībām pret pircējiem un pasūtītājiem</w:t>
      </w:r>
      <w:r w:rsidR="00EE02BB">
        <w:t xml:space="preserve"> </w:t>
      </w:r>
      <w:r w:rsidR="00EE02BB" w:rsidRPr="00D06860">
        <w:t>galvenokārt veidots atbilstoši izpildes termiņa kavēto dienu skaitam</w:t>
      </w:r>
      <w:r w:rsidR="00417AAE">
        <w:t>, savukārt</w:t>
      </w:r>
      <w:r w:rsidRPr="00D06860">
        <w:t xml:space="preserve"> </w:t>
      </w:r>
      <w:r w:rsidR="0020364F" w:rsidRPr="00D06860">
        <w:t>prasībām par nodokļiem, nodevām un citiem maksājumiem budžetos</w:t>
      </w:r>
      <w:r w:rsidR="00417AAE">
        <w:t xml:space="preserve"> un pārējām prasībām vērtības samazinājums</w:t>
      </w:r>
      <w:r w:rsidR="00DD4ABC" w:rsidRPr="00D06860">
        <w:t xml:space="preserve"> g</w:t>
      </w:r>
      <w:r w:rsidR="0020364F" w:rsidRPr="00D06860">
        <w:t>alvenokārt veidots</w:t>
      </w:r>
      <w:r w:rsidR="00417AAE">
        <w:t xml:space="preserve"> </w:t>
      </w:r>
      <w:r w:rsidR="00417AAE" w:rsidRPr="00417AAE">
        <w:t>apšaubāmās summas apmērā darījuma partnera maksātnespējas vai tiesvedības procesa dēļ</w:t>
      </w:r>
      <w:r w:rsidR="0020364F" w:rsidRPr="00D06860">
        <w:t>.</w:t>
      </w:r>
      <w:r w:rsidR="0020364F" w:rsidRPr="00E72168">
        <w:t xml:space="preserve"> </w:t>
      </w:r>
    </w:p>
    <w:p w14:paraId="6C316DB5" w14:textId="4704398C" w:rsidR="00B76C65" w:rsidRPr="00E72168" w:rsidRDefault="009D537C" w:rsidP="00123493">
      <w:pPr>
        <w:pStyle w:val="Heading4"/>
        <w:jc w:val="both"/>
        <w:rPr>
          <w:rFonts w:cs="Times New Roman"/>
        </w:rPr>
      </w:pPr>
      <w:r w:rsidRPr="00E72168">
        <w:rPr>
          <w:rFonts w:cs="Times New Roman"/>
        </w:rPr>
        <w:t xml:space="preserve">Piezīme Nr. </w:t>
      </w:r>
      <w:r w:rsidR="00D41F06" w:rsidRPr="00E72168">
        <w:rPr>
          <w:rFonts w:cs="Times New Roman"/>
        </w:rPr>
        <w:t>KB.</w:t>
      </w:r>
      <w:r w:rsidR="00F73CE6" w:rsidRPr="00E72168">
        <w:rPr>
          <w:rFonts w:cs="Times New Roman"/>
        </w:rPr>
        <w:t>2.4</w:t>
      </w:r>
      <w:r w:rsidR="00D41F06" w:rsidRPr="00E72168">
        <w:rPr>
          <w:rFonts w:cs="Times New Roman"/>
        </w:rPr>
        <w:t>. Nākamo periodu izdevumi un avansi par pakalpojumiem un projektiem</w:t>
      </w:r>
    </w:p>
    <w:p w14:paraId="3F4AA15B" w14:textId="38E45770" w:rsidR="009B1D0C" w:rsidRPr="00E72168" w:rsidRDefault="00F06FED" w:rsidP="009B1D0C">
      <w:pPr>
        <w:pStyle w:val="Tabulasnosaukums1"/>
        <w:rPr>
          <w:rFonts w:cs="Times New Roman"/>
          <w:i/>
          <w:color w:val="17365D"/>
        </w:rPr>
      </w:pPr>
      <w:r>
        <w:rPr>
          <w:rFonts w:cs="Times New Roman"/>
          <w:i/>
          <w:color w:val="17365D"/>
        </w:rPr>
        <w:t>1.</w:t>
      </w:r>
      <w:r w:rsidR="002C5934" w:rsidRPr="00E72168">
        <w:rPr>
          <w:rFonts w:cs="Times New Roman"/>
          <w:i/>
          <w:color w:val="17365D"/>
        </w:rPr>
        <w:t>1</w:t>
      </w:r>
      <w:r w:rsidR="007B608A">
        <w:rPr>
          <w:rFonts w:cs="Times New Roman"/>
          <w:i/>
          <w:color w:val="17365D"/>
        </w:rPr>
        <w:t>4</w:t>
      </w:r>
      <w:r w:rsidR="009B1D0C" w:rsidRPr="00E72168">
        <w:rPr>
          <w:rFonts w:cs="Times New Roman"/>
          <w:i/>
          <w:color w:val="17365D"/>
        </w:rPr>
        <w:t>. tabula. Nākamo periodu izdevumi un avansi par pakal</w:t>
      </w:r>
      <w:r w:rsidR="00035FEE" w:rsidRPr="00E72168">
        <w:rPr>
          <w:rFonts w:cs="Times New Roman"/>
          <w:i/>
          <w:color w:val="17365D"/>
        </w:rPr>
        <w:t>p</w:t>
      </w:r>
      <w:r w:rsidR="009B1D0C" w:rsidRPr="00E72168">
        <w:rPr>
          <w:rFonts w:cs="Times New Roman"/>
          <w:i/>
          <w:color w:val="17365D"/>
        </w:rPr>
        <w:t>ojumiem un projektiem (euro)</w:t>
      </w:r>
    </w:p>
    <w:tbl>
      <w:tblPr>
        <w:tblW w:w="0" w:type="auto"/>
        <w:tblLook w:val="04A0" w:firstRow="1" w:lastRow="0" w:firstColumn="1" w:lastColumn="0" w:noHBand="0" w:noVBand="1"/>
      </w:tblPr>
      <w:tblGrid>
        <w:gridCol w:w="3010"/>
        <w:gridCol w:w="886"/>
        <w:gridCol w:w="1464"/>
        <w:gridCol w:w="1508"/>
        <w:gridCol w:w="1221"/>
        <w:gridCol w:w="1265"/>
      </w:tblGrid>
      <w:tr w:rsidR="000C1009" w:rsidRPr="00E72168" w14:paraId="3B9815D5" w14:textId="77777777" w:rsidTr="009A4177">
        <w:trPr>
          <w:trHeight w:val="684"/>
          <w:tblHeader/>
        </w:trPr>
        <w:tc>
          <w:tcPr>
            <w:tcW w:w="0" w:type="auto"/>
            <w:tcBorders>
              <w:bottom w:val="single" w:sz="4" w:space="0" w:color="17365D"/>
            </w:tcBorders>
            <w:shd w:val="clear" w:color="auto" w:fill="B9CDE5"/>
            <w:vAlign w:val="center"/>
            <w:hideMark/>
          </w:tcPr>
          <w:p w14:paraId="69B7365C" w14:textId="265405E4" w:rsidR="00905F3C" w:rsidRPr="00E72168" w:rsidRDefault="007611AA" w:rsidP="00905F3C">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0" w:type="auto"/>
            <w:tcBorders>
              <w:bottom w:val="single" w:sz="4" w:space="0" w:color="17365D"/>
            </w:tcBorders>
            <w:shd w:val="clear" w:color="auto" w:fill="B9CDE5"/>
            <w:vAlign w:val="center"/>
            <w:hideMark/>
          </w:tcPr>
          <w:p w14:paraId="34AD60A8"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0" w:type="auto"/>
            <w:tcBorders>
              <w:bottom w:val="single" w:sz="4" w:space="0" w:color="17365D"/>
            </w:tcBorders>
            <w:shd w:val="clear" w:color="auto" w:fill="B9CDE5"/>
            <w:vAlign w:val="center"/>
            <w:hideMark/>
          </w:tcPr>
          <w:p w14:paraId="7A61E2D2"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0" w:type="auto"/>
            <w:tcBorders>
              <w:bottom w:val="single" w:sz="4" w:space="0" w:color="17365D"/>
            </w:tcBorders>
            <w:shd w:val="clear" w:color="auto" w:fill="B9CDE5"/>
            <w:vAlign w:val="center"/>
            <w:hideMark/>
          </w:tcPr>
          <w:p w14:paraId="184791AB"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0" w:type="auto"/>
            <w:tcBorders>
              <w:bottom w:val="single" w:sz="4" w:space="0" w:color="17365D"/>
            </w:tcBorders>
            <w:shd w:val="clear" w:color="auto" w:fill="B9CDE5"/>
            <w:vAlign w:val="center"/>
            <w:hideMark/>
          </w:tcPr>
          <w:p w14:paraId="0CAC1EDF" w14:textId="2825DDD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1265" w:type="dxa"/>
            <w:tcBorders>
              <w:bottom w:val="single" w:sz="4" w:space="0" w:color="17365D"/>
            </w:tcBorders>
            <w:shd w:val="clear" w:color="auto" w:fill="B9CDE5"/>
            <w:vAlign w:val="center"/>
            <w:hideMark/>
          </w:tcPr>
          <w:p w14:paraId="42290B02"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0DED9158" w14:textId="77777777" w:rsidTr="009A4177">
        <w:trPr>
          <w:trHeight w:val="240"/>
        </w:trPr>
        <w:tc>
          <w:tcPr>
            <w:tcW w:w="0" w:type="auto"/>
            <w:tcBorders>
              <w:top w:val="single" w:sz="4" w:space="0" w:color="17365D"/>
              <w:bottom w:val="single" w:sz="4" w:space="0" w:color="17365D"/>
            </w:tcBorders>
            <w:shd w:val="clear" w:color="auto" w:fill="auto"/>
            <w:vAlign w:val="center"/>
            <w:hideMark/>
          </w:tcPr>
          <w:p w14:paraId="548A5881"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0" w:type="auto"/>
            <w:tcBorders>
              <w:top w:val="single" w:sz="4" w:space="0" w:color="17365D"/>
              <w:bottom w:val="single" w:sz="4" w:space="0" w:color="17365D"/>
            </w:tcBorders>
            <w:shd w:val="clear" w:color="auto" w:fill="auto"/>
            <w:vAlign w:val="center"/>
            <w:hideMark/>
          </w:tcPr>
          <w:p w14:paraId="5A723BAE"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0" w:type="auto"/>
            <w:tcBorders>
              <w:top w:val="single" w:sz="4" w:space="0" w:color="17365D"/>
              <w:bottom w:val="single" w:sz="4" w:space="0" w:color="17365D"/>
            </w:tcBorders>
            <w:shd w:val="clear" w:color="auto" w:fill="auto"/>
            <w:vAlign w:val="center"/>
            <w:hideMark/>
          </w:tcPr>
          <w:p w14:paraId="6B6874D9"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0" w:type="auto"/>
            <w:tcBorders>
              <w:top w:val="single" w:sz="4" w:space="0" w:color="17365D"/>
              <w:bottom w:val="single" w:sz="4" w:space="0" w:color="17365D"/>
            </w:tcBorders>
            <w:shd w:val="clear" w:color="auto" w:fill="auto"/>
            <w:vAlign w:val="center"/>
            <w:hideMark/>
          </w:tcPr>
          <w:p w14:paraId="2157A597"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0" w:type="auto"/>
            <w:tcBorders>
              <w:top w:val="single" w:sz="4" w:space="0" w:color="17365D"/>
              <w:bottom w:val="single" w:sz="4" w:space="0" w:color="17365D"/>
            </w:tcBorders>
            <w:shd w:val="clear" w:color="auto" w:fill="auto"/>
            <w:vAlign w:val="center"/>
            <w:hideMark/>
          </w:tcPr>
          <w:p w14:paraId="3A7855F7"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1265" w:type="dxa"/>
            <w:tcBorders>
              <w:top w:val="single" w:sz="4" w:space="0" w:color="17365D"/>
              <w:bottom w:val="single" w:sz="4" w:space="0" w:color="17365D"/>
            </w:tcBorders>
            <w:shd w:val="clear" w:color="auto" w:fill="auto"/>
            <w:vAlign w:val="center"/>
            <w:hideMark/>
          </w:tcPr>
          <w:p w14:paraId="3586C2D7"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A03BA1" w:rsidRPr="00E72168" w14:paraId="2AA5D017" w14:textId="77777777" w:rsidTr="009A4177">
        <w:trPr>
          <w:trHeight w:val="60"/>
        </w:trPr>
        <w:tc>
          <w:tcPr>
            <w:tcW w:w="0" w:type="auto"/>
            <w:tcBorders>
              <w:top w:val="single" w:sz="4" w:space="0" w:color="17365D"/>
              <w:bottom w:val="single" w:sz="4" w:space="0" w:color="17365D"/>
            </w:tcBorders>
            <w:shd w:val="clear" w:color="auto" w:fill="auto"/>
            <w:vAlign w:val="center"/>
            <w:hideMark/>
          </w:tcPr>
          <w:p w14:paraId="6DED8B46" w14:textId="57488808" w:rsidR="00A03BA1" w:rsidRPr="00E72168" w:rsidRDefault="00A03BA1" w:rsidP="00A03BA1">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Nākamo periodu izdevumi un avansi par pakalpojumiem un projektiem</w:t>
            </w:r>
          </w:p>
        </w:tc>
        <w:tc>
          <w:tcPr>
            <w:tcW w:w="0" w:type="auto"/>
            <w:tcBorders>
              <w:top w:val="single" w:sz="4" w:space="0" w:color="17365D"/>
              <w:bottom w:val="single" w:sz="4" w:space="0" w:color="17365D"/>
            </w:tcBorders>
            <w:shd w:val="clear" w:color="auto" w:fill="auto"/>
            <w:vAlign w:val="center"/>
            <w:hideMark/>
          </w:tcPr>
          <w:p w14:paraId="4D04E002" w14:textId="71C580C4" w:rsidR="00A03BA1" w:rsidRPr="00E72168" w:rsidRDefault="00A03BA1" w:rsidP="00A03BA1">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KB.2.4.</w:t>
            </w:r>
          </w:p>
        </w:tc>
        <w:tc>
          <w:tcPr>
            <w:tcW w:w="0" w:type="auto"/>
            <w:tcBorders>
              <w:top w:val="single" w:sz="4" w:space="0" w:color="17365D"/>
              <w:left w:val="nil"/>
              <w:bottom w:val="single" w:sz="4" w:space="0" w:color="17365D"/>
              <w:right w:val="nil"/>
            </w:tcBorders>
            <w:shd w:val="clear" w:color="auto" w:fill="auto"/>
            <w:noWrap/>
            <w:vAlign w:val="center"/>
            <w:hideMark/>
          </w:tcPr>
          <w:p w14:paraId="4F129600" w14:textId="7278CC21" w:rsidR="00A03BA1" w:rsidRPr="00907350" w:rsidRDefault="00A03BA1" w:rsidP="00A03BA1">
            <w:pPr>
              <w:spacing w:after="0" w:line="240" w:lineRule="auto"/>
              <w:jc w:val="right"/>
              <w:rPr>
                <w:rFonts w:eastAsia="Times New Roman" w:cs="Times New Roman"/>
                <w:b/>
                <w:color w:val="17365D"/>
                <w:sz w:val="18"/>
                <w:szCs w:val="18"/>
                <w:highlight w:val="yellow"/>
                <w:lang w:eastAsia="lv-LV"/>
              </w:rPr>
            </w:pPr>
            <w:r>
              <w:rPr>
                <w:b/>
                <w:bCs/>
                <w:color w:val="17365D"/>
                <w:sz w:val="18"/>
                <w:szCs w:val="18"/>
              </w:rPr>
              <w:t>303 264 924</w:t>
            </w:r>
          </w:p>
        </w:tc>
        <w:tc>
          <w:tcPr>
            <w:tcW w:w="0" w:type="auto"/>
            <w:tcBorders>
              <w:top w:val="single" w:sz="4" w:space="0" w:color="17365D"/>
              <w:left w:val="nil"/>
              <w:bottom w:val="single" w:sz="4" w:space="0" w:color="17365D"/>
              <w:right w:val="nil"/>
            </w:tcBorders>
            <w:shd w:val="clear" w:color="auto" w:fill="auto"/>
            <w:noWrap/>
            <w:vAlign w:val="center"/>
            <w:hideMark/>
          </w:tcPr>
          <w:p w14:paraId="17115FB6" w14:textId="5AC8E446" w:rsidR="00A03BA1" w:rsidRPr="00907350" w:rsidRDefault="00A03BA1" w:rsidP="00A03BA1">
            <w:pPr>
              <w:spacing w:after="0" w:line="240" w:lineRule="auto"/>
              <w:jc w:val="right"/>
              <w:rPr>
                <w:rFonts w:eastAsia="Times New Roman" w:cs="Times New Roman"/>
                <w:b/>
                <w:color w:val="17365D"/>
                <w:sz w:val="18"/>
                <w:szCs w:val="18"/>
                <w:highlight w:val="yellow"/>
                <w:lang w:eastAsia="lv-LV"/>
              </w:rPr>
            </w:pPr>
            <w:r>
              <w:rPr>
                <w:b/>
                <w:bCs/>
                <w:color w:val="17365D"/>
                <w:sz w:val="18"/>
                <w:szCs w:val="18"/>
              </w:rPr>
              <w:t>527 012 243</w:t>
            </w:r>
          </w:p>
        </w:tc>
        <w:tc>
          <w:tcPr>
            <w:tcW w:w="0" w:type="auto"/>
            <w:tcBorders>
              <w:top w:val="single" w:sz="4" w:space="0" w:color="17365D"/>
              <w:left w:val="nil"/>
              <w:bottom w:val="single" w:sz="4" w:space="0" w:color="17365D"/>
              <w:right w:val="nil"/>
            </w:tcBorders>
            <w:shd w:val="clear" w:color="auto" w:fill="auto"/>
            <w:noWrap/>
            <w:vAlign w:val="center"/>
            <w:hideMark/>
          </w:tcPr>
          <w:p w14:paraId="10917734" w14:textId="55F823B6" w:rsidR="00A03BA1" w:rsidRPr="00907350" w:rsidRDefault="00A03BA1" w:rsidP="00A03BA1">
            <w:pPr>
              <w:spacing w:after="0" w:line="240" w:lineRule="auto"/>
              <w:jc w:val="right"/>
              <w:rPr>
                <w:rFonts w:eastAsia="Times New Roman" w:cs="Times New Roman"/>
                <w:b/>
                <w:color w:val="17365D"/>
                <w:sz w:val="18"/>
                <w:szCs w:val="18"/>
                <w:highlight w:val="yellow"/>
                <w:lang w:eastAsia="lv-LV"/>
              </w:rPr>
            </w:pPr>
            <w:r>
              <w:rPr>
                <w:b/>
                <w:bCs/>
                <w:color w:val="17365D"/>
                <w:sz w:val="18"/>
                <w:szCs w:val="18"/>
              </w:rPr>
              <w:t xml:space="preserve"> -223 747 319</w:t>
            </w:r>
          </w:p>
        </w:tc>
        <w:tc>
          <w:tcPr>
            <w:tcW w:w="1265" w:type="dxa"/>
            <w:tcBorders>
              <w:top w:val="single" w:sz="4" w:space="0" w:color="17365D"/>
              <w:left w:val="nil"/>
              <w:bottom w:val="single" w:sz="4" w:space="0" w:color="17365D"/>
              <w:right w:val="nil"/>
            </w:tcBorders>
            <w:shd w:val="clear" w:color="auto" w:fill="auto"/>
            <w:noWrap/>
            <w:vAlign w:val="center"/>
            <w:hideMark/>
          </w:tcPr>
          <w:p w14:paraId="3796AE34" w14:textId="2DDDB24F" w:rsidR="00A03BA1" w:rsidRPr="00907350" w:rsidRDefault="00A03BA1" w:rsidP="00A03BA1">
            <w:pPr>
              <w:spacing w:after="0" w:line="240" w:lineRule="auto"/>
              <w:jc w:val="right"/>
              <w:rPr>
                <w:rFonts w:eastAsia="Times New Roman" w:cs="Times New Roman"/>
                <w:b/>
                <w:color w:val="17365D"/>
                <w:sz w:val="18"/>
                <w:szCs w:val="18"/>
                <w:highlight w:val="yellow"/>
                <w:lang w:eastAsia="lv-LV"/>
              </w:rPr>
            </w:pPr>
            <w:r>
              <w:rPr>
                <w:b/>
                <w:bCs/>
                <w:color w:val="17365D"/>
                <w:sz w:val="18"/>
                <w:szCs w:val="18"/>
              </w:rPr>
              <w:t>-42.46</w:t>
            </w:r>
          </w:p>
        </w:tc>
      </w:tr>
      <w:tr w:rsidR="000C1009" w:rsidRPr="00E72168" w14:paraId="2AB7F2F6" w14:textId="77777777" w:rsidTr="009A4177">
        <w:trPr>
          <w:trHeight w:val="56"/>
        </w:trPr>
        <w:tc>
          <w:tcPr>
            <w:tcW w:w="0" w:type="auto"/>
            <w:tcBorders>
              <w:top w:val="single" w:sz="4" w:space="0" w:color="17365D"/>
            </w:tcBorders>
            <w:shd w:val="clear" w:color="auto" w:fill="B9CDE5"/>
            <w:vAlign w:val="center"/>
          </w:tcPr>
          <w:p w14:paraId="362CDBF8" w14:textId="77777777" w:rsidR="00905F3C" w:rsidRPr="00E72168" w:rsidRDefault="00905F3C" w:rsidP="00905F3C">
            <w:pPr>
              <w:spacing w:after="0"/>
              <w:rPr>
                <w:rFonts w:eastAsia="Times New Roman" w:cs="Times New Roman"/>
                <w:color w:val="17365D"/>
                <w:sz w:val="18"/>
                <w:szCs w:val="18"/>
                <w:lang w:eastAsia="lv-LV"/>
              </w:rPr>
            </w:pPr>
          </w:p>
        </w:tc>
        <w:tc>
          <w:tcPr>
            <w:tcW w:w="0" w:type="auto"/>
            <w:tcBorders>
              <w:top w:val="single" w:sz="4" w:space="0" w:color="17365D"/>
            </w:tcBorders>
            <w:shd w:val="clear" w:color="auto" w:fill="B9CDE5"/>
            <w:noWrap/>
            <w:vAlign w:val="center"/>
          </w:tcPr>
          <w:p w14:paraId="71FF9C39" w14:textId="77777777" w:rsidR="00905F3C" w:rsidRPr="00E72168" w:rsidRDefault="00905F3C" w:rsidP="00905F3C">
            <w:pPr>
              <w:spacing w:after="0"/>
              <w:jc w:val="center"/>
              <w:rPr>
                <w:rFonts w:eastAsia="Times New Roman" w:cs="Times New Roman"/>
                <w:color w:val="17365D"/>
                <w:sz w:val="18"/>
                <w:szCs w:val="18"/>
                <w:lang w:eastAsia="lv-LV"/>
              </w:rPr>
            </w:pPr>
          </w:p>
        </w:tc>
        <w:tc>
          <w:tcPr>
            <w:tcW w:w="0" w:type="auto"/>
            <w:tcBorders>
              <w:top w:val="single" w:sz="4" w:space="0" w:color="17365D"/>
            </w:tcBorders>
            <w:shd w:val="clear" w:color="auto" w:fill="B9CDE5"/>
            <w:noWrap/>
            <w:vAlign w:val="center"/>
          </w:tcPr>
          <w:p w14:paraId="76191C75" w14:textId="77777777" w:rsidR="00905F3C" w:rsidRPr="00E72168" w:rsidRDefault="00905F3C" w:rsidP="00905F3C">
            <w:pPr>
              <w:spacing w:after="0"/>
              <w:jc w:val="right"/>
              <w:rPr>
                <w:rFonts w:eastAsia="Times New Roman" w:cs="Times New Roman"/>
                <w:color w:val="17365D"/>
                <w:sz w:val="18"/>
                <w:szCs w:val="18"/>
                <w:lang w:eastAsia="lv-LV"/>
              </w:rPr>
            </w:pPr>
          </w:p>
        </w:tc>
        <w:tc>
          <w:tcPr>
            <w:tcW w:w="0" w:type="auto"/>
            <w:tcBorders>
              <w:top w:val="single" w:sz="4" w:space="0" w:color="17365D"/>
            </w:tcBorders>
            <w:shd w:val="clear" w:color="auto" w:fill="B9CDE5"/>
            <w:noWrap/>
            <w:vAlign w:val="center"/>
          </w:tcPr>
          <w:p w14:paraId="3C65A81E" w14:textId="77777777" w:rsidR="00905F3C" w:rsidRPr="00E72168" w:rsidRDefault="00905F3C" w:rsidP="00905F3C">
            <w:pPr>
              <w:spacing w:after="0"/>
              <w:jc w:val="right"/>
              <w:rPr>
                <w:rFonts w:eastAsia="Times New Roman" w:cs="Times New Roman"/>
                <w:color w:val="17365D"/>
                <w:sz w:val="18"/>
                <w:szCs w:val="18"/>
                <w:lang w:eastAsia="lv-LV"/>
              </w:rPr>
            </w:pPr>
          </w:p>
        </w:tc>
        <w:tc>
          <w:tcPr>
            <w:tcW w:w="0" w:type="auto"/>
            <w:tcBorders>
              <w:top w:val="single" w:sz="4" w:space="0" w:color="17365D"/>
            </w:tcBorders>
            <w:shd w:val="clear" w:color="auto" w:fill="B9CDE5"/>
            <w:noWrap/>
            <w:vAlign w:val="center"/>
          </w:tcPr>
          <w:p w14:paraId="22EF6B3B" w14:textId="77777777" w:rsidR="00905F3C" w:rsidRPr="00E72168" w:rsidRDefault="00905F3C" w:rsidP="00905F3C">
            <w:pPr>
              <w:spacing w:after="0"/>
              <w:jc w:val="right"/>
              <w:rPr>
                <w:rFonts w:eastAsia="Times New Roman" w:cs="Times New Roman"/>
                <w:color w:val="17365D"/>
                <w:sz w:val="18"/>
                <w:szCs w:val="18"/>
                <w:lang w:eastAsia="lv-LV"/>
              </w:rPr>
            </w:pPr>
          </w:p>
        </w:tc>
        <w:tc>
          <w:tcPr>
            <w:tcW w:w="1265" w:type="dxa"/>
            <w:tcBorders>
              <w:top w:val="single" w:sz="4" w:space="0" w:color="17365D"/>
            </w:tcBorders>
            <w:shd w:val="clear" w:color="auto" w:fill="B9CDE5"/>
            <w:noWrap/>
            <w:vAlign w:val="center"/>
          </w:tcPr>
          <w:p w14:paraId="55F1723A" w14:textId="77777777" w:rsidR="00905F3C" w:rsidRPr="00E72168" w:rsidRDefault="00905F3C" w:rsidP="00905F3C">
            <w:pPr>
              <w:spacing w:after="0"/>
              <w:jc w:val="right"/>
              <w:rPr>
                <w:rFonts w:eastAsia="Times New Roman" w:cs="Times New Roman"/>
                <w:color w:val="17365D"/>
                <w:sz w:val="18"/>
                <w:szCs w:val="18"/>
                <w:lang w:eastAsia="lv-LV"/>
              </w:rPr>
            </w:pPr>
          </w:p>
        </w:tc>
      </w:tr>
    </w:tbl>
    <w:p w14:paraId="5FE33F4D" w14:textId="77777777" w:rsidR="001567AF" w:rsidRPr="00E72168" w:rsidRDefault="001567AF" w:rsidP="001567AF">
      <w:pPr>
        <w:spacing w:after="120" w:line="240" w:lineRule="auto"/>
        <w:ind w:firstLine="360"/>
        <w:jc w:val="both"/>
        <w:rPr>
          <w:rFonts w:cs="Times New Roman"/>
          <w:bCs/>
          <w:color w:val="17365D"/>
        </w:rPr>
      </w:pPr>
    </w:p>
    <w:p w14:paraId="665D38F2" w14:textId="422350E5" w:rsidR="001567AF" w:rsidRDefault="001567AF" w:rsidP="00122EC5">
      <w:pPr>
        <w:pStyle w:val="Pamatteksts1"/>
      </w:pPr>
      <w:r w:rsidRPr="00D93A30">
        <w:t>Bilances postenī “Nākamo periodu izdevumi un avansi par pakalpojumiem un projektiem” konsolidēti valsts un pašvaldību budžeta iestāžu savstarpējie avansa maksājumi un attiecīgās saistības.</w:t>
      </w:r>
    </w:p>
    <w:p w14:paraId="350A395F" w14:textId="002A45DB" w:rsidR="00122EC5" w:rsidRDefault="005A181B" w:rsidP="00122EC5">
      <w:pPr>
        <w:pStyle w:val="Pamatteksts1"/>
      </w:pPr>
      <w:r w:rsidRPr="005A181B">
        <w:t>Bilances posteņa lielākās izmaiņas bijušas</w:t>
      </w:r>
      <w:r w:rsidR="00122EC5" w:rsidRPr="008A7DF1">
        <w:t>:</w:t>
      </w:r>
    </w:p>
    <w:p w14:paraId="04BA0889" w14:textId="221DC015" w:rsidR="00BF4B6F" w:rsidRDefault="005A181B" w:rsidP="005A181B">
      <w:pPr>
        <w:pStyle w:val="Bullets"/>
      </w:pPr>
      <w:r w:rsidRPr="005A181B">
        <w:t xml:space="preserve">Finanšu ministrijai </w:t>
      </w:r>
      <w:r w:rsidR="007D53A1">
        <w:t>–</w:t>
      </w:r>
      <w:r w:rsidRPr="005A181B">
        <w:t xml:space="preserve"> samazinājums </w:t>
      </w:r>
      <w:r w:rsidR="007D53A1">
        <w:t xml:space="preserve">(284,9) milj. </w:t>
      </w:r>
      <w:r w:rsidR="007D53A1" w:rsidRPr="005A181B">
        <w:rPr>
          <w:i/>
          <w:iCs/>
        </w:rPr>
        <w:t>euro</w:t>
      </w:r>
      <w:r w:rsidR="007D53A1">
        <w:rPr>
          <w:i/>
          <w:iCs/>
        </w:rPr>
        <w:t xml:space="preserve"> </w:t>
      </w:r>
      <w:r w:rsidR="007D53A1" w:rsidRPr="00075A2A">
        <w:t>apmērā</w:t>
      </w:r>
      <w:r w:rsidR="007D53A1">
        <w:t xml:space="preserve"> par</w:t>
      </w:r>
      <w:r w:rsidRPr="005A181B">
        <w:t xml:space="preserve"> atgūtajiem pārmaksātajiem avansiem Eiropas Savienības politiku instrumentu un pārējās ārvalstu finanšu palīdzības finansētajos projektos</w:t>
      </w:r>
      <w:r w:rsidR="00075A2A" w:rsidRPr="00075A2A">
        <w:t>;</w:t>
      </w:r>
    </w:p>
    <w:p w14:paraId="1EAE0971" w14:textId="59E7C224" w:rsidR="00BF4B6F" w:rsidRDefault="00BF4B6F" w:rsidP="00BF4B6F">
      <w:pPr>
        <w:pStyle w:val="Bullets"/>
      </w:pPr>
      <w:r w:rsidRPr="00BF4B6F">
        <w:t xml:space="preserve">Finanšu ministrijai </w:t>
      </w:r>
      <w:r w:rsidR="007D53A1">
        <w:t>–</w:t>
      </w:r>
      <w:r w:rsidRPr="00BF4B6F">
        <w:t xml:space="preserve"> samazinājums</w:t>
      </w:r>
      <w:r w:rsidR="007D53A1">
        <w:t xml:space="preserve"> (20,0) milj. </w:t>
      </w:r>
      <w:r w:rsidR="007D53A1" w:rsidRPr="005A181B">
        <w:rPr>
          <w:i/>
          <w:iCs/>
        </w:rPr>
        <w:t>euro</w:t>
      </w:r>
      <w:r w:rsidR="007D53A1">
        <w:rPr>
          <w:i/>
          <w:iCs/>
        </w:rPr>
        <w:t xml:space="preserve"> </w:t>
      </w:r>
      <w:r w:rsidR="007D53A1" w:rsidRPr="00075A2A">
        <w:t>apmērā</w:t>
      </w:r>
      <w:r w:rsidRPr="00BF4B6F">
        <w:t>, atzīstot īstermiņa prasības par pārmaksām un neatbilstoši veiktiem izdevumiem Eiropas Savienības politiku instrumentu un pārējās ārvalstu finanšu palīdzības finansētajiem projektiem</w:t>
      </w:r>
      <w:r w:rsidRPr="00075A2A">
        <w:t>;</w:t>
      </w:r>
    </w:p>
    <w:p w14:paraId="6187E287" w14:textId="2C24E4AE" w:rsidR="00122EC5" w:rsidRPr="00BF4B6F" w:rsidRDefault="00BF4B6F" w:rsidP="005A181B">
      <w:pPr>
        <w:pStyle w:val="Bullets"/>
      </w:pPr>
      <w:r w:rsidRPr="00BF4B6F">
        <w:t>Zemkopības ministrijai būtiskāko palielinājumu veido izmaksāti</w:t>
      </w:r>
      <w:r w:rsidR="00AC74A0">
        <w:t>e</w:t>
      </w:r>
      <w:r w:rsidRPr="00BF4B6F">
        <w:t xml:space="preserve"> </w:t>
      </w:r>
      <w:proofErr w:type="spellStart"/>
      <w:r w:rsidRPr="00BF4B6F">
        <w:t>priekšfinansējumi</w:t>
      </w:r>
      <w:proofErr w:type="spellEnd"/>
      <w:r w:rsidRPr="00BF4B6F">
        <w:t xml:space="preserve"> ESANM pasākuma </w:t>
      </w:r>
      <w:r w:rsidR="00071CF9">
        <w:t>“</w:t>
      </w:r>
      <w:r w:rsidRPr="00BF4B6F">
        <w:t>Investīcijas plūdu risku mazināšanas infrastruktūrā</w:t>
      </w:r>
      <w:r w:rsidR="00071CF9">
        <w:t>”</w:t>
      </w:r>
      <w:r w:rsidRPr="00BF4B6F">
        <w:t xml:space="preserve"> un ELFLA 2021-2027 pasākumā “Atbalsts ieguldījumiem lauksaimniecības un mežsaimniecības infrastruktūras attīstībā” 8</w:t>
      </w:r>
      <w:r>
        <w:t>,</w:t>
      </w:r>
      <w:r w:rsidRPr="00BF4B6F">
        <w:t>9</w:t>
      </w:r>
      <w:r>
        <w:t xml:space="preserve"> milj. </w:t>
      </w:r>
      <w:r w:rsidRPr="005A181B">
        <w:rPr>
          <w:i/>
          <w:iCs/>
        </w:rPr>
        <w:t>euro</w:t>
      </w:r>
      <w:r w:rsidRPr="00BF4B6F">
        <w:t xml:space="preserve"> apmērā un izmaksātais </w:t>
      </w:r>
      <w:proofErr w:type="spellStart"/>
      <w:r w:rsidRPr="00BF4B6F">
        <w:t>priekšfinansējums</w:t>
      </w:r>
      <w:proofErr w:type="spellEnd"/>
      <w:r w:rsidRPr="00BF4B6F">
        <w:t xml:space="preserve"> Eiropas Jūrlietu, zvejniecības un akvakultūras fonda pasākumā </w:t>
      </w:r>
      <w:r w:rsidR="00071CF9">
        <w:t>“</w:t>
      </w:r>
      <w:r w:rsidR="00071CF9" w:rsidRPr="00071CF9">
        <w:t>Sabiedrības virzītas vietējās attīstības</w:t>
      </w:r>
      <w:r w:rsidR="00071CF9" w:rsidRPr="00071CF9" w:rsidDel="00071CF9">
        <w:t xml:space="preserve"> </w:t>
      </w:r>
      <w:r w:rsidRPr="00BF4B6F">
        <w:t>stratēģiju īstenošana</w:t>
      </w:r>
      <w:r w:rsidR="00071CF9">
        <w:t>”</w:t>
      </w:r>
      <w:r w:rsidRPr="00BF4B6F">
        <w:t xml:space="preserve"> </w:t>
      </w:r>
      <w:r>
        <w:t>1,0</w:t>
      </w:r>
      <w:r w:rsidR="007D53A1">
        <w:t> </w:t>
      </w:r>
      <w:r>
        <w:t xml:space="preserve">milj. </w:t>
      </w:r>
      <w:r w:rsidRPr="005A181B">
        <w:rPr>
          <w:i/>
          <w:iCs/>
        </w:rPr>
        <w:t>euro</w:t>
      </w:r>
      <w:r w:rsidRPr="00BF4B6F">
        <w:t xml:space="preserve"> apmērā</w:t>
      </w:r>
      <w:r>
        <w:t>.</w:t>
      </w:r>
    </w:p>
    <w:p w14:paraId="119D401E" w14:textId="224E7F6F" w:rsidR="009C31D2" w:rsidRPr="00F561A8" w:rsidRDefault="009C31D2" w:rsidP="001567AF">
      <w:pPr>
        <w:spacing w:after="120" w:line="240" w:lineRule="auto"/>
        <w:ind w:firstLine="360"/>
        <w:jc w:val="both"/>
        <w:rPr>
          <w:rFonts w:cs="Times New Roman"/>
          <w:bCs/>
          <w:color w:val="17365D"/>
        </w:rPr>
      </w:pPr>
      <w:r w:rsidRPr="00F561A8">
        <w:rPr>
          <w:rFonts w:cs="Times New Roman"/>
          <w:bCs/>
          <w:color w:val="17365D"/>
        </w:rPr>
        <w:t xml:space="preserve">Nākamo periodu izdevumiem un avansiem par pakalpojumiem un projektiem </w:t>
      </w:r>
      <w:r w:rsidR="002221F1" w:rsidRPr="00F561A8">
        <w:rPr>
          <w:rFonts w:cs="Times New Roman"/>
          <w:bCs/>
          <w:color w:val="17365D"/>
        </w:rPr>
        <w:t>atzītais vērtības</w:t>
      </w:r>
      <w:r w:rsidRPr="00F561A8">
        <w:rPr>
          <w:rFonts w:cs="Times New Roman"/>
          <w:bCs/>
          <w:color w:val="17365D"/>
        </w:rPr>
        <w:t xml:space="preserve"> </w:t>
      </w:r>
      <w:r w:rsidR="002221F1" w:rsidRPr="00F561A8">
        <w:rPr>
          <w:rFonts w:cs="Times New Roman"/>
          <w:bCs/>
          <w:color w:val="17365D"/>
        </w:rPr>
        <w:t>samazinājums</w:t>
      </w:r>
      <w:r w:rsidRPr="00F561A8">
        <w:rPr>
          <w:rFonts w:cs="Times New Roman"/>
          <w:bCs/>
          <w:color w:val="17365D"/>
        </w:rPr>
        <w:t xml:space="preserve"> 20</w:t>
      </w:r>
      <w:r w:rsidR="00F267DD" w:rsidRPr="00F561A8">
        <w:rPr>
          <w:rFonts w:cs="Times New Roman"/>
          <w:bCs/>
          <w:color w:val="17365D"/>
        </w:rPr>
        <w:t>2</w:t>
      </w:r>
      <w:r w:rsidR="00F561A8" w:rsidRPr="00F561A8">
        <w:rPr>
          <w:rFonts w:cs="Times New Roman"/>
          <w:bCs/>
          <w:color w:val="17365D"/>
        </w:rPr>
        <w:t>4</w:t>
      </w:r>
      <w:r w:rsidRPr="00F561A8">
        <w:rPr>
          <w:rFonts w:cs="Times New Roman"/>
          <w:bCs/>
          <w:color w:val="17365D"/>
        </w:rPr>
        <w:t>. gada beigās s</w:t>
      </w:r>
      <w:r w:rsidR="00D71D95" w:rsidRPr="00F561A8">
        <w:rPr>
          <w:rFonts w:cs="Times New Roman"/>
          <w:bCs/>
          <w:color w:val="17365D"/>
        </w:rPr>
        <w:t>askaņā ar</w:t>
      </w:r>
      <w:r w:rsidRPr="00F561A8">
        <w:rPr>
          <w:rFonts w:cs="Times New Roman"/>
          <w:bCs/>
          <w:color w:val="17365D"/>
        </w:rPr>
        <w:t>:</w:t>
      </w:r>
    </w:p>
    <w:p w14:paraId="5DBD7B3B" w14:textId="563C9E96" w:rsidR="009C31D2" w:rsidRPr="00F561A8" w:rsidRDefault="00D71D95" w:rsidP="00060622">
      <w:pPr>
        <w:pStyle w:val="Bullets"/>
      </w:pPr>
      <w:r w:rsidRPr="00F561A8">
        <w:t>ministriju un centrālo valsts iestāžu sniegto informāciju ir (</w:t>
      </w:r>
      <w:r w:rsidR="00F561A8" w:rsidRPr="00F561A8">
        <w:t>0,8</w:t>
      </w:r>
      <w:r w:rsidRPr="00F561A8">
        <w:t>) </w:t>
      </w:r>
      <w:r w:rsidR="00F561A8" w:rsidRPr="00F561A8">
        <w:t xml:space="preserve">milj. </w:t>
      </w:r>
      <w:r w:rsidRPr="00F561A8">
        <w:rPr>
          <w:i/>
        </w:rPr>
        <w:t>euro</w:t>
      </w:r>
      <w:r w:rsidR="002221F1" w:rsidRPr="00F561A8">
        <w:rPr>
          <w:i/>
        </w:rPr>
        <w:t xml:space="preserve">, </w:t>
      </w:r>
      <w:r w:rsidR="002221F1" w:rsidRPr="00F561A8">
        <w:t xml:space="preserve">galvenokārt veidots apšaubāmās summas apmērā, tai skaitā </w:t>
      </w:r>
      <w:r w:rsidR="00721BCC" w:rsidRPr="00F561A8">
        <w:t>(</w:t>
      </w:r>
      <w:r w:rsidR="00F561A8" w:rsidRPr="00F561A8">
        <w:t>0,5</w:t>
      </w:r>
      <w:r w:rsidR="00721BCC" w:rsidRPr="00F561A8">
        <w:t>)</w:t>
      </w:r>
      <w:r w:rsidR="002221F1" w:rsidRPr="00F561A8">
        <w:t xml:space="preserve"> </w:t>
      </w:r>
      <w:r w:rsidR="00F561A8" w:rsidRPr="00F561A8">
        <w:t xml:space="preserve">milj. </w:t>
      </w:r>
      <w:r w:rsidR="002221F1" w:rsidRPr="00F561A8">
        <w:rPr>
          <w:i/>
        </w:rPr>
        <w:t xml:space="preserve">euro </w:t>
      </w:r>
      <w:r w:rsidR="002221F1" w:rsidRPr="00F561A8">
        <w:t xml:space="preserve">vērtībā par </w:t>
      </w:r>
      <w:r w:rsidR="00346152" w:rsidRPr="00F561A8">
        <w:t>pašvaldībām ie</w:t>
      </w:r>
      <w:r w:rsidR="002221F1" w:rsidRPr="00F561A8">
        <w:t>skait</w:t>
      </w:r>
      <w:r w:rsidR="00346152" w:rsidRPr="00F561A8">
        <w:t xml:space="preserve">ītiem </w:t>
      </w:r>
      <w:proofErr w:type="spellStart"/>
      <w:r w:rsidR="00346152" w:rsidRPr="00F561A8">
        <w:t>tran</w:t>
      </w:r>
      <w:r w:rsidR="000C1009" w:rsidRPr="00F561A8">
        <w:t>s</w:t>
      </w:r>
      <w:r w:rsidR="00346152" w:rsidRPr="00F561A8">
        <w:t>fertiem</w:t>
      </w:r>
      <w:proofErr w:type="spellEnd"/>
      <w:r w:rsidR="002221F1" w:rsidRPr="00F561A8">
        <w:t xml:space="preserve"> </w:t>
      </w:r>
      <w:r w:rsidR="00346152" w:rsidRPr="00F561A8">
        <w:t xml:space="preserve">kontos </w:t>
      </w:r>
      <w:r w:rsidR="00AA2059" w:rsidRPr="00F561A8">
        <w:t xml:space="preserve">likvidējamā </w:t>
      </w:r>
      <w:r w:rsidR="00346152" w:rsidRPr="00F561A8">
        <w:t>AS “Latvijas Krājbanka”</w:t>
      </w:r>
      <w:r w:rsidR="009C31D2" w:rsidRPr="00F561A8">
        <w:t>;</w:t>
      </w:r>
    </w:p>
    <w:p w14:paraId="30DBE104" w14:textId="39C0CBB1" w:rsidR="009C31D2" w:rsidRPr="00CE3EB1" w:rsidRDefault="009C31D2" w:rsidP="00060622">
      <w:pPr>
        <w:pStyle w:val="Bullets"/>
      </w:pPr>
      <w:r w:rsidRPr="00CE3EB1">
        <w:t>pašvaldību sniegto informāciju ir (</w:t>
      </w:r>
      <w:r w:rsidR="00CF5308" w:rsidRPr="00CE3EB1">
        <w:t>1</w:t>
      </w:r>
      <w:r w:rsidR="00CE3EB1" w:rsidRPr="00CE3EB1">
        <w:t>,0</w:t>
      </w:r>
      <w:r w:rsidRPr="00CE3EB1">
        <w:t>) </w:t>
      </w:r>
      <w:r w:rsidR="00CE3EB1" w:rsidRPr="00CE3EB1">
        <w:t xml:space="preserve">milj. </w:t>
      </w:r>
      <w:r w:rsidRPr="00CE3EB1">
        <w:rPr>
          <w:i/>
        </w:rPr>
        <w:t>euro</w:t>
      </w:r>
      <w:r w:rsidR="002221F1" w:rsidRPr="00CE3EB1">
        <w:rPr>
          <w:i/>
        </w:rPr>
        <w:t xml:space="preserve">, </w:t>
      </w:r>
      <w:r w:rsidR="002221F1" w:rsidRPr="00CE3EB1">
        <w:t xml:space="preserve">galvenokārt veidots </w:t>
      </w:r>
      <w:r w:rsidR="008C3AE8" w:rsidRPr="00CE3EB1">
        <w:t>pilnā apmērā atbilstoši budžeta iestāžu grāmatvedības uzskaites kārtībā noteiktajam</w:t>
      </w:r>
      <w:r w:rsidRPr="00CE3EB1">
        <w:t>.</w:t>
      </w:r>
    </w:p>
    <w:p w14:paraId="75B4508B" w14:textId="35EA17D6" w:rsidR="005F1E64" w:rsidRPr="00E72168" w:rsidRDefault="009D537C" w:rsidP="005A3758">
      <w:pPr>
        <w:pStyle w:val="Heading4"/>
        <w:rPr>
          <w:rFonts w:cs="Times New Roman"/>
        </w:rPr>
      </w:pPr>
      <w:r w:rsidRPr="00E72168">
        <w:rPr>
          <w:rFonts w:cs="Times New Roman"/>
        </w:rPr>
        <w:lastRenderedPageBreak/>
        <w:t xml:space="preserve">Piezīme Nr. </w:t>
      </w:r>
      <w:r w:rsidR="00D41F06" w:rsidRPr="00E72168">
        <w:rPr>
          <w:rFonts w:cs="Times New Roman"/>
        </w:rPr>
        <w:t>KB.</w:t>
      </w:r>
      <w:r w:rsidR="00F73CE6" w:rsidRPr="00E72168">
        <w:rPr>
          <w:rFonts w:cs="Times New Roman"/>
        </w:rPr>
        <w:t>2.5</w:t>
      </w:r>
      <w:r w:rsidR="00D41F06" w:rsidRPr="00E72168">
        <w:rPr>
          <w:rFonts w:cs="Times New Roman"/>
        </w:rPr>
        <w:t>. Īstermiņa finanšu ieguldījumi</w:t>
      </w:r>
    </w:p>
    <w:p w14:paraId="2182CFDF" w14:textId="2DAD43CC" w:rsidR="0003199C" w:rsidRPr="00E72168" w:rsidRDefault="00F06FED" w:rsidP="009A23E5">
      <w:pPr>
        <w:pStyle w:val="Tabulasnosaukums1"/>
        <w:spacing w:before="120" w:line="240" w:lineRule="auto"/>
        <w:rPr>
          <w:rFonts w:cs="Times New Roman"/>
          <w:i/>
          <w:color w:val="17365D"/>
          <w:szCs w:val="18"/>
        </w:rPr>
      </w:pPr>
      <w:r>
        <w:rPr>
          <w:rFonts w:cs="Times New Roman"/>
          <w:i/>
          <w:color w:val="17365D"/>
          <w:szCs w:val="18"/>
        </w:rPr>
        <w:t>1.</w:t>
      </w:r>
      <w:r w:rsidR="00990A72" w:rsidRPr="00E72168">
        <w:rPr>
          <w:rFonts w:cs="Times New Roman"/>
          <w:i/>
          <w:color w:val="17365D"/>
          <w:szCs w:val="18"/>
        </w:rPr>
        <w:t>1</w:t>
      </w:r>
      <w:r w:rsidR="007B608A">
        <w:rPr>
          <w:rFonts w:cs="Times New Roman"/>
          <w:i/>
          <w:color w:val="17365D"/>
          <w:szCs w:val="18"/>
        </w:rPr>
        <w:t>5</w:t>
      </w:r>
      <w:r w:rsidR="0003199C" w:rsidRPr="00E72168">
        <w:rPr>
          <w:rFonts w:cs="Times New Roman"/>
          <w:i/>
          <w:color w:val="17365D"/>
          <w:szCs w:val="18"/>
        </w:rPr>
        <w:t>. tabula</w:t>
      </w:r>
      <w:r w:rsidR="00990A72" w:rsidRPr="00E72168">
        <w:rPr>
          <w:rFonts w:cs="Times New Roman"/>
          <w:i/>
          <w:color w:val="17365D"/>
          <w:szCs w:val="18"/>
        </w:rPr>
        <w:t xml:space="preserve">. Īstermiņa finanšu ieguldījumi </w:t>
      </w:r>
      <w:r w:rsidR="00990A72" w:rsidRPr="00E72168">
        <w:rPr>
          <w:rFonts w:eastAsia="Times New Roman" w:cs="Times New Roman"/>
          <w:i/>
          <w:color w:val="17365D"/>
          <w:szCs w:val="18"/>
          <w:lang w:eastAsia="lv-LV"/>
        </w:rPr>
        <w:t>(</w:t>
      </w:r>
      <w:r w:rsidR="000224DA" w:rsidRPr="00E72168">
        <w:rPr>
          <w:rFonts w:eastAsia="Times New Roman" w:cs="Times New Roman"/>
          <w:i/>
          <w:color w:val="17365D"/>
          <w:szCs w:val="18"/>
          <w:lang w:eastAsia="lv-LV"/>
        </w:rPr>
        <w:t>euro</w:t>
      </w:r>
      <w:r w:rsidR="00990A72" w:rsidRPr="00E72168">
        <w:rPr>
          <w:rFonts w:eastAsia="Times New Roman" w:cs="Times New Roman"/>
          <w:i/>
          <w:color w:val="17365D"/>
          <w:szCs w:val="18"/>
          <w:lang w:eastAsia="lv-LV"/>
        </w:rPr>
        <w:t>)</w:t>
      </w:r>
    </w:p>
    <w:tbl>
      <w:tblPr>
        <w:tblW w:w="5011" w:type="pct"/>
        <w:tblLayout w:type="fixed"/>
        <w:tblLook w:val="04A0" w:firstRow="1" w:lastRow="0" w:firstColumn="1" w:lastColumn="0" w:noHBand="0" w:noVBand="1"/>
      </w:tblPr>
      <w:tblGrid>
        <w:gridCol w:w="2695"/>
        <w:gridCol w:w="1274"/>
        <w:gridCol w:w="1418"/>
        <w:gridCol w:w="1558"/>
        <w:gridCol w:w="1213"/>
        <w:gridCol w:w="1217"/>
      </w:tblGrid>
      <w:tr w:rsidR="000C1009" w:rsidRPr="00E72168" w14:paraId="575BF867" w14:textId="77777777" w:rsidTr="009A4177">
        <w:trPr>
          <w:trHeight w:val="684"/>
          <w:tblHeader/>
        </w:trPr>
        <w:tc>
          <w:tcPr>
            <w:tcW w:w="1437" w:type="pct"/>
            <w:tcBorders>
              <w:bottom w:val="single" w:sz="4" w:space="0" w:color="17365D"/>
            </w:tcBorders>
            <w:shd w:val="clear" w:color="auto" w:fill="B9CDE5"/>
            <w:vAlign w:val="center"/>
            <w:hideMark/>
          </w:tcPr>
          <w:p w14:paraId="326D5CBA" w14:textId="1162A88E" w:rsidR="00F45393" w:rsidRPr="00E72168" w:rsidRDefault="007611AA" w:rsidP="00F45393">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679" w:type="pct"/>
            <w:tcBorders>
              <w:bottom w:val="single" w:sz="4" w:space="0" w:color="17365D"/>
            </w:tcBorders>
            <w:shd w:val="clear" w:color="auto" w:fill="B9CDE5"/>
            <w:vAlign w:val="center"/>
            <w:hideMark/>
          </w:tcPr>
          <w:p w14:paraId="288B26AF"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56" w:type="pct"/>
            <w:tcBorders>
              <w:bottom w:val="single" w:sz="4" w:space="0" w:color="17365D"/>
            </w:tcBorders>
            <w:shd w:val="clear" w:color="auto" w:fill="B9CDE5"/>
            <w:vAlign w:val="center"/>
            <w:hideMark/>
          </w:tcPr>
          <w:p w14:paraId="7D57DC9D"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831" w:type="pct"/>
            <w:tcBorders>
              <w:bottom w:val="single" w:sz="4" w:space="0" w:color="17365D"/>
            </w:tcBorders>
            <w:shd w:val="clear" w:color="auto" w:fill="B9CDE5"/>
            <w:vAlign w:val="center"/>
            <w:hideMark/>
          </w:tcPr>
          <w:p w14:paraId="2EB77975"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647" w:type="pct"/>
            <w:tcBorders>
              <w:bottom w:val="single" w:sz="4" w:space="0" w:color="17365D"/>
            </w:tcBorders>
            <w:shd w:val="clear" w:color="auto" w:fill="B9CDE5"/>
            <w:vAlign w:val="center"/>
            <w:hideMark/>
          </w:tcPr>
          <w:p w14:paraId="4FBB523F" w14:textId="05678535"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49" w:type="pct"/>
            <w:tcBorders>
              <w:bottom w:val="single" w:sz="4" w:space="0" w:color="17365D"/>
            </w:tcBorders>
            <w:shd w:val="clear" w:color="auto" w:fill="B9CDE5"/>
            <w:vAlign w:val="center"/>
            <w:hideMark/>
          </w:tcPr>
          <w:p w14:paraId="604F256F"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337DA1A2" w14:textId="77777777" w:rsidTr="00A05320">
        <w:trPr>
          <w:trHeight w:val="240"/>
          <w:tblHeader/>
        </w:trPr>
        <w:tc>
          <w:tcPr>
            <w:tcW w:w="1437" w:type="pct"/>
            <w:tcBorders>
              <w:top w:val="single" w:sz="4" w:space="0" w:color="17365D"/>
              <w:bottom w:val="single" w:sz="4" w:space="0" w:color="17365D"/>
            </w:tcBorders>
            <w:shd w:val="clear" w:color="auto" w:fill="auto"/>
            <w:vAlign w:val="center"/>
            <w:hideMark/>
          </w:tcPr>
          <w:p w14:paraId="7E556287"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679" w:type="pct"/>
            <w:tcBorders>
              <w:top w:val="single" w:sz="4" w:space="0" w:color="17365D"/>
              <w:bottom w:val="single" w:sz="4" w:space="0" w:color="17365D"/>
            </w:tcBorders>
            <w:shd w:val="clear" w:color="auto" w:fill="auto"/>
            <w:vAlign w:val="center"/>
            <w:hideMark/>
          </w:tcPr>
          <w:p w14:paraId="2CB1D074"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56" w:type="pct"/>
            <w:tcBorders>
              <w:top w:val="single" w:sz="4" w:space="0" w:color="17365D"/>
              <w:bottom w:val="single" w:sz="4" w:space="0" w:color="17365D"/>
            </w:tcBorders>
            <w:shd w:val="clear" w:color="auto" w:fill="auto"/>
            <w:vAlign w:val="center"/>
            <w:hideMark/>
          </w:tcPr>
          <w:p w14:paraId="3C96ABE9"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831" w:type="pct"/>
            <w:tcBorders>
              <w:top w:val="single" w:sz="4" w:space="0" w:color="17365D"/>
              <w:bottom w:val="single" w:sz="4" w:space="0" w:color="17365D"/>
            </w:tcBorders>
            <w:shd w:val="clear" w:color="auto" w:fill="auto"/>
            <w:vAlign w:val="center"/>
            <w:hideMark/>
          </w:tcPr>
          <w:p w14:paraId="7B4DE534"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647" w:type="pct"/>
            <w:tcBorders>
              <w:top w:val="single" w:sz="4" w:space="0" w:color="17365D"/>
              <w:bottom w:val="single" w:sz="4" w:space="0" w:color="17365D"/>
            </w:tcBorders>
            <w:shd w:val="clear" w:color="auto" w:fill="auto"/>
            <w:vAlign w:val="center"/>
            <w:hideMark/>
          </w:tcPr>
          <w:p w14:paraId="765EFABE"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49" w:type="pct"/>
            <w:tcBorders>
              <w:top w:val="single" w:sz="4" w:space="0" w:color="17365D"/>
              <w:bottom w:val="single" w:sz="4" w:space="0" w:color="17365D"/>
            </w:tcBorders>
            <w:shd w:val="clear" w:color="auto" w:fill="auto"/>
            <w:vAlign w:val="center"/>
            <w:hideMark/>
          </w:tcPr>
          <w:p w14:paraId="34C638CB"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48413B" w:rsidRPr="00E72168" w14:paraId="03CEB5EE" w14:textId="77777777" w:rsidTr="00A05320">
        <w:trPr>
          <w:trHeight w:val="379"/>
        </w:trPr>
        <w:tc>
          <w:tcPr>
            <w:tcW w:w="1437" w:type="pct"/>
            <w:tcBorders>
              <w:top w:val="single" w:sz="4" w:space="0" w:color="17365D"/>
              <w:bottom w:val="single" w:sz="4" w:space="0" w:color="17365D"/>
            </w:tcBorders>
            <w:shd w:val="clear" w:color="auto" w:fill="auto"/>
            <w:vAlign w:val="center"/>
            <w:hideMark/>
          </w:tcPr>
          <w:p w14:paraId="75AE8E2D" w14:textId="27F87862" w:rsidR="0048413B" w:rsidRPr="00E72168" w:rsidRDefault="0048413B" w:rsidP="0048413B">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Īstermiņa finanšu ieguldījumi</w:t>
            </w:r>
          </w:p>
        </w:tc>
        <w:tc>
          <w:tcPr>
            <w:tcW w:w="679" w:type="pct"/>
            <w:tcBorders>
              <w:top w:val="single" w:sz="4" w:space="0" w:color="17365D"/>
              <w:bottom w:val="single" w:sz="4" w:space="0" w:color="17365D"/>
            </w:tcBorders>
            <w:shd w:val="clear" w:color="auto" w:fill="auto"/>
            <w:vAlign w:val="center"/>
            <w:hideMark/>
          </w:tcPr>
          <w:p w14:paraId="44915BBE" w14:textId="5C1778A2" w:rsidR="0048413B" w:rsidRPr="00E72168" w:rsidRDefault="0048413B" w:rsidP="0048413B">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KB.2.5.</w:t>
            </w:r>
          </w:p>
        </w:tc>
        <w:tc>
          <w:tcPr>
            <w:tcW w:w="756" w:type="pct"/>
            <w:tcBorders>
              <w:top w:val="single" w:sz="4" w:space="0" w:color="17365D"/>
              <w:left w:val="nil"/>
              <w:bottom w:val="single" w:sz="4" w:space="0" w:color="17365D"/>
              <w:right w:val="nil"/>
            </w:tcBorders>
            <w:shd w:val="clear" w:color="auto" w:fill="auto"/>
            <w:noWrap/>
            <w:vAlign w:val="center"/>
            <w:hideMark/>
          </w:tcPr>
          <w:p w14:paraId="17796A8F" w14:textId="0A9949EC" w:rsidR="0048413B" w:rsidRPr="00907350" w:rsidRDefault="0048413B" w:rsidP="0048413B">
            <w:pPr>
              <w:spacing w:after="0" w:line="240" w:lineRule="auto"/>
              <w:jc w:val="right"/>
              <w:rPr>
                <w:b/>
                <w:bCs/>
                <w:color w:val="17365D"/>
                <w:sz w:val="18"/>
                <w:szCs w:val="18"/>
                <w:highlight w:val="yellow"/>
              </w:rPr>
            </w:pPr>
            <w:r>
              <w:rPr>
                <w:b/>
                <w:bCs/>
                <w:color w:val="17365D"/>
                <w:sz w:val="18"/>
                <w:szCs w:val="18"/>
              </w:rPr>
              <w:t>111 931 108</w:t>
            </w:r>
          </w:p>
        </w:tc>
        <w:tc>
          <w:tcPr>
            <w:tcW w:w="831" w:type="pct"/>
            <w:tcBorders>
              <w:top w:val="single" w:sz="4" w:space="0" w:color="17365D"/>
              <w:left w:val="nil"/>
              <w:bottom w:val="single" w:sz="4" w:space="0" w:color="17365D"/>
              <w:right w:val="nil"/>
            </w:tcBorders>
            <w:shd w:val="clear" w:color="auto" w:fill="auto"/>
            <w:noWrap/>
            <w:vAlign w:val="center"/>
            <w:hideMark/>
          </w:tcPr>
          <w:p w14:paraId="27F99DF5" w14:textId="101A20C5" w:rsidR="0048413B" w:rsidRPr="00907350" w:rsidRDefault="0048413B" w:rsidP="0048413B">
            <w:pPr>
              <w:spacing w:after="0" w:line="240" w:lineRule="auto"/>
              <w:jc w:val="right"/>
              <w:rPr>
                <w:b/>
                <w:bCs/>
                <w:color w:val="17365D"/>
                <w:sz w:val="18"/>
                <w:szCs w:val="18"/>
                <w:highlight w:val="yellow"/>
              </w:rPr>
            </w:pPr>
            <w:r>
              <w:rPr>
                <w:b/>
                <w:bCs/>
                <w:color w:val="17365D"/>
                <w:sz w:val="18"/>
                <w:szCs w:val="18"/>
              </w:rPr>
              <w:t>74 288 767</w:t>
            </w:r>
          </w:p>
        </w:tc>
        <w:tc>
          <w:tcPr>
            <w:tcW w:w="647" w:type="pct"/>
            <w:tcBorders>
              <w:top w:val="single" w:sz="4" w:space="0" w:color="17365D"/>
              <w:left w:val="nil"/>
              <w:bottom w:val="single" w:sz="4" w:space="0" w:color="17365D"/>
              <w:right w:val="nil"/>
            </w:tcBorders>
            <w:shd w:val="clear" w:color="auto" w:fill="auto"/>
            <w:noWrap/>
            <w:vAlign w:val="center"/>
            <w:hideMark/>
          </w:tcPr>
          <w:p w14:paraId="2E2D87B6" w14:textId="0CDBA2B7" w:rsidR="0048413B" w:rsidRPr="00907350" w:rsidRDefault="0048413B" w:rsidP="0048413B">
            <w:pPr>
              <w:spacing w:after="0" w:line="240" w:lineRule="auto"/>
              <w:jc w:val="right"/>
              <w:rPr>
                <w:b/>
                <w:bCs/>
                <w:color w:val="17365D"/>
                <w:sz w:val="18"/>
                <w:szCs w:val="18"/>
                <w:highlight w:val="yellow"/>
              </w:rPr>
            </w:pPr>
            <w:r>
              <w:rPr>
                <w:b/>
                <w:bCs/>
                <w:color w:val="17365D"/>
                <w:sz w:val="18"/>
                <w:szCs w:val="18"/>
              </w:rPr>
              <w:t>37 642 341</w:t>
            </w:r>
          </w:p>
        </w:tc>
        <w:tc>
          <w:tcPr>
            <w:tcW w:w="649" w:type="pct"/>
            <w:tcBorders>
              <w:top w:val="single" w:sz="4" w:space="0" w:color="17365D"/>
              <w:left w:val="nil"/>
              <w:bottom w:val="single" w:sz="4" w:space="0" w:color="17365D"/>
              <w:right w:val="nil"/>
            </w:tcBorders>
            <w:shd w:val="clear" w:color="auto" w:fill="auto"/>
            <w:noWrap/>
            <w:vAlign w:val="center"/>
            <w:hideMark/>
          </w:tcPr>
          <w:p w14:paraId="23BC2471" w14:textId="08CA306F" w:rsidR="0048413B" w:rsidRPr="00907350" w:rsidRDefault="0048413B" w:rsidP="0048413B">
            <w:pPr>
              <w:spacing w:after="0" w:line="240" w:lineRule="auto"/>
              <w:jc w:val="right"/>
              <w:rPr>
                <w:b/>
                <w:bCs/>
                <w:color w:val="17365D"/>
                <w:sz w:val="18"/>
                <w:szCs w:val="18"/>
                <w:highlight w:val="yellow"/>
              </w:rPr>
            </w:pPr>
            <w:r>
              <w:rPr>
                <w:b/>
                <w:bCs/>
                <w:color w:val="17365D"/>
                <w:sz w:val="18"/>
                <w:szCs w:val="18"/>
              </w:rPr>
              <w:t>50.67</w:t>
            </w:r>
          </w:p>
        </w:tc>
      </w:tr>
      <w:tr w:rsidR="000C1009" w:rsidRPr="00E72168" w14:paraId="2AA01D16" w14:textId="77777777" w:rsidTr="00A05320">
        <w:trPr>
          <w:trHeight w:val="56"/>
        </w:trPr>
        <w:tc>
          <w:tcPr>
            <w:tcW w:w="1437" w:type="pct"/>
            <w:tcBorders>
              <w:top w:val="single" w:sz="4" w:space="0" w:color="17365D"/>
            </w:tcBorders>
            <w:shd w:val="clear" w:color="auto" w:fill="B9CDE5"/>
            <w:vAlign w:val="center"/>
          </w:tcPr>
          <w:p w14:paraId="57E1251E" w14:textId="77777777" w:rsidR="00A34B48" w:rsidRPr="00E72168" w:rsidRDefault="00A34B48" w:rsidP="00F45393">
            <w:pPr>
              <w:spacing w:after="0"/>
              <w:rPr>
                <w:rFonts w:eastAsia="Times New Roman" w:cs="Times New Roman"/>
                <w:color w:val="17365D"/>
                <w:sz w:val="18"/>
                <w:szCs w:val="18"/>
                <w:lang w:eastAsia="lv-LV"/>
              </w:rPr>
            </w:pPr>
          </w:p>
        </w:tc>
        <w:tc>
          <w:tcPr>
            <w:tcW w:w="679" w:type="pct"/>
            <w:tcBorders>
              <w:top w:val="single" w:sz="4" w:space="0" w:color="17365D"/>
            </w:tcBorders>
            <w:shd w:val="clear" w:color="auto" w:fill="B9CDE5"/>
            <w:noWrap/>
            <w:vAlign w:val="center"/>
          </w:tcPr>
          <w:p w14:paraId="7359E10A" w14:textId="77777777" w:rsidR="00A34B48" w:rsidRPr="00E72168" w:rsidRDefault="00A34B48" w:rsidP="00F45393">
            <w:pPr>
              <w:spacing w:after="0"/>
              <w:jc w:val="center"/>
              <w:rPr>
                <w:rFonts w:eastAsia="Times New Roman" w:cs="Times New Roman"/>
                <w:color w:val="17365D"/>
                <w:sz w:val="18"/>
                <w:szCs w:val="18"/>
                <w:lang w:eastAsia="lv-LV"/>
              </w:rPr>
            </w:pPr>
          </w:p>
        </w:tc>
        <w:tc>
          <w:tcPr>
            <w:tcW w:w="756" w:type="pct"/>
            <w:tcBorders>
              <w:top w:val="single" w:sz="4" w:space="0" w:color="17365D"/>
            </w:tcBorders>
            <w:shd w:val="clear" w:color="auto" w:fill="B9CDE5"/>
            <w:noWrap/>
            <w:vAlign w:val="center"/>
          </w:tcPr>
          <w:p w14:paraId="5A1B211C" w14:textId="77777777" w:rsidR="00A34B48" w:rsidRPr="00E72168" w:rsidRDefault="00A34B48" w:rsidP="00F45393">
            <w:pPr>
              <w:spacing w:after="0"/>
              <w:jc w:val="right"/>
              <w:rPr>
                <w:rFonts w:eastAsia="Times New Roman" w:cs="Times New Roman"/>
                <w:color w:val="17365D"/>
                <w:sz w:val="18"/>
                <w:szCs w:val="18"/>
                <w:lang w:eastAsia="lv-LV"/>
              </w:rPr>
            </w:pPr>
          </w:p>
        </w:tc>
        <w:tc>
          <w:tcPr>
            <w:tcW w:w="831" w:type="pct"/>
            <w:tcBorders>
              <w:top w:val="single" w:sz="4" w:space="0" w:color="17365D"/>
            </w:tcBorders>
            <w:shd w:val="clear" w:color="auto" w:fill="B9CDE5"/>
            <w:noWrap/>
            <w:vAlign w:val="center"/>
          </w:tcPr>
          <w:p w14:paraId="5DD21F57" w14:textId="77777777" w:rsidR="00A34B48" w:rsidRPr="00E72168" w:rsidRDefault="00A34B48" w:rsidP="00F45393">
            <w:pPr>
              <w:spacing w:after="0"/>
              <w:jc w:val="right"/>
              <w:rPr>
                <w:rFonts w:eastAsia="Times New Roman" w:cs="Times New Roman"/>
                <w:color w:val="17365D"/>
                <w:sz w:val="18"/>
                <w:szCs w:val="18"/>
                <w:lang w:eastAsia="lv-LV"/>
              </w:rPr>
            </w:pPr>
          </w:p>
        </w:tc>
        <w:tc>
          <w:tcPr>
            <w:tcW w:w="647" w:type="pct"/>
            <w:tcBorders>
              <w:top w:val="single" w:sz="4" w:space="0" w:color="17365D"/>
            </w:tcBorders>
            <w:shd w:val="clear" w:color="auto" w:fill="B9CDE5"/>
            <w:noWrap/>
            <w:vAlign w:val="center"/>
          </w:tcPr>
          <w:p w14:paraId="61092339" w14:textId="77777777" w:rsidR="00A34B48" w:rsidRPr="00E72168" w:rsidRDefault="00A34B48" w:rsidP="00F45393">
            <w:pPr>
              <w:spacing w:after="0"/>
              <w:jc w:val="right"/>
              <w:rPr>
                <w:rFonts w:eastAsia="Times New Roman" w:cs="Times New Roman"/>
                <w:color w:val="17365D"/>
                <w:sz w:val="18"/>
                <w:szCs w:val="18"/>
                <w:lang w:eastAsia="lv-LV"/>
              </w:rPr>
            </w:pPr>
          </w:p>
        </w:tc>
        <w:tc>
          <w:tcPr>
            <w:tcW w:w="649" w:type="pct"/>
            <w:tcBorders>
              <w:top w:val="single" w:sz="4" w:space="0" w:color="17365D"/>
            </w:tcBorders>
            <w:shd w:val="clear" w:color="auto" w:fill="B9CDE5"/>
            <w:noWrap/>
            <w:vAlign w:val="center"/>
          </w:tcPr>
          <w:p w14:paraId="36991AA6" w14:textId="77777777" w:rsidR="00A34B48" w:rsidRPr="00E72168" w:rsidRDefault="00A34B48" w:rsidP="00F45393">
            <w:pPr>
              <w:spacing w:after="0"/>
              <w:jc w:val="right"/>
              <w:rPr>
                <w:rFonts w:eastAsia="Times New Roman" w:cs="Times New Roman"/>
                <w:color w:val="17365D"/>
                <w:sz w:val="18"/>
                <w:szCs w:val="18"/>
                <w:lang w:eastAsia="lv-LV"/>
              </w:rPr>
            </w:pPr>
          </w:p>
        </w:tc>
      </w:tr>
    </w:tbl>
    <w:p w14:paraId="472BA824" w14:textId="43DC0616" w:rsidR="00AA2059" w:rsidRPr="00A27896" w:rsidRDefault="00707AFD" w:rsidP="00707AFD">
      <w:pPr>
        <w:spacing w:before="240" w:after="120" w:line="240" w:lineRule="auto"/>
        <w:ind w:firstLine="284"/>
        <w:jc w:val="both"/>
        <w:rPr>
          <w:rFonts w:cs="Times New Roman"/>
          <w:bCs/>
          <w:color w:val="17365D"/>
        </w:rPr>
      </w:pPr>
      <w:r w:rsidRPr="00E72168">
        <w:rPr>
          <w:rFonts w:cs="Times New Roman"/>
          <w:bCs/>
          <w:color w:val="17365D"/>
        </w:rPr>
        <w:t>Īstermiņa finanšu ieguldījumu postenī būtiskas izmaiņas pārskata gadā nav bijušas.</w:t>
      </w:r>
      <w:r>
        <w:rPr>
          <w:rFonts w:cs="Times New Roman"/>
          <w:bCs/>
          <w:color w:val="17365D"/>
        </w:rPr>
        <w:t xml:space="preserve"> </w:t>
      </w:r>
    </w:p>
    <w:p w14:paraId="27BDF9F2" w14:textId="44B86860" w:rsidR="00D41F06" w:rsidRPr="00A27896" w:rsidRDefault="00C67DF1" w:rsidP="005A3758">
      <w:pPr>
        <w:pStyle w:val="Heading4"/>
        <w:rPr>
          <w:rFonts w:cs="Times New Roman"/>
        </w:rPr>
      </w:pPr>
      <w:r w:rsidRPr="00A27896">
        <w:rPr>
          <w:rFonts w:cs="Times New Roman"/>
        </w:rPr>
        <w:t xml:space="preserve">Piezīme Nr. </w:t>
      </w:r>
      <w:r w:rsidR="00D41F06" w:rsidRPr="00A27896">
        <w:rPr>
          <w:rFonts w:cs="Times New Roman"/>
        </w:rPr>
        <w:t>KB.</w:t>
      </w:r>
      <w:r w:rsidR="00F73CE6" w:rsidRPr="00A27896">
        <w:rPr>
          <w:rFonts w:cs="Times New Roman"/>
        </w:rPr>
        <w:t>2.6</w:t>
      </w:r>
      <w:r w:rsidR="00D41F06" w:rsidRPr="00A27896">
        <w:rPr>
          <w:rFonts w:cs="Times New Roman"/>
        </w:rPr>
        <w:t>. Naudas līdzekļi</w:t>
      </w:r>
    </w:p>
    <w:p w14:paraId="3E2A827E" w14:textId="0DEEBE10" w:rsidR="00C202C7" w:rsidRPr="00A27896" w:rsidRDefault="00F06FED" w:rsidP="009A23E5">
      <w:pPr>
        <w:pStyle w:val="Tabulasnosaukums1"/>
        <w:spacing w:before="0" w:line="240" w:lineRule="auto"/>
        <w:rPr>
          <w:rFonts w:cs="Times New Roman"/>
          <w:i/>
          <w:color w:val="17365D"/>
        </w:rPr>
      </w:pPr>
      <w:r>
        <w:rPr>
          <w:rFonts w:cs="Times New Roman"/>
          <w:i/>
          <w:color w:val="17365D"/>
        </w:rPr>
        <w:t>1.</w:t>
      </w:r>
      <w:r w:rsidR="00743E0E" w:rsidRPr="00A27896">
        <w:rPr>
          <w:rFonts w:cs="Times New Roman"/>
          <w:i/>
          <w:color w:val="17365D"/>
        </w:rPr>
        <w:t>1</w:t>
      </w:r>
      <w:r w:rsidR="007B608A">
        <w:rPr>
          <w:rFonts w:cs="Times New Roman"/>
          <w:i/>
          <w:color w:val="17365D"/>
        </w:rPr>
        <w:t>6</w:t>
      </w:r>
      <w:r w:rsidR="00C202C7" w:rsidRPr="00A27896">
        <w:rPr>
          <w:rFonts w:cs="Times New Roman"/>
          <w:i/>
          <w:color w:val="17365D"/>
        </w:rPr>
        <w:t>. tabula. Naudas līdzekļi (euro)</w:t>
      </w:r>
    </w:p>
    <w:tbl>
      <w:tblPr>
        <w:tblW w:w="5001" w:type="pct"/>
        <w:jc w:val="center"/>
        <w:tblLayout w:type="fixed"/>
        <w:tblLook w:val="04A0" w:firstRow="1" w:lastRow="0" w:firstColumn="1" w:lastColumn="0" w:noHBand="0" w:noVBand="1"/>
      </w:tblPr>
      <w:tblGrid>
        <w:gridCol w:w="2551"/>
        <w:gridCol w:w="1138"/>
        <w:gridCol w:w="1416"/>
        <w:gridCol w:w="1559"/>
        <w:gridCol w:w="1274"/>
        <w:gridCol w:w="1418"/>
      </w:tblGrid>
      <w:tr w:rsidR="000C1009" w:rsidRPr="00A27896" w14:paraId="3FEE31ED" w14:textId="77777777" w:rsidTr="009A4177">
        <w:trPr>
          <w:trHeight w:val="684"/>
          <w:tblHeader/>
          <w:jc w:val="center"/>
        </w:trPr>
        <w:tc>
          <w:tcPr>
            <w:tcW w:w="1363" w:type="pct"/>
            <w:tcBorders>
              <w:bottom w:val="single" w:sz="4" w:space="0" w:color="17365D"/>
            </w:tcBorders>
            <w:shd w:val="clear" w:color="auto" w:fill="B9CDE5"/>
            <w:vAlign w:val="center"/>
            <w:hideMark/>
          </w:tcPr>
          <w:p w14:paraId="7FDD03D8" w14:textId="49C6946C" w:rsidR="00C202C7" w:rsidRPr="00A27896" w:rsidRDefault="007611AA" w:rsidP="00E02665">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608" w:type="pct"/>
            <w:tcBorders>
              <w:bottom w:val="single" w:sz="4" w:space="0" w:color="17365D"/>
            </w:tcBorders>
            <w:shd w:val="clear" w:color="auto" w:fill="B9CDE5"/>
            <w:vAlign w:val="center"/>
            <w:hideMark/>
          </w:tcPr>
          <w:p w14:paraId="5CE98122"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57" w:type="pct"/>
            <w:tcBorders>
              <w:bottom w:val="single" w:sz="4" w:space="0" w:color="17365D"/>
            </w:tcBorders>
            <w:shd w:val="clear" w:color="auto" w:fill="B9CDE5"/>
            <w:vAlign w:val="center"/>
            <w:hideMark/>
          </w:tcPr>
          <w:p w14:paraId="050BE560"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33" w:type="pct"/>
            <w:tcBorders>
              <w:bottom w:val="single" w:sz="4" w:space="0" w:color="17365D"/>
            </w:tcBorders>
            <w:shd w:val="clear" w:color="auto" w:fill="B9CDE5"/>
            <w:vAlign w:val="center"/>
            <w:hideMark/>
          </w:tcPr>
          <w:p w14:paraId="346B3631"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681" w:type="pct"/>
            <w:tcBorders>
              <w:bottom w:val="single" w:sz="4" w:space="0" w:color="17365D"/>
            </w:tcBorders>
            <w:shd w:val="clear" w:color="auto" w:fill="B9CDE5"/>
            <w:vAlign w:val="center"/>
            <w:hideMark/>
          </w:tcPr>
          <w:p w14:paraId="100AD6FC" w14:textId="41B1FC88"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w:t>
            </w:r>
            <w:r w:rsidR="00F21677" w:rsidRPr="00A27896">
              <w:rPr>
                <w:rFonts w:eastAsia="Times New Roman" w:cs="Times New Roman"/>
                <w:b/>
                <w:color w:val="17365D"/>
                <w:sz w:val="18"/>
                <w:szCs w:val="18"/>
                <w:lang w:eastAsia="lv-LV"/>
              </w:rPr>
              <w:t>-</w:t>
            </w:r>
            <w:r w:rsidRPr="00A27896">
              <w:rPr>
                <w:rFonts w:eastAsia="Times New Roman" w:cs="Times New Roman"/>
                <w:b/>
                <w:color w:val="17365D"/>
                <w:sz w:val="18"/>
                <w:szCs w:val="18"/>
                <w:lang w:eastAsia="lv-LV"/>
              </w:rPr>
              <w:t>)</w:t>
            </w:r>
          </w:p>
        </w:tc>
        <w:tc>
          <w:tcPr>
            <w:tcW w:w="758" w:type="pct"/>
            <w:tcBorders>
              <w:bottom w:val="single" w:sz="4" w:space="0" w:color="17365D"/>
            </w:tcBorders>
            <w:shd w:val="clear" w:color="auto" w:fill="B9CDE5"/>
            <w:vAlign w:val="center"/>
            <w:hideMark/>
          </w:tcPr>
          <w:p w14:paraId="0AE64B94"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53DF5E58" w14:textId="77777777" w:rsidTr="00A05320">
        <w:trPr>
          <w:trHeight w:val="240"/>
          <w:jc w:val="center"/>
        </w:trPr>
        <w:tc>
          <w:tcPr>
            <w:tcW w:w="1363" w:type="pct"/>
            <w:tcBorders>
              <w:top w:val="single" w:sz="4" w:space="0" w:color="17365D"/>
              <w:bottom w:val="single" w:sz="4" w:space="0" w:color="17365D"/>
            </w:tcBorders>
            <w:shd w:val="clear" w:color="auto" w:fill="auto"/>
            <w:vAlign w:val="center"/>
            <w:hideMark/>
          </w:tcPr>
          <w:p w14:paraId="2FFE1DAD"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08" w:type="pct"/>
            <w:tcBorders>
              <w:top w:val="single" w:sz="4" w:space="0" w:color="17365D"/>
              <w:bottom w:val="single" w:sz="4" w:space="0" w:color="17365D"/>
            </w:tcBorders>
            <w:shd w:val="clear" w:color="auto" w:fill="auto"/>
            <w:vAlign w:val="center"/>
            <w:hideMark/>
          </w:tcPr>
          <w:p w14:paraId="42C541C0"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57" w:type="pct"/>
            <w:tcBorders>
              <w:top w:val="single" w:sz="4" w:space="0" w:color="17365D"/>
              <w:bottom w:val="single" w:sz="4" w:space="0" w:color="17365D"/>
            </w:tcBorders>
            <w:shd w:val="clear" w:color="auto" w:fill="auto"/>
            <w:vAlign w:val="center"/>
            <w:hideMark/>
          </w:tcPr>
          <w:p w14:paraId="24783CAA"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33" w:type="pct"/>
            <w:tcBorders>
              <w:top w:val="single" w:sz="4" w:space="0" w:color="17365D"/>
              <w:bottom w:val="single" w:sz="4" w:space="0" w:color="17365D"/>
            </w:tcBorders>
            <w:shd w:val="clear" w:color="auto" w:fill="auto"/>
            <w:vAlign w:val="center"/>
            <w:hideMark/>
          </w:tcPr>
          <w:p w14:paraId="33BC1E66"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81" w:type="pct"/>
            <w:tcBorders>
              <w:top w:val="single" w:sz="4" w:space="0" w:color="17365D"/>
              <w:bottom w:val="single" w:sz="4" w:space="0" w:color="17365D"/>
            </w:tcBorders>
            <w:shd w:val="clear" w:color="auto" w:fill="auto"/>
            <w:vAlign w:val="center"/>
            <w:hideMark/>
          </w:tcPr>
          <w:p w14:paraId="52E70452"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758" w:type="pct"/>
            <w:tcBorders>
              <w:top w:val="single" w:sz="4" w:space="0" w:color="17365D"/>
              <w:bottom w:val="single" w:sz="4" w:space="0" w:color="17365D"/>
            </w:tcBorders>
            <w:shd w:val="clear" w:color="auto" w:fill="auto"/>
            <w:vAlign w:val="center"/>
            <w:hideMark/>
          </w:tcPr>
          <w:p w14:paraId="039DB2C2"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433C0A" w:rsidRPr="00A27896" w14:paraId="556CEB7E" w14:textId="77777777" w:rsidTr="00A05320">
        <w:trPr>
          <w:trHeight w:val="366"/>
          <w:jc w:val="center"/>
        </w:trPr>
        <w:tc>
          <w:tcPr>
            <w:tcW w:w="1363" w:type="pct"/>
            <w:tcBorders>
              <w:top w:val="single" w:sz="4" w:space="0" w:color="17365D"/>
              <w:bottom w:val="single" w:sz="4" w:space="0" w:color="17365D"/>
            </w:tcBorders>
            <w:shd w:val="clear" w:color="auto" w:fill="auto"/>
            <w:vAlign w:val="center"/>
            <w:hideMark/>
          </w:tcPr>
          <w:p w14:paraId="3B3333B4" w14:textId="66D857C9" w:rsidR="00433C0A" w:rsidRPr="00A27896" w:rsidRDefault="00433C0A" w:rsidP="00433C0A">
            <w:pPr>
              <w:spacing w:after="0"/>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Naudas līdzekļi</w:t>
            </w:r>
          </w:p>
        </w:tc>
        <w:tc>
          <w:tcPr>
            <w:tcW w:w="608" w:type="pct"/>
            <w:tcBorders>
              <w:top w:val="single" w:sz="4" w:space="0" w:color="17365D"/>
              <w:bottom w:val="single" w:sz="4" w:space="0" w:color="17365D"/>
            </w:tcBorders>
            <w:shd w:val="clear" w:color="auto" w:fill="auto"/>
            <w:vAlign w:val="center"/>
            <w:hideMark/>
          </w:tcPr>
          <w:p w14:paraId="36536326" w14:textId="4AE6CCD1" w:rsidR="00433C0A" w:rsidRPr="00A27896" w:rsidRDefault="00433C0A" w:rsidP="006F2BCE">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KB.2.6.</w:t>
            </w:r>
          </w:p>
        </w:tc>
        <w:tc>
          <w:tcPr>
            <w:tcW w:w="757" w:type="pct"/>
            <w:tcBorders>
              <w:top w:val="single" w:sz="4" w:space="0" w:color="17365D"/>
              <w:bottom w:val="single" w:sz="4" w:space="0" w:color="17365D"/>
            </w:tcBorders>
            <w:shd w:val="clear" w:color="auto" w:fill="auto"/>
            <w:noWrap/>
            <w:vAlign w:val="center"/>
            <w:hideMark/>
          </w:tcPr>
          <w:p w14:paraId="380F6BB7" w14:textId="7C235D45" w:rsidR="00433C0A" w:rsidRPr="00907350" w:rsidRDefault="00433C0A" w:rsidP="00433C0A">
            <w:pPr>
              <w:spacing w:after="0"/>
              <w:jc w:val="right"/>
              <w:rPr>
                <w:rFonts w:cs="Times New Roman"/>
                <w:b/>
                <w:color w:val="17365D"/>
                <w:sz w:val="18"/>
                <w:szCs w:val="18"/>
                <w:highlight w:val="yellow"/>
              </w:rPr>
            </w:pPr>
            <w:r>
              <w:rPr>
                <w:b/>
                <w:bCs/>
                <w:color w:val="17365D"/>
                <w:sz w:val="18"/>
                <w:szCs w:val="18"/>
              </w:rPr>
              <w:t>2 949 487 013</w:t>
            </w:r>
          </w:p>
        </w:tc>
        <w:tc>
          <w:tcPr>
            <w:tcW w:w="833" w:type="pct"/>
            <w:tcBorders>
              <w:top w:val="single" w:sz="4" w:space="0" w:color="17365D"/>
              <w:bottom w:val="single" w:sz="4" w:space="0" w:color="17365D"/>
            </w:tcBorders>
            <w:shd w:val="clear" w:color="auto" w:fill="auto"/>
            <w:noWrap/>
            <w:vAlign w:val="center"/>
            <w:hideMark/>
          </w:tcPr>
          <w:p w14:paraId="42A42D30" w14:textId="5E6D59E2" w:rsidR="00433C0A" w:rsidRPr="00907350" w:rsidRDefault="00433C0A" w:rsidP="00433C0A">
            <w:pPr>
              <w:spacing w:after="0"/>
              <w:jc w:val="right"/>
              <w:rPr>
                <w:rFonts w:cs="Times New Roman"/>
                <w:b/>
                <w:color w:val="17365D"/>
                <w:sz w:val="18"/>
                <w:szCs w:val="18"/>
                <w:highlight w:val="yellow"/>
              </w:rPr>
            </w:pPr>
            <w:r>
              <w:rPr>
                <w:b/>
                <w:bCs/>
                <w:color w:val="17365D"/>
                <w:sz w:val="18"/>
                <w:szCs w:val="18"/>
              </w:rPr>
              <w:t>2 399 643 225</w:t>
            </w:r>
          </w:p>
        </w:tc>
        <w:tc>
          <w:tcPr>
            <w:tcW w:w="681" w:type="pct"/>
            <w:tcBorders>
              <w:top w:val="single" w:sz="4" w:space="0" w:color="17365D"/>
              <w:bottom w:val="single" w:sz="4" w:space="0" w:color="17365D"/>
            </w:tcBorders>
            <w:shd w:val="clear" w:color="auto" w:fill="auto"/>
            <w:noWrap/>
            <w:vAlign w:val="center"/>
            <w:hideMark/>
          </w:tcPr>
          <w:p w14:paraId="2F665EE2" w14:textId="31E8B3F2" w:rsidR="00433C0A" w:rsidRPr="00907350" w:rsidRDefault="00433C0A" w:rsidP="00433C0A">
            <w:pPr>
              <w:spacing w:after="0"/>
              <w:jc w:val="right"/>
              <w:rPr>
                <w:rFonts w:cs="Times New Roman"/>
                <w:b/>
                <w:color w:val="17365D"/>
                <w:sz w:val="18"/>
                <w:szCs w:val="18"/>
                <w:highlight w:val="yellow"/>
              </w:rPr>
            </w:pPr>
            <w:r>
              <w:rPr>
                <w:b/>
                <w:bCs/>
                <w:color w:val="17365D"/>
                <w:sz w:val="18"/>
                <w:szCs w:val="18"/>
              </w:rPr>
              <w:t>549 843 788</w:t>
            </w:r>
          </w:p>
        </w:tc>
        <w:tc>
          <w:tcPr>
            <w:tcW w:w="758" w:type="pct"/>
            <w:tcBorders>
              <w:top w:val="single" w:sz="4" w:space="0" w:color="17365D"/>
              <w:left w:val="nil"/>
              <w:bottom w:val="single" w:sz="4" w:space="0" w:color="17365D"/>
            </w:tcBorders>
            <w:shd w:val="clear" w:color="auto" w:fill="auto"/>
            <w:noWrap/>
            <w:vAlign w:val="center"/>
            <w:hideMark/>
          </w:tcPr>
          <w:p w14:paraId="0552D2C8" w14:textId="4D2B28CE" w:rsidR="00433C0A" w:rsidRPr="00907350" w:rsidRDefault="00433C0A" w:rsidP="00433C0A">
            <w:pPr>
              <w:spacing w:after="0"/>
              <w:jc w:val="right"/>
              <w:rPr>
                <w:rFonts w:cs="Times New Roman"/>
                <w:b/>
                <w:color w:val="17365D"/>
                <w:sz w:val="18"/>
                <w:szCs w:val="18"/>
                <w:highlight w:val="yellow"/>
              </w:rPr>
            </w:pPr>
            <w:r>
              <w:rPr>
                <w:b/>
                <w:bCs/>
                <w:color w:val="17365D"/>
                <w:sz w:val="18"/>
                <w:szCs w:val="18"/>
              </w:rPr>
              <w:t>22.91</w:t>
            </w:r>
          </w:p>
        </w:tc>
      </w:tr>
      <w:tr w:rsidR="000C1009" w:rsidRPr="00A27896" w14:paraId="62BB9185" w14:textId="77777777" w:rsidTr="00A05320">
        <w:trPr>
          <w:trHeight w:val="56"/>
          <w:jc w:val="center"/>
        </w:trPr>
        <w:tc>
          <w:tcPr>
            <w:tcW w:w="1363" w:type="pct"/>
            <w:tcBorders>
              <w:top w:val="single" w:sz="4" w:space="0" w:color="17365D"/>
            </w:tcBorders>
            <w:shd w:val="clear" w:color="auto" w:fill="B9CDE5"/>
            <w:vAlign w:val="center"/>
          </w:tcPr>
          <w:p w14:paraId="4E931A63" w14:textId="77777777" w:rsidR="00C202C7" w:rsidRPr="00A27896" w:rsidRDefault="00C202C7" w:rsidP="00E02665">
            <w:pPr>
              <w:spacing w:after="0"/>
              <w:rPr>
                <w:rFonts w:eastAsia="Times New Roman" w:cs="Times New Roman"/>
                <w:color w:val="17365D"/>
                <w:sz w:val="16"/>
                <w:szCs w:val="18"/>
                <w:lang w:eastAsia="lv-LV"/>
              </w:rPr>
            </w:pPr>
          </w:p>
        </w:tc>
        <w:tc>
          <w:tcPr>
            <w:tcW w:w="608" w:type="pct"/>
            <w:tcBorders>
              <w:top w:val="single" w:sz="4" w:space="0" w:color="17365D"/>
            </w:tcBorders>
            <w:shd w:val="clear" w:color="auto" w:fill="B9CDE5"/>
            <w:noWrap/>
            <w:vAlign w:val="center"/>
          </w:tcPr>
          <w:p w14:paraId="7C682B17" w14:textId="77777777" w:rsidR="00C202C7" w:rsidRPr="00A27896" w:rsidRDefault="00C202C7" w:rsidP="00E02665">
            <w:pPr>
              <w:spacing w:after="0"/>
              <w:jc w:val="center"/>
              <w:rPr>
                <w:rFonts w:eastAsia="Times New Roman" w:cs="Times New Roman"/>
                <w:color w:val="17365D"/>
                <w:sz w:val="18"/>
                <w:szCs w:val="18"/>
                <w:lang w:eastAsia="lv-LV"/>
              </w:rPr>
            </w:pPr>
          </w:p>
        </w:tc>
        <w:tc>
          <w:tcPr>
            <w:tcW w:w="757" w:type="pct"/>
            <w:tcBorders>
              <w:top w:val="single" w:sz="4" w:space="0" w:color="17365D"/>
            </w:tcBorders>
            <w:shd w:val="clear" w:color="auto" w:fill="B9CDE5"/>
            <w:noWrap/>
            <w:vAlign w:val="center"/>
          </w:tcPr>
          <w:p w14:paraId="434A1D79" w14:textId="77777777" w:rsidR="00C202C7" w:rsidRPr="00A27896" w:rsidRDefault="00C202C7" w:rsidP="00E02665">
            <w:pPr>
              <w:spacing w:after="0"/>
              <w:jc w:val="right"/>
              <w:rPr>
                <w:rFonts w:eastAsia="Times New Roman" w:cs="Times New Roman"/>
                <w:color w:val="17365D"/>
                <w:sz w:val="18"/>
                <w:szCs w:val="18"/>
                <w:lang w:eastAsia="lv-LV"/>
              </w:rPr>
            </w:pPr>
          </w:p>
        </w:tc>
        <w:tc>
          <w:tcPr>
            <w:tcW w:w="833" w:type="pct"/>
            <w:tcBorders>
              <w:top w:val="single" w:sz="4" w:space="0" w:color="17365D"/>
            </w:tcBorders>
            <w:shd w:val="clear" w:color="auto" w:fill="B9CDE5"/>
            <w:noWrap/>
            <w:vAlign w:val="center"/>
          </w:tcPr>
          <w:p w14:paraId="0D597836" w14:textId="77777777" w:rsidR="00C202C7" w:rsidRPr="00A27896" w:rsidRDefault="00C202C7" w:rsidP="00E02665">
            <w:pPr>
              <w:spacing w:after="0"/>
              <w:jc w:val="right"/>
              <w:rPr>
                <w:rFonts w:eastAsia="Times New Roman" w:cs="Times New Roman"/>
                <w:color w:val="17365D"/>
                <w:sz w:val="18"/>
                <w:szCs w:val="18"/>
                <w:lang w:eastAsia="lv-LV"/>
              </w:rPr>
            </w:pPr>
          </w:p>
        </w:tc>
        <w:tc>
          <w:tcPr>
            <w:tcW w:w="681" w:type="pct"/>
            <w:tcBorders>
              <w:top w:val="single" w:sz="4" w:space="0" w:color="17365D"/>
            </w:tcBorders>
            <w:shd w:val="clear" w:color="auto" w:fill="B9CDE5"/>
            <w:noWrap/>
            <w:vAlign w:val="center"/>
          </w:tcPr>
          <w:p w14:paraId="3C656D82" w14:textId="77777777" w:rsidR="00C202C7" w:rsidRPr="00A27896" w:rsidRDefault="00C202C7" w:rsidP="00E02665">
            <w:pPr>
              <w:spacing w:after="0"/>
              <w:jc w:val="right"/>
              <w:rPr>
                <w:rFonts w:eastAsia="Times New Roman" w:cs="Times New Roman"/>
                <w:color w:val="17365D"/>
                <w:sz w:val="18"/>
                <w:szCs w:val="18"/>
                <w:lang w:eastAsia="lv-LV"/>
              </w:rPr>
            </w:pPr>
          </w:p>
        </w:tc>
        <w:tc>
          <w:tcPr>
            <w:tcW w:w="758" w:type="pct"/>
            <w:tcBorders>
              <w:top w:val="single" w:sz="4" w:space="0" w:color="17365D"/>
            </w:tcBorders>
            <w:shd w:val="clear" w:color="auto" w:fill="B9CDE5"/>
            <w:noWrap/>
            <w:vAlign w:val="center"/>
          </w:tcPr>
          <w:p w14:paraId="1A26EF6B" w14:textId="77777777" w:rsidR="00C202C7" w:rsidRPr="00A27896" w:rsidRDefault="00C202C7" w:rsidP="00E02665">
            <w:pPr>
              <w:spacing w:after="0"/>
              <w:jc w:val="right"/>
              <w:rPr>
                <w:rFonts w:eastAsia="Times New Roman" w:cs="Times New Roman"/>
                <w:color w:val="17365D"/>
                <w:sz w:val="18"/>
                <w:szCs w:val="18"/>
                <w:lang w:eastAsia="lv-LV"/>
              </w:rPr>
            </w:pPr>
          </w:p>
        </w:tc>
      </w:tr>
    </w:tbl>
    <w:p w14:paraId="6A07A354" w14:textId="77777777" w:rsidR="00060622" w:rsidRDefault="00060622" w:rsidP="00060622">
      <w:pPr>
        <w:pStyle w:val="Pamatteksts1"/>
      </w:pPr>
    </w:p>
    <w:p w14:paraId="6EAEF21D" w14:textId="60A661ED" w:rsidR="00D5795D" w:rsidRPr="00433C0A" w:rsidRDefault="00D5795D" w:rsidP="00060622">
      <w:pPr>
        <w:pStyle w:val="Pamatteksts1"/>
      </w:pPr>
      <w:r w:rsidRPr="00433C0A">
        <w:t>Kopēj</w:t>
      </w:r>
      <w:r w:rsidR="009662A8" w:rsidRPr="00433C0A">
        <w:t>o</w:t>
      </w:r>
      <w:r w:rsidRPr="00433C0A">
        <w:t xml:space="preserve"> naudas līdzekļu atlikum</w:t>
      </w:r>
      <w:r w:rsidR="009662A8" w:rsidRPr="00433C0A">
        <w:t>u</w:t>
      </w:r>
      <w:r w:rsidRPr="00433C0A">
        <w:t xml:space="preserve"> pārskata gada beigās</w:t>
      </w:r>
      <w:r w:rsidR="009662A8" w:rsidRPr="00433C0A">
        <w:t xml:space="preserve"> galvenokārt veido</w:t>
      </w:r>
      <w:r w:rsidRPr="00433C0A">
        <w:t xml:space="preserve"> Valsts kases naudas līdzekļu atlikumi finanšu sabiedrībās</w:t>
      </w:r>
      <w:r w:rsidRPr="00433C0A" w:rsidDel="003C7887">
        <w:t xml:space="preserve"> </w:t>
      </w:r>
      <w:r w:rsidR="00433C0A" w:rsidRPr="00433C0A">
        <w:t>2 633,3 milj.</w:t>
      </w:r>
      <w:r w:rsidR="00B87BA2" w:rsidRPr="00433C0A">
        <w:t xml:space="preserve"> </w:t>
      </w:r>
      <w:r w:rsidRPr="00433C0A">
        <w:rPr>
          <w:i/>
        </w:rPr>
        <w:t xml:space="preserve">euro </w:t>
      </w:r>
      <w:r w:rsidRPr="00433C0A">
        <w:t xml:space="preserve">vērtībā un pašvaldību budžeta līdzekļu atlikumi kredītiestādēs </w:t>
      </w:r>
      <w:r w:rsidR="008437F2">
        <w:t>221,5</w:t>
      </w:r>
      <w:r w:rsidR="00433C0A" w:rsidRPr="00433C0A">
        <w:t xml:space="preserve"> milj.</w:t>
      </w:r>
      <w:r w:rsidR="00B87BA2" w:rsidRPr="00433C0A">
        <w:t xml:space="preserve"> </w:t>
      </w:r>
      <w:r w:rsidRPr="00433C0A">
        <w:rPr>
          <w:i/>
        </w:rPr>
        <w:t xml:space="preserve">euro </w:t>
      </w:r>
      <w:r w:rsidRPr="00433C0A">
        <w:t xml:space="preserve">vērtībā. </w:t>
      </w:r>
    </w:p>
    <w:p w14:paraId="2959D67F" w14:textId="5002C43D" w:rsidR="002709BA" w:rsidRPr="008437F2" w:rsidRDefault="002709BA" w:rsidP="00060622">
      <w:pPr>
        <w:pStyle w:val="Pamatteksts1"/>
      </w:pPr>
      <w:r w:rsidRPr="008437F2">
        <w:t>Lielākie</w:t>
      </w:r>
      <w:r w:rsidR="006B0E02" w:rsidRPr="008437F2">
        <w:t xml:space="preserve"> valsts un pašvaldību</w:t>
      </w:r>
      <w:r w:rsidRPr="008437F2">
        <w:t xml:space="preserve"> budžeta iestāžu naudas līdzekļu atlikumi ārpus Valsts kases izvietoti </w:t>
      </w:r>
      <w:r w:rsidR="008437F2" w:rsidRPr="008437F2">
        <w:t>AS “SEB banka” 112,1 milj.</w:t>
      </w:r>
      <w:r w:rsidR="00B87BA2" w:rsidRPr="008437F2">
        <w:t xml:space="preserve"> </w:t>
      </w:r>
      <w:r w:rsidR="004D17AD" w:rsidRPr="008437F2">
        <w:rPr>
          <w:i/>
        </w:rPr>
        <w:t>euro</w:t>
      </w:r>
      <w:r w:rsidR="004D17AD" w:rsidRPr="008437F2">
        <w:t xml:space="preserve"> apmērā </w:t>
      </w:r>
      <w:r w:rsidRPr="008437F2">
        <w:t>un</w:t>
      </w:r>
      <w:r w:rsidR="004D17AD" w:rsidRPr="008437F2">
        <w:t xml:space="preserve"> </w:t>
      </w:r>
      <w:r w:rsidR="008437F2" w:rsidRPr="008437F2">
        <w:t>AS “</w:t>
      </w:r>
      <w:proofErr w:type="spellStart"/>
      <w:r w:rsidR="008437F2" w:rsidRPr="008437F2">
        <w:t>Luminor</w:t>
      </w:r>
      <w:proofErr w:type="spellEnd"/>
      <w:r w:rsidR="008437F2" w:rsidRPr="008437F2">
        <w:t xml:space="preserve"> </w:t>
      </w:r>
      <w:proofErr w:type="spellStart"/>
      <w:r w:rsidR="008437F2" w:rsidRPr="008437F2">
        <w:t>Bank</w:t>
      </w:r>
      <w:proofErr w:type="spellEnd"/>
      <w:r w:rsidR="008437F2" w:rsidRPr="008437F2">
        <w:t>” 109,1 milj.</w:t>
      </w:r>
      <w:r w:rsidR="00B87BA2" w:rsidRPr="008437F2">
        <w:t xml:space="preserve"> </w:t>
      </w:r>
      <w:r w:rsidR="004D17AD" w:rsidRPr="008437F2">
        <w:rPr>
          <w:i/>
        </w:rPr>
        <w:t>euro</w:t>
      </w:r>
      <w:r w:rsidR="004D17AD" w:rsidRPr="008437F2">
        <w:t xml:space="preserve"> apmērā</w:t>
      </w:r>
      <w:r w:rsidR="006A2415" w:rsidRPr="008437F2">
        <w:t>.</w:t>
      </w:r>
    </w:p>
    <w:p w14:paraId="02699277" w14:textId="43497034" w:rsidR="00D5795D" w:rsidRDefault="00F17527" w:rsidP="00060622">
      <w:pPr>
        <w:pStyle w:val="Pamatteksts1"/>
      </w:pPr>
      <w:r w:rsidRPr="008437F2">
        <w:t xml:space="preserve">Pārskata gadā </w:t>
      </w:r>
      <w:r w:rsidR="008437F2">
        <w:t xml:space="preserve">Valsts kases naudas līdzekļu atlikumi palielinājās par 591,9 milj. </w:t>
      </w:r>
      <w:r w:rsidR="008437F2" w:rsidRPr="008437F2">
        <w:rPr>
          <w:i/>
          <w:iCs/>
        </w:rPr>
        <w:t>euro</w:t>
      </w:r>
      <w:r w:rsidR="008437F2">
        <w:t xml:space="preserve">, bet </w:t>
      </w:r>
      <w:r w:rsidRPr="008437F2">
        <w:t xml:space="preserve">pašvaldību līdzekļu kredītiestādēs atlikums </w:t>
      </w:r>
      <w:r w:rsidR="0091359F" w:rsidRPr="008437F2">
        <w:t>samazinājies</w:t>
      </w:r>
      <w:r w:rsidR="00F10012" w:rsidRPr="008437F2">
        <w:t xml:space="preserve"> par</w:t>
      </w:r>
      <w:r w:rsidR="00D50D19" w:rsidRPr="008437F2">
        <w:t xml:space="preserve"> </w:t>
      </w:r>
      <w:r w:rsidR="0091359F" w:rsidRPr="008437F2">
        <w:t>(</w:t>
      </w:r>
      <w:r w:rsidR="008437F2" w:rsidRPr="008437F2">
        <w:t>40,8</w:t>
      </w:r>
      <w:r w:rsidR="0091359F" w:rsidRPr="008437F2">
        <w:t>)</w:t>
      </w:r>
      <w:r w:rsidR="008437F2" w:rsidRPr="008437F2">
        <w:t xml:space="preserve"> milj.</w:t>
      </w:r>
      <w:r w:rsidR="0091359F" w:rsidRPr="008437F2">
        <w:t xml:space="preserve"> </w:t>
      </w:r>
      <w:r w:rsidR="007062E3" w:rsidRPr="008437F2">
        <w:rPr>
          <w:i/>
        </w:rPr>
        <w:t>euro</w:t>
      </w:r>
      <w:r w:rsidR="007062E3" w:rsidRPr="008437F2">
        <w:t>.</w:t>
      </w:r>
    </w:p>
    <w:p w14:paraId="2A372CFD" w14:textId="5459B7EF" w:rsidR="008437F2" w:rsidRDefault="008437F2" w:rsidP="00060622">
      <w:pPr>
        <w:pStyle w:val="Pamatteksts1"/>
      </w:pPr>
      <w:r>
        <w:t>Palielinājums veidojies Valsts kasei emitējot parāda vērtspapīrus 2 836,3 milj.</w:t>
      </w:r>
      <w:r w:rsidR="00D117EE">
        <w:t xml:space="preserve"> </w:t>
      </w:r>
      <w:r w:rsidRPr="00DF0B79">
        <w:rPr>
          <w:i/>
          <w:iCs/>
        </w:rPr>
        <w:t>euro</w:t>
      </w:r>
      <w:r>
        <w:t xml:space="preserve"> apmērā, tai skaitā USD obligācijas 1 151,3 milj. </w:t>
      </w:r>
      <w:r w:rsidRPr="00DF0B79">
        <w:rPr>
          <w:i/>
          <w:iCs/>
        </w:rPr>
        <w:t>euro</w:t>
      </w:r>
      <w:r>
        <w:t xml:space="preserve"> apmērā un eiroobligācijas – 1 685,0 milj. </w:t>
      </w:r>
      <w:r w:rsidRPr="00DF0B79">
        <w:rPr>
          <w:i/>
          <w:iCs/>
        </w:rPr>
        <w:t>euro</w:t>
      </w:r>
      <w:r>
        <w:t xml:space="preserve"> apmērā, </w:t>
      </w:r>
      <w:r w:rsidR="00DF0B79">
        <w:t xml:space="preserve">kā arī veicot eiroobligāciju dzēšanu </w:t>
      </w:r>
      <w:r w:rsidR="004A1600">
        <w:t>(</w:t>
      </w:r>
      <w:r w:rsidR="00DF0B79">
        <w:t>1 320,0</w:t>
      </w:r>
      <w:r w:rsidR="004A1600">
        <w:t>)</w:t>
      </w:r>
      <w:r w:rsidR="00DF0B79">
        <w:t xml:space="preserve"> milj.</w:t>
      </w:r>
      <w:r w:rsidR="004A1600">
        <w:t xml:space="preserve"> </w:t>
      </w:r>
      <w:r w:rsidR="00DF0B79" w:rsidRPr="00DF0B79">
        <w:rPr>
          <w:i/>
          <w:iCs/>
        </w:rPr>
        <w:t>euro</w:t>
      </w:r>
      <w:r w:rsidR="00DF0B79">
        <w:t xml:space="preserve"> apmērā.</w:t>
      </w:r>
    </w:p>
    <w:p w14:paraId="1A753D93" w14:textId="7C0105D1" w:rsidR="00433C0A" w:rsidRPr="00A27896" w:rsidRDefault="00DF0B79" w:rsidP="00060622">
      <w:pPr>
        <w:pStyle w:val="Pamatteksts1"/>
      </w:pPr>
      <w:r>
        <w:t>Pašvaldībām l</w:t>
      </w:r>
      <w:r w:rsidR="00433C0A">
        <w:t xml:space="preserve">ielākais samazinājums </w:t>
      </w:r>
      <w:r>
        <w:t xml:space="preserve">veidojies Rīgas </w:t>
      </w:r>
      <w:proofErr w:type="spellStart"/>
      <w:r>
        <w:t>valstspilsētas</w:t>
      </w:r>
      <w:proofErr w:type="spellEnd"/>
      <w:r>
        <w:t xml:space="preserve"> pašvaldībai (3</w:t>
      </w:r>
      <w:r w:rsidR="00BA7ADB">
        <w:t>1,</w:t>
      </w:r>
      <w:r>
        <w:t>0) milj.</w:t>
      </w:r>
      <w:r w:rsidR="00E70560">
        <w:t> </w:t>
      </w:r>
      <w:proofErr w:type="spellStart"/>
      <w:r w:rsidRPr="00DF0B79">
        <w:rPr>
          <w:i/>
          <w:iCs/>
        </w:rPr>
        <w:t>euro</w:t>
      </w:r>
      <w:proofErr w:type="spellEnd"/>
      <w:r>
        <w:t xml:space="preserve"> un Jūrmalas </w:t>
      </w:r>
      <w:proofErr w:type="spellStart"/>
      <w:r>
        <w:t>valstspilsētas</w:t>
      </w:r>
      <w:proofErr w:type="spellEnd"/>
      <w:r>
        <w:t xml:space="preserve"> pašvaldībai (8,3) milj.</w:t>
      </w:r>
      <w:r w:rsidR="00D117EE">
        <w:t xml:space="preserve"> </w:t>
      </w:r>
      <w:r w:rsidRPr="00DF0B79">
        <w:rPr>
          <w:i/>
          <w:iCs/>
        </w:rPr>
        <w:t>euro</w:t>
      </w:r>
      <w:r>
        <w:t>, savukārt palielinājums – Ropažu novada pašvaldībai 10,5 milj.</w:t>
      </w:r>
      <w:r w:rsidR="00D117EE">
        <w:t xml:space="preserve"> </w:t>
      </w:r>
      <w:r w:rsidRPr="00DF0B79">
        <w:rPr>
          <w:i/>
          <w:iCs/>
        </w:rPr>
        <w:t>euro</w:t>
      </w:r>
      <w:r>
        <w:t xml:space="preserve"> apmērā.</w:t>
      </w:r>
    </w:p>
    <w:p w14:paraId="61F98B0F" w14:textId="77777777" w:rsidR="00FD2C7A" w:rsidRPr="00A27896" w:rsidRDefault="00FD2C7A" w:rsidP="008515BB">
      <w:pPr>
        <w:pStyle w:val="Heading3"/>
      </w:pPr>
      <w:r w:rsidRPr="00A27896">
        <w:t>Pašu kapitāls</w:t>
      </w:r>
    </w:p>
    <w:p w14:paraId="1C089BB8" w14:textId="1EB06021" w:rsidR="00673435" w:rsidRDefault="00FD2C7A" w:rsidP="002D240F">
      <w:pPr>
        <w:spacing w:after="120" w:line="240" w:lineRule="auto"/>
        <w:ind w:firstLine="284"/>
        <w:jc w:val="both"/>
        <w:rPr>
          <w:rFonts w:cs="Times New Roman"/>
          <w:color w:val="17365D"/>
        </w:rPr>
      </w:pPr>
      <w:r w:rsidRPr="00A27896">
        <w:rPr>
          <w:rFonts w:cs="Times New Roman"/>
          <w:color w:val="17365D"/>
        </w:rPr>
        <w:t xml:space="preserve">Pašu kapitāla </w:t>
      </w:r>
      <w:r w:rsidR="006F4B05" w:rsidRPr="00A27896">
        <w:rPr>
          <w:rFonts w:cs="Times New Roman"/>
          <w:color w:val="17365D"/>
        </w:rPr>
        <w:t xml:space="preserve">bilances posteņu atlikumi </w:t>
      </w:r>
      <w:r w:rsidRPr="00A27896">
        <w:rPr>
          <w:rFonts w:cs="Times New Roman"/>
          <w:color w:val="17365D"/>
        </w:rPr>
        <w:t>uzrādīt</w:t>
      </w:r>
      <w:r w:rsidR="008151F4" w:rsidRPr="00A27896">
        <w:rPr>
          <w:rFonts w:cs="Times New Roman"/>
          <w:color w:val="17365D"/>
        </w:rPr>
        <w:t>i</w:t>
      </w:r>
      <w:r w:rsidRPr="00A27896">
        <w:rPr>
          <w:rFonts w:cs="Times New Roman"/>
          <w:color w:val="17365D"/>
        </w:rPr>
        <w:t xml:space="preserve"> konsolidētajā pašu kapitāla pārskatā.</w:t>
      </w:r>
    </w:p>
    <w:p w14:paraId="6F7C0973" w14:textId="1B101038" w:rsidR="001A3E5C" w:rsidRPr="00A27896" w:rsidRDefault="001A3E5C" w:rsidP="001A3E5C">
      <w:pPr>
        <w:pStyle w:val="Heading4"/>
        <w:spacing w:after="0"/>
        <w:rPr>
          <w:rFonts w:cs="Times New Roman"/>
          <w:i w:val="0"/>
        </w:rPr>
      </w:pPr>
      <w:r w:rsidRPr="00A27896">
        <w:rPr>
          <w:rFonts w:cs="Times New Roman"/>
        </w:rPr>
        <w:t>Piezīme Nr. KB.3.3. Rezerves</w:t>
      </w:r>
    </w:p>
    <w:p w14:paraId="04838149" w14:textId="031D2796" w:rsidR="001A3E5C" w:rsidRPr="00A27896" w:rsidRDefault="001A3E5C" w:rsidP="00324AC5">
      <w:pPr>
        <w:pStyle w:val="Tabnosauk"/>
      </w:pPr>
      <w:r>
        <w:t>1.</w:t>
      </w:r>
      <w:r w:rsidRPr="00A27896">
        <w:t>1</w:t>
      </w:r>
      <w:r w:rsidR="007B608A">
        <w:t>7</w:t>
      </w:r>
      <w:r>
        <w:t>.</w:t>
      </w:r>
      <w:r w:rsidRPr="00A27896">
        <w:t> tabula. Rezerves (euro)</w:t>
      </w:r>
    </w:p>
    <w:tbl>
      <w:tblPr>
        <w:tblW w:w="4998" w:type="pct"/>
        <w:tblLayout w:type="fixed"/>
        <w:tblLook w:val="04A0" w:firstRow="1" w:lastRow="0" w:firstColumn="1" w:lastColumn="0" w:noHBand="0" w:noVBand="1"/>
      </w:tblPr>
      <w:tblGrid>
        <w:gridCol w:w="2409"/>
        <w:gridCol w:w="1275"/>
        <w:gridCol w:w="1561"/>
        <w:gridCol w:w="1560"/>
        <w:gridCol w:w="1133"/>
        <w:gridCol w:w="1412"/>
      </w:tblGrid>
      <w:tr w:rsidR="001A3E5C" w:rsidRPr="00A27896" w14:paraId="255D8AB7" w14:textId="77777777" w:rsidTr="009A4177">
        <w:trPr>
          <w:trHeight w:val="818"/>
          <w:tblHeader/>
        </w:trPr>
        <w:tc>
          <w:tcPr>
            <w:tcW w:w="1288" w:type="pct"/>
            <w:tcBorders>
              <w:bottom w:val="single" w:sz="4" w:space="0" w:color="17365D"/>
            </w:tcBorders>
            <w:shd w:val="clear" w:color="auto" w:fill="B9CDE5"/>
            <w:vAlign w:val="center"/>
            <w:hideMark/>
          </w:tcPr>
          <w:p w14:paraId="44036E6A" w14:textId="372DFED1" w:rsidR="001A3E5C" w:rsidRPr="00A27896" w:rsidRDefault="007611AA" w:rsidP="0042368B">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682" w:type="pct"/>
            <w:tcBorders>
              <w:bottom w:val="single" w:sz="4" w:space="0" w:color="17365D"/>
            </w:tcBorders>
            <w:shd w:val="clear" w:color="auto" w:fill="B9CDE5"/>
            <w:vAlign w:val="center"/>
            <w:hideMark/>
          </w:tcPr>
          <w:p w14:paraId="52AFA861"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835" w:type="pct"/>
            <w:tcBorders>
              <w:bottom w:val="single" w:sz="4" w:space="0" w:color="17365D"/>
            </w:tcBorders>
            <w:shd w:val="clear" w:color="auto" w:fill="B9CDE5"/>
            <w:vAlign w:val="center"/>
            <w:hideMark/>
          </w:tcPr>
          <w:p w14:paraId="37DB8334"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34" w:type="pct"/>
            <w:tcBorders>
              <w:bottom w:val="single" w:sz="4" w:space="0" w:color="17365D"/>
            </w:tcBorders>
            <w:shd w:val="clear" w:color="auto" w:fill="B9CDE5"/>
            <w:vAlign w:val="center"/>
            <w:hideMark/>
          </w:tcPr>
          <w:p w14:paraId="7B45464B"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606" w:type="pct"/>
            <w:tcBorders>
              <w:bottom w:val="single" w:sz="4" w:space="0" w:color="17365D"/>
            </w:tcBorders>
            <w:shd w:val="clear" w:color="auto" w:fill="B9CDE5"/>
            <w:vAlign w:val="center"/>
            <w:hideMark/>
          </w:tcPr>
          <w:p w14:paraId="2BA6945F"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Pr="00A27896">
              <w:rPr>
                <w:rFonts w:eastAsia="Times New Roman" w:cs="Times New Roman"/>
                <w:b/>
                <w:color w:val="17365D"/>
                <w:sz w:val="18"/>
                <w:szCs w:val="18"/>
                <w:lang w:eastAsia="lv-LV"/>
              </w:rPr>
              <w:t xml:space="preserve"> -)</w:t>
            </w:r>
          </w:p>
        </w:tc>
        <w:tc>
          <w:tcPr>
            <w:tcW w:w="755" w:type="pct"/>
            <w:tcBorders>
              <w:bottom w:val="single" w:sz="4" w:space="0" w:color="17365D"/>
            </w:tcBorders>
            <w:shd w:val="clear" w:color="auto" w:fill="B9CDE5"/>
            <w:vAlign w:val="center"/>
            <w:hideMark/>
          </w:tcPr>
          <w:p w14:paraId="3096D45C"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1A3E5C" w:rsidRPr="00A27896" w14:paraId="77683732" w14:textId="77777777" w:rsidTr="0042368B">
        <w:trPr>
          <w:trHeight w:val="266"/>
        </w:trPr>
        <w:tc>
          <w:tcPr>
            <w:tcW w:w="1288" w:type="pct"/>
            <w:tcBorders>
              <w:top w:val="single" w:sz="4" w:space="0" w:color="17365D"/>
              <w:bottom w:val="single" w:sz="4" w:space="0" w:color="17365D"/>
            </w:tcBorders>
            <w:shd w:val="clear" w:color="auto" w:fill="auto"/>
            <w:vAlign w:val="center"/>
            <w:hideMark/>
          </w:tcPr>
          <w:p w14:paraId="109F584A"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82" w:type="pct"/>
            <w:tcBorders>
              <w:top w:val="single" w:sz="4" w:space="0" w:color="17365D"/>
              <w:bottom w:val="single" w:sz="4" w:space="0" w:color="17365D"/>
            </w:tcBorders>
            <w:shd w:val="clear" w:color="auto" w:fill="auto"/>
            <w:vAlign w:val="center"/>
            <w:hideMark/>
          </w:tcPr>
          <w:p w14:paraId="4C0ABF23"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835" w:type="pct"/>
            <w:tcBorders>
              <w:top w:val="single" w:sz="4" w:space="0" w:color="17365D"/>
              <w:bottom w:val="single" w:sz="4" w:space="0" w:color="17365D"/>
            </w:tcBorders>
            <w:shd w:val="clear" w:color="auto" w:fill="auto"/>
            <w:vAlign w:val="center"/>
            <w:hideMark/>
          </w:tcPr>
          <w:p w14:paraId="53537AA7"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34" w:type="pct"/>
            <w:tcBorders>
              <w:top w:val="single" w:sz="4" w:space="0" w:color="17365D"/>
              <w:bottom w:val="single" w:sz="4" w:space="0" w:color="17365D"/>
            </w:tcBorders>
            <w:shd w:val="clear" w:color="auto" w:fill="auto"/>
            <w:vAlign w:val="center"/>
            <w:hideMark/>
          </w:tcPr>
          <w:p w14:paraId="449549CF"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06" w:type="pct"/>
            <w:tcBorders>
              <w:top w:val="single" w:sz="4" w:space="0" w:color="17365D"/>
              <w:bottom w:val="single" w:sz="4" w:space="0" w:color="17365D"/>
            </w:tcBorders>
            <w:shd w:val="clear" w:color="auto" w:fill="auto"/>
            <w:vAlign w:val="center"/>
            <w:hideMark/>
          </w:tcPr>
          <w:p w14:paraId="2E3D6EAE"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755" w:type="pct"/>
            <w:tcBorders>
              <w:top w:val="single" w:sz="4" w:space="0" w:color="17365D"/>
              <w:bottom w:val="single" w:sz="4" w:space="0" w:color="17365D"/>
            </w:tcBorders>
            <w:shd w:val="clear" w:color="auto" w:fill="auto"/>
            <w:vAlign w:val="center"/>
            <w:hideMark/>
          </w:tcPr>
          <w:p w14:paraId="05CBD2F2"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1A3E5C" w:rsidRPr="00A27896" w14:paraId="1B51BA08" w14:textId="77777777" w:rsidTr="0042368B">
        <w:trPr>
          <w:trHeight w:val="349"/>
        </w:trPr>
        <w:tc>
          <w:tcPr>
            <w:tcW w:w="1288" w:type="pct"/>
            <w:tcBorders>
              <w:top w:val="single" w:sz="4" w:space="0" w:color="17365D"/>
              <w:bottom w:val="single" w:sz="4" w:space="0" w:color="17365D"/>
            </w:tcBorders>
            <w:shd w:val="clear" w:color="auto" w:fill="auto"/>
            <w:vAlign w:val="center"/>
            <w:hideMark/>
          </w:tcPr>
          <w:p w14:paraId="741A7C96" w14:textId="77777777" w:rsidR="001A3E5C" w:rsidRPr="00A27896" w:rsidRDefault="001A3E5C" w:rsidP="0042368B">
            <w:pPr>
              <w:spacing w:after="0"/>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Rezerves</w:t>
            </w:r>
          </w:p>
        </w:tc>
        <w:tc>
          <w:tcPr>
            <w:tcW w:w="682" w:type="pct"/>
            <w:tcBorders>
              <w:top w:val="single" w:sz="4" w:space="0" w:color="17365D"/>
              <w:bottom w:val="single" w:sz="4" w:space="0" w:color="17365D"/>
            </w:tcBorders>
            <w:shd w:val="clear" w:color="auto" w:fill="auto"/>
            <w:vAlign w:val="center"/>
            <w:hideMark/>
          </w:tcPr>
          <w:p w14:paraId="372A7769" w14:textId="77777777" w:rsidR="001A3E5C" w:rsidRPr="00A27896" w:rsidRDefault="001A3E5C" w:rsidP="0042368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KB.3.3.</w:t>
            </w:r>
          </w:p>
        </w:tc>
        <w:tc>
          <w:tcPr>
            <w:tcW w:w="835" w:type="pct"/>
            <w:tcBorders>
              <w:top w:val="single" w:sz="4" w:space="0" w:color="17365D"/>
              <w:left w:val="nil"/>
              <w:bottom w:val="single" w:sz="4" w:space="0" w:color="17365D"/>
              <w:right w:val="nil"/>
            </w:tcBorders>
            <w:shd w:val="clear" w:color="FFFFFF" w:fill="FFFFFF"/>
            <w:noWrap/>
            <w:vAlign w:val="center"/>
            <w:hideMark/>
          </w:tcPr>
          <w:p w14:paraId="7333C6CA" w14:textId="77777777" w:rsidR="001A3E5C" w:rsidRPr="00907350" w:rsidRDefault="001A3E5C" w:rsidP="0042368B">
            <w:pPr>
              <w:spacing w:after="0" w:line="240" w:lineRule="auto"/>
              <w:jc w:val="right"/>
              <w:rPr>
                <w:b/>
                <w:bCs/>
                <w:color w:val="17365D"/>
                <w:sz w:val="18"/>
                <w:szCs w:val="18"/>
                <w:highlight w:val="yellow"/>
              </w:rPr>
            </w:pPr>
            <w:r>
              <w:rPr>
                <w:b/>
                <w:bCs/>
                <w:color w:val="17365D"/>
                <w:sz w:val="18"/>
                <w:szCs w:val="18"/>
              </w:rPr>
              <w:t>2 716 950 498</w:t>
            </w:r>
          </w:p>
        </w:tc>
        <w:tc>
          <w:tcPr>
            <w:tcW w:w="834" w:type="pct"/>
            <w:tcBorders>
              <w:top w:val="single" w:sz="4" w:space="0" w:color="17365D"/>
              <w:left w:val="nil"/>
              <w:bottom w:val="single" w:sz="4" w:space="0" w:color="17365D"/>
              <w:right w:val="nil"/>
            </w:tcBorders>
            <w:shd w:val="clear" w:color="FFFFFF" w:fill="FFFFFF"/>
            <w:noWrap/>
            <w:vAlign w:val="center"/>
            <w:hideMark/>
          </w:tcPr>
          <w:p w14:paraId="245E36CF" w14:textId="77777777" w:rsidR="001A3E5C" w:rsidRPr="00907350" w:rsidRDefault="001A3E5C" w:rsidP="0042368B">
            <w:pPr>
              <w:spacing w:after="0" w:line="240" w:lineRule="auto"/>
              <w:jc w:val="right"/>
              <w:rPr>
                <w:b/>
                <w:bCs/>
                <w:color w:val="17365D"/>
                <w:sz w:val="18"/>
                <w:szCs w:val="18"/>
                <w:highlight w:val="yellow"/>
              </w:rPr>
            </w:pPr>
            <w:r>
              <w:rPr>
                <w:b/>
                <w:bCs/>
                <w:color w:val="17365D"/>
                <w:sz w:val="18"/>
                <w:szCs w:val="18"/>
              </w:rPr>
              <w:t>2 338 658 665</w:t>
            </w:r>
          </w:p>
        </w:tc>
        <w:tc>
          <w:tcPr>
            <w:tcW w:w="606" w:type="pct"/>
            <w:tcBorders>
              <w:top w:val="single" w:sz="4" w:space="0" w:color="17365D"/>
              <w:left w:val="nil"/>
              <w:bottom w:val="single" w:sz="4" w:space="0" w:color="17365D"/>
              <w:right w:val="nil"/>
            </w:tcBorders>
            <w:shd w:val="clear" w:color="auto" w:fill="auto"/>
            <w:noWrap/>
            <w:vAlign w:val="center"/>
            <w:hideMark/>
          </w:tcPr>
          <w:p w14:paraId="4D696DC1" w14:textId="77777777" w:rsidR="001A3E5C" w:rsidRPr="00907350" w:rsidRDefault="001A3E5C" w:rsidP="006F2BCE">
            <w:pPr>
              <w:spacing w:after="0" w:line="240" w:lineRule="auto"/>
              <w:rPr>
                <w:b/>
                <w:bCs/>
                <w:color w:val="17365D"/>
                <w:sz w:val="18"/>
                <w:szCs w:val="18"/>
                <w:highlight w:val="yellow"/>
              </w:rPr>
            </w:pPr>
            <w:r>
              <w:rPr>
                <w:b/>
                <w:bCs/>
                <w:color w:val="17365D"/>
                <w:sz w:val="18"/>
                <w:szCs w:val="18"/>
              </w:rPr>
              <w:t>378 291 833</w:t>
            </w:r>
          </w:p>
        </w:tc>
        <w:tc>
          <w:tcPr>
            <w:tcW w:w="755" w:type="pct"/>
            <w:tcBorders>
              <w:top w:val="single" w:sz="4" w:space="0" w:color="17365D"/>
              <w:left w:val="nil"/>
              <w:bottom w:val="single" w:sz="4" w:space="0" w:color="17365D"/>
              <w:right w:val="nil"/>
            </w:tcBorders>
            <w:shd w:val="clear" w:color="auto" w:fill="auto"/>
            <w:noWrap/>
            <w:vAlign w:val="center"/>
            <w:hideMark/>
          </w:tcPr>
          <w:p w14:paraId="60A454AF" w14:textId="77777777" w:rsidR="001A3E5C" w:rsidRPr="00907350" w:rsidRDefault="001A3E5C" w:rsidP="0042368B">
            <w:pPr>
              <w:spacing w:after="0" w:line="240" w:lineRule="auto"/>
              <w:jc w:val="right"/>
              <w:rPr>
                <w:b/>
                <w:bCs/>
                <w:color w:val="17365D"/>
                <w:sz w:val="18"/>
                <w:szCs w:val="18"/>
                <w:highlight w:val="yellow"/>
              </w:rPr>
            </w:pPr>
            <w:r>
              <w:rPr>
                <w:b/>
                <w:bCs/>
                <w:color w:val="17365D"/>
                <w:sz w:val="18"/>
                <w:szCs w:val="18"/>
              </w:rPr>
              <w:t>16.18</w:t>
            </w:r>
          </w:p>
        </w:tc>
      </w:tr>
      <w:tr w:rsidR="001A3E5C" w:rsidRPr="00A27896" w14:paraId="6AA56193" w14:textId="77777777" w:rsidTr="0042368B">
        <w:trPr>
          <w:trHeight w:val="67"/>
        </w:trPr>
        <w:tc>
          <w:tcPr>
            <w:tcW w:w="1288" w:type="pct"/>
            <w:tcBorders>
              <w:top w:val="single" w:sz="4" w:space="0" w:color="17365D"/>
            </w:tcBorders>
            <w:shd w:val="clear" w:color="auto" w:fill="B9CDE5"/>
            <w:vAlign w:val="center"/>
          </w:tcPr>
          <w:p w14:paraId="295A936F" w14:textId="77777777" w:rsidR="001A3E5C" w:rsidRPr="00A27896" w:rsidRDefault="001A3E5C" w:rsidP="0042368B">
            <w:pPr>
              <w:spacing w:after="0"/>
              <w:rPr>
                <w:rFonts w:eastAsia="Times New Roman" w:cs="Times New Roman"/>
                <w:color w:val="17365D"/>
                <w:sz w:val="16"/>
                <w:szCs w:val="18"/>
                <w:lang w:eastAsia="lv-LV"/>
              </w:rPr>
            </w:pPr>
          </w:p>
        </w:tc>
        <w:tc>
          <w:tcPr>
            <w:tcW w:w="682" w:type="pct"/>
            <w:tcBorders>
              <w:top w:val="single" w:sz="4" w:space="0" w:color="17365D"/>
            </w:tcBorders>
            <w:shd w:val="clear" w:color="auto" w:fill="B9CDE5"/>
            <w:noWrap/>
            <w:vAlign w:val="center"/>
          </w:tcPr>
          <w:p w14:paraId="12D6CA97" w14:textId="77777777" w:rsidR="001A3E5C" w:rsidRPr="00A27896" w:rsidRDefault="001A3E5C" w:rsidP="0042368B">
            <w:pPr>
              <w:spacing w:after="0"/>
              <w:jc w:val="center"/>
              <w:rPr>
                <w:rFonts w:eastAsia="Times New Roman" w:cs="Times New Roman"/>
                <w:color w:val="17365D"/>
                <w:sz w:val="18"/>
                <w:szCs w:val="18"/>
                <w:lang w:eastAsia="lv-LV"/>
              </w:rPr>
            </w:pPr>
          </w:p>
        </w:tc>
        <w:tc>
          <w:tcPr>
            <w:tcW w:w="835" w:type="pct"/>
            <w:tcBorders>
              <w:top w:val="single" w:sz="4" w:space="0" w:color="17365D"/>
            </w:tcBorders>
            <w:shd w:val="clear" w:color="auto" w:fill="B9CDE5"/>
            <w:noWrap/>
            <w:vAlign w:val="center"/>
          </w:tcPr>
          <w:p w14:paraId="5526BE59" w14:textId="77777777" w:rsidR="001A3E5C" w:rsidRPr="00A27896" w:rsidRDefault="001A3E5C" w:rsidP="0042368B">
            <w:pPr>
              <w:spacing w:after="0"/>
              <w:jc w:val="right"/>
              <w:rPr>
                <w:rFonts w:eastAsia="Times New Roman" w:cs="Times New Roman"/>
                <w:color w:val="17365D"/>
                <w:sz w:val="18"/>
                <w:szCs w:val="18"/>
                <w:lang w:eastAsia="lv-LV"/>
              </w:rPr>
            </w:pPr>
          </w:p>
        </w:tc>
        <w:tc>
          <w:tcPr>
            <w:tcW w:w="834" w:type="pct"/>
            <w:tcBorders>
              <w:top w:val="single" w:sz="4" w:space="0" w:color="17365D"/>
            </w:tcBorders>
            <w:shd w:val="clear" w:color="auto" w:fill="B9CDE5"/>
            <w:noWrap/>
            <w:vAlign w:val="center"/>
          </w:tcPr>
          <w:p w14:paraId="4A613EB6" w14:textId="77777777" w:rsidR="001A3E5C" w:rsidRPr="00A27896" w:rsidRDefault="001A3E5C" w:rsidP="0042368B">
            <w:pPr>
              <w:spacing w:after="0"/>
              <w:jc w:val="right"/>
              <w:rPr>
                <w:rFonts w:eastAsia="Times New Roman" w:cs="Times New Roman"/>
                <w:color w:val="17365D"/>
                <w:sz w:val="18"/>
                <w:szCs w:val="18"/>
                <w:lang w:eastAsia="lv-LV"/>
              </w:rPr>
            </w:pPr>
          </w:p>
        </w:tc>
        <w:tc>
          <w:tcPr>
            <w:tcW w:w="606" w:type="pct"/>
            <w:tcBorders>
              <w:top w:val="single" w:sz="4" w:space="0" w:color="17365D"/>
            </w:tcBorders>
            <w:shd w:val="clear" w:color="auto" w:fill="B9CDE5"/>
            <w:noWrap/>
            <w:vAlign w:val="center"/>
          </w:tcPr>
          <w:p w14:paraId="0FAFB8EB" w14:textId="77777777" w:rsidR="001A3E5C" w:rsidRPr="00A27896" w:rsidRDefault="001A3E5C" w:rsidP="0042368B">
            <w:pPr>
              <w:spacing w:after="0"/>
              <w:jc w:val="right"/>
              <w:rPr>
                <w:rFonts w:eastAsia="Times New Roman" w:cs="Times New Roman"/>
                <w:color w:val="17365D"/>
                <w:sz w:val="18"/>
                <w:szCs w:val="18"/>
                <w:lang w:eastAsia="lv-LV"/>
              </w:rPr>
            </w:pPr>
          </w:p>
        </w:tc>
        <w:tc>
          <w:tcPr>
            <w:tcW w:w="755" w:type="pct"/>
            <w:tcBorders>
              <w:top w:val="single" w:sz="4" w:space="0" w:color="17365D"/>
            </w:tcBorders>
            <w:shd w:val="clear" w:color="auto" w:fill="B9CDE5"/>
            <w:noWrap/>
            <w:vAlign w:val="center"/>
          </w:tcPr>
          <w:p w14:paraId="6355B8F4" w14:textId="77777777" w:rsidR="001A3E5C" w:rsidRPr="00A27896" w:rsidRDefault="001A3E5C" w:rsidP="0042368B">
            <w:pPr>
              <w:spacing w:after="0"/>
              <w:jc w:val="right"/>
              <w:rPr>
                <w:rFonts w:eastAsia="Times New Roman" w:cs="Times New Roman"/>
                <w:color w:val="17365D"/>
                <w:sz w:val="18"/>
                <w:szCs w:val="18"/>
                <w:lang w:eastAsia="lv-LV"/>
              </w:rPr>
            </w:pPr>
          </w:p>
        </w:tc>
      </w:tr>
    </w:tbl>
    <w:p w14:paraId="61FE80C6" w14:textId="77777777" w:rsidR="008F6207" w:rsidRDefault="008F6207" w:rsidP="0079522F">
      <w:pPr>
        <w:pStyle w:val="Pamatteksts1"/>
      </w:pPr>
    </w:p>
    <w:p w14:paraId="659D24AF" w14:textId="738C21ED" w:rsidR="001A3E5C" w:rsidRPr="000F6711" w:rsidRDefault="001A3E5C" w:rsidP="0079522F">
      <w:pPr>
        <w:pStyle w:val="Pamatteksts1"/>
      </w:pPr>
      <w:r w:rsidRPr="000F6711">
        <w:lastRenderedPageBreak/>
        <w:t>Būtiskākās šī posteņa izmaiņas veido līdzdalības radniecīgās un asociētās kapitālsabiedrībās pārvērtēšanas pēc pašu kapitāla metodes rezultātā atzītā kapitālsabiedrību rezervju izmaiņu proporcionālā daļa. Lielāko palielinājumu rezervēs atzinušas:</w:t>
      </w:r>
    </w:p>
    <w:p w14:paraId="58953712" w14:textId="77777777" w:rsidR="001A3E5C" w:rsidRPr="000F6711" w:rsidRDefault="001A3E5C" w:rsidP="00060622">
      <w:pPr>
        <w:pStyle w:val="Bullets"/>
      </w:pPr>
      <w:r w:rsidRPr="000F6711">
        <w:t xml:space="preserve">Rīgas </w:t>
      </w:r>
      <w:proofErr w:type="spellStart"/>
      <w:r w:rsidRPr="000F6711">
        <w:t>valst</w:t>
      </w:r>
      <w:r>
        <w:t>s</w:t>
      </w:r>
      <w:r w:rsidRPr="000F6711">
        <w:t>pilsētas</w:t>
      </w:r>
      <w:proofErr w:type="spellEnd"/>
      <w:r w:rsidRPr="000F6711">
        <w:t xml:space="preserve"> pašvaldība saistībā ar SIA “Rīgas ūdens” veikto pazemes ūdenssaimniecības infrastruktūras aktīvu pārvērtēšanu 342,6 milj.</w:t>
      </w:r>
      <w:r>
        <w:t xml:space="preserve"> </w:t>
      </w:r>
      <w:r w:rsidRPr="000F6711">
        <w:rPr>
          <w:i/>
          <w:iCs/>
        </w:rPr>
        <w:t>euro</w:t>
      </w:r>
      <w:r w:rsidRPr="000F6711">
        <w:t xml:space="preserve"> apmērā;</w:t>
      </w:r>
    </w:p>
    <w:p w14:paraId="6F6EA426" w14:textId="77777777" w:rsidR="001A3E5C" w:rsidRPr="000F6711" w:rsidRDefault="001A3E5C" w:rsidP="00060622">
      <w:pPr>
        <w:pStyle w:val="Bullets"/>
      </w:pPr>
      <w:r w:rsidRPr="000F6711">
        <w:t>Veselības ministrija 10,1 milj. </w:t>
      </w:r>
      <w:r w:rsidRPr="000F6711">
        <w:rPr>
          <w:i/>
        </w:rPr>
        <w:t>euro</w:t>
      </w:r>
      <w:r w:rsidRPr="000F6711">
        <w:t xml:space="preserve"> par izmaiņām kapitālsabiedrību kapitālā, tai skaitā pārņemot SIA “Daugavpils reģionālā slimnīca” kapitāla daļas.</w:t>
      </w:r>
    </w:p>
    <w:p w14:paraId="029C3441" w14:textId="77777777" w:rsidR="001A3E5C" w:rsidRDefault="001A3E5C" w:rsidP="001A3E5C">
      <w:pPr>
        <w:spacing w:after="120" w:line="240" w:lineRule="auto"/>
        <w:ind w:firstLine="284"/>
        <w:jc w:val="both"/>
        <w:rPr>
          <w:rFonts w:cs="Times New Roman"/>
          <w:color w:val="17365D"/>
        </w:rPr>
      </w:pPr>
      <w:r w:rsidRPr="000F6711">
        <w:rPr>
          <w:rFonts w:cs="Times New Roman"/>
          <w:color w:val="17365D"/>
        </w:rPr>
        <w:t>Savukārt rezervju samazinājums veidojies</w:t>
      </w:r>
      <w:r>
        <w:rPr>
          <w:rFonts w:cs="Times New Roman"/>
          <w:color w:val="17365D"/>
        </w:rPr>
        <w:t>:</w:t>
      </w:r>
      <w:r w:rsidRPr="000F6711">
        <w:rPr>
          <w:rFonts w:cs="Times New Roman"/>
          <w:color w:val="17365D"/>
        </w:rPr>
        <w:t xml:space="preserve"> </w:t>
      </w:r>
    </w:p>
    <w:p w14:paraId="3D8D4B33" w14:textId="77777777" w:rsidR="001A3E5C" w:rsidRPr="00A05320" w:rsidRDefault="001A3E5C" w:rsidP="00060622">
      <w:pPr>
        <w:pStyle w:val="Bullets"/>
      </w:pPr>
      <w:r w:rsidRPr="00A05320">
        <w:t xml:space="preserve">Ekonomikas ministrijai (14,8) milj. </w:t>
      </w:r>
      <w:r w:rsidRPr="00A05320">
        <w:rPr>
          <w:i/>
          <w:iCs/>
        </w:rPr>
        <w:t>euro</w:t>
      </w:r>
      <w:r w:rsidRPr="00A05320">
        <w:t xml:space="preserve"> apmērā</w:t>
      </w:r>
      <w:r>
        <w:t xml:space="preserve"> </w:t>
      </w:r>
      <w:r w:rsidRPr="000F6711">
        <w:t>par izmaiņām kapitālsabiedrību kapitālā</w:t>
      </w:r>
      <w:r w:rsidRPr="00A05320">
        <w:t xml:space="preserve">; </w:t>
      </w:r>
    </w:p>
    <w:p w14:paraId="708AB619" w14:textId="77777777" w:rsidR="001A3E5C" w:rsidRDefault="001A3E5C" w:rsidP="00060622">
      <w:pPr>
        <w:pStyle w:val="Bullets"/>
      </w:pPr>
      <w:r w:rsidRPr="00A05320">
        <w:t xml:space="preserve">Daugavpils </w:t>
      </w:r>
      <w:proofErr w:type="spellStart"/>
      <w:r w:rsidRPr="00A05320">
        <w:t>valstspilsētas</w:t>
      </w:r>
      <w:proofErr w:type="spellEnd"/>
      <w:r w:rsidRPr="00A05320">
        <w:t xml:space="preserve"> pašvaldībai (9,3) milj. </w:t>
      </w:r>
      <w:r w:rsidRPr="00A05320">
        <w:rPr>
          <w:i/>
          <w:iCs/>
        </w:rPr>
        <w:t>euro</w:t>
      </w:r>
      <w:r w:rsidRPr="00A05320">
        <w:t xml:space="preserve"> apmērā saistībā ar SIA “Daugavpils reģionālā slimnīca” kapitāla daļu nodošanu valstij un izmaiņām kapitālsabiedrības kapitālā.</w:t>
      </w:r>
    </w:p>
    <w:p w14:paraId="36EF5B1B" w14:textId="47F65B42" w:rsidR="00FD2C7A" w:rsidRPr="00A27896" w:rsidRDefault="00C67DF1" w:rsidP="004105BE">
      <w:pPr>
        <w:pStyle w:val="Heading4"/>
        <w:spacing w:after="0"/>
        <w:rPr>
          <w:rFonts w:cs="Times New Roman"/>
        </w:rPr>
      </w:pPr>
      <w:r w:rsidRPr="00A27896">
        <w:rPr>
          <w:rFonts w:cs="Times New Roman"/>
        </w:rPr>
        <w:t>Piezīme Nr.</w:t>
      </w:r>
      <w:r w:rsidR="005F1199" w:rsidRPr="00A27896">
        <w:rPr>
          <w:rFonts w:cs="Times New Roman"/>
        </w:rPr>
        <w:t>KB.3</w:t>
      </w:r>
      <w:r w:rsidR="00F73CE6" w:rsidRPr="00A27896">
        <w:rPr>
          <w:rFonts w:cs="Times New Roman"/>
        </w:rPr>
        <w:t>.5</w:t>
      </w:r>
      <w:r w:rsidR="00FD2C7A" w:rsidRPr="00A27896">
        <w:rPr>
          <w:rFonts w:cs="Times New Roman"/>
        </w:rPr>
        <w:t>. Budžeta izpildes rezultāti</w:t>
      </w:r>
    </w:p>
    <w:p w14:paraId="1786EDFB" w14:textId="27C210CC" w:rsidR="00FD2C7A" w:rsidRPr="00A27896" w:rsidRDefault="004105BE" w:rsidP="00324AC5">
      <w:pPr>
        <w:pStyle w:val="Tabnosauk"/>
        <w:rPr>
          <w:rFonts w:eastAsia="Times New Roman"/>
          <w:szCs w:val="20"/>
          <w:lang w:eastAsia="lv-LV"/>
        </w:rPr>
      </w:pPr>
      <w:r>
        <w:t>1.</w:t>
      </w:r>
      <w:r w:rsidR="008F612C" w:rsidRPr="00A27896">
        <w:t>1</w:t>
      </w:r>
      <w:r w:rsidR="007B608A">
        <w:t>8</w:t>
      </w:r>
      <w:r w:rsidR="00FD2C7A" w:rsidRPr="00A27896">
        <w:t>. tabula</w:t>
      </w:r>
      <w:r w:rsidR="00990A72" w:rsidRPr="00A27896">
        <w:t>. Budžeta izpildes rezultāti</w:t>
      </w:r>
      <w:r w:rsidR="00990A72" w:rsidRPr="00A27896" w:rsidDel="00990A72">
        <w:t xml:space="preserve"> </w:t>
      </w:r>
      <w:r w:rsidR="00990A72" w:rsidRPr="00A27896">
        <w:rPr>
          <w:rFonts w:eastAsia="Times New Roman"/>
          <w:szCs w:val="20"/>
          <w:lang w:eastAsia="lv-LV"/>
        </w:rPr>
        <w:t>(</w:t>
      </w:r>
      <w:r w:rsidR="00E60599" w:rsidRPr="00A27896">
        <w:rPr>
          <w:rFonts w:eastAsia="Times New Roman"/>
          <w:szCs w:val="20"/>
          <w:lang w:eastAsia="lv-LV"/>
        </w:rPr>
        <w:t>euro</w:t>
      </w:r>
      <w:r w:rsidR="00990A72" w:rsidRPr="00A27896">
        <w:rPr>
          <w:rFonts w:eastAsia="Times New Roman"/>
          <w:szCs w:val="20"/>
          <w:lang w:eastAsia="lv-LV"/>
        </w:rPr>
        <w:t>)</w:t>
      </w:r>
    </w:p>
    <w:tbl>
      <w:tblPr>
        <w:tblW w:w="5000" w:type="pct"/>
        <w:tblBorders>
          <w:insideH w:val="single" w:sz="4" w:space="0" w:color="012169"/>
        </w:tblBorders>
        <w:tblLayout w:type="fixed"/>
        <w:tblLook w:val="04A0" w:firstRow="1" w:lastRow="0" w:firstColumn="1" w:lastColumn="0" w:noHBand="0" w:noVBand="1"/>
      </w:tblPr>
      <w:tblGrid>
        <w:gridCol w:w="2835"/>
        <w:gridCol w:w="993"/>
        <w:gridCol w:w="1354"/>
        <w:gridCol w:w="924"/>
        <w:gridCol w:w="511"/>
        <w:gridCol w:w="1435"/>
        <w:gridCol w:w="1302"/>
      </w:tblGrid>
      <w:tr w:rsidR="000C1009" w:rsidRPr="00A27896" w14:paraId="4180D32A" w14:textId="77777777" w:rsidTr="009A4177">
        <w:trPr>
          <w:trHeight w:val="684"/>
          <w:tblHeader/>
        </w:trPr>
        <w:tc>
          <w:tcPr>
            <w:tcW w:w="1515" w:type="pct"/>
            <w:tcBorders>
              <w:bottom w:val="single" w:sz="4" w:space="0" w:color="17365D"/>
            </w:tcBorders>
            <w:shd w:val="clear" w:color="auto" w:fill="B9CDE5"/>
            <w:vAlign w:val="center"/>
            <w:hideMark/>
          </w:tcPr>
          <w:p w14:paraId="2E64817D" w14:textId="01AAD2F9" w:rsidR="001D3508" w:rsidRPr="00A27896" w:rsidRDefault="007611AA" w:rsidP="001D3508">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31" w:type="pct"/>
            <w:tcBorders>
              <w:bottom w:val="single" w:sz="4" w:space="0" w:color="17365D"/>
            </w:tcBorders>
            <w:shd w:val="clear" w:color="auto" w:fill="B9CDE5"/>
            <w:vAlign w:val="center"/>
            <w:hideMark/>
          </w:tcPr>
          <w:p w14:paraId="60C860F0"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24" w:type="pct"/>
            <w:tcBorders>
              <w:bottom w:val="single" w:sz="4" w:space="0" w:color="17365D"/>
            </w:tcBorders>
            <w:shd w:val="clear" w:color="auto" w:fill="B9CDE5"/>
            <w:vAlign w:val="center"/>
            <w:hideMark/>
          </w:tcPr>
          <w:p w14:paraId="023BD0CD"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767" w:type="pct"/>
            <w:gridSpan w:val="2"/>
            <w:tcBorders>
              <w:bottom w:val="single" w:sz="4" w:space="0" w:color="17365D"/>
            </w:tcBorders>
            <w:shd w:val="clear" w:color="auto" w:fill="B9CDE5"/>
            <w:vAlign w:val="center"/>
            <w:hideMark/>
          </w:tcPr>
          <w:p w14:paraId="4BC5F461"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67" w:type="pct"/>
            <w:tcBorders>
              <w:bottom w:val="single" w:sz="4" w:space="0" w:color="17365D"/>
            </w:tcBorders>
            <w:shd w:val="clear" w:color="auto" w:fill="B9CDE5"/>
            <w:vAlign w:val="center"/>
            <w:hideMark/>
          </w:tcPr>
          <w:p w14:paraId="043D1804" w14:textId="661A53E4"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96" w:type="pct"/>
            <w:tcBorders>
              <w:bottom w:val="single" w:sz="4" w:space="0" w:color="17365D"/>
            </w:tcBorders>
            <w:shd w:val="clear" w:color="auto" w:fill="B9CDE5"/>
            <w:vAlign w:val="center"/>
            <w:hideMark/>
          </w:tcPr>
          <w:p w14:paraId="36CF15B7"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6C6CC0D1" w14:textId="77777777" w:rsidTr="00A05320">
        <w:trPr>
          <w:trHeight w:val="240"/>
          <w:tblHeader/>
        </w:trPr>
        <w:tc>
          <w:tcPr>
            <w:tcW w:w="1515" w:type="pct"/>
            <w:tcBorders>
              <w:top w:val="single" w:sz="4" w:space="0" w:color="17365D"/>
              <w:bottom w:val="single" w:sz="4" w:space="0" w:color="17365D"/>
            </w:tcBorders>
            <w:shd w:val="clear" w:color="auto" w:fill="auto"/>
            <w:vAlign w:val="center"/>
            <w:hideMark/>
          </w:tcPr>
          <w:p w14:paraId="0631C941"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531" w:type="pct"/>
            <w:tcBorders>
              <w:top w:val="single" w:sz="4" w:space="0" w:color="17365D"/>
              <w:bottom w:val="single" w:sz="4" w:space="0" w:color="17365D"/>
            </w:tcBorders>
            <w:shd w:val="clear" w:color="auto" w:fill="auto"/>
            <w:vAlign w:val="center"/>
            <w:hideMark/>
          </w:tcPr>
          <w:p w14:paraId="3F0271AB"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24" w:type="pct"/>
            <w:tcBorders>
              <w:top w:val="single" w:sz="4" w:space="0" w:color="17365D"/>
              <w:bottom w:val="single" w:sz="4" w:space="0" w:color="17365D"/>
            </w:tcBorders>
            <w:shd w:val="clear" w:color="auto" w:fill="auto"/>
            <w:vAlign w:val="center"/>
            <w:hideMark/>
          </w:tcPr>
          <w:p w14:paraId="5BCF89A8"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767" w:type="pct"/>
            <w:gridSpan w:val="2"/>
            <w:tcBorders>
              <w:top w:val="single" w:sz="4" w:space="0" w:color="17365D"/>
              <w:bottom w:val="single" w:sz="4" w:space="0" w:color="17365D"/>
            </w:tcBorders>
            <w:shd w:val="clear" w:color="auto" w:fill="auto"/>
            <w:vAlign w:val="center"/>
            <w:hideMark/>
          </w:tcPr>
          <w:p w14:paraId="43E0D862"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67" w:type="pct"/>
            <w:tcBorders>
              <w:top w:val="single" w:sz="4" w:space="0" w:color="17365D"/>
              <w:bottom w:val="single" w:sz="4" w:space="0" w:color="17365D"/>
            </w:tcBorders>
            <w:shd w:val="clear" w:color="auto" w:fill="auto"/>
            <w:vAlign w:val="center"/>
            <w:hideMark/>
          </w:tcPr>
          <w:p w14:paraId="23DA0617"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96" w:type="pct"/>
            <w:tcBorders>
              <w:top w:val="single" w:sz="4" w:space="0" w:color="17365D"/>
              <w:bottom w:val="single" w:sz="4" w:space="0" w:color="17365D"/>
            </w:tcBorders>
            <w:shd w:val="clear" w:color="auto" w:fill="auto"/>
            <w:vAlign w:val="center"/>
            <w:hideMark/>
          </w:tcPr>
          <w:p w14:paraId="7E2855B3"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0F6711" w:rsidRPr="00A27896" w14:paraId="60BDA963" w14:textId="77777777" w:rsidTr="009A4177">
        <w:trPr>
          <w:trHeight w:val="240"/>
        </w:trPr>
        <w:tc>
          <w:tcPr>
            <w:tcW w:w="1515" w:type="pct"/>
            <w:tcBorders>
              <w:top w:val="single" w:sz="4" w:space="0" w:color="17365D"/>
              <w:bottom w:val="single" w:sz="4" w:space="0" w:color="17365D"/>
            </w:tcBorders>
            <w:shd w:val="clear" w:color="auto" w:fill="auto"/>
            <w:vAlign w:val="center"/>
            <w:hideMark/>
          </w:tcPr>
          <w:p w14:paraId="232DF775" w14:textId="11D9DA27" w:rsidR="000F6711" w:rsidRPr="00A27896" w:rsidRDefault="000F6711" w:rsidP="000F6711">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Budžeta izpildes rezultāti</w:t>
            </w:r>
          </w:p>
        </w:tc>
        <w:tc>
          <w:tcPr>
            <w:tcW w:w="531" w:type="pct"/>
            <w:tcBorders>
              <w:top w:val="single" w:sz="4" w:space="0" w:color="17365D"/>
              <w:left w:val="nil"/>
              <w:bottom w:val="single" w:sz="4" w:space="0" w:color="17365D"/>
              <w:right w:val="nil"/>
            </w:tcBorders>
            <w:shd w:val="clear" w:color="auto" w:fill="auto"/>
            <w:vAlign w:val="center"/>
            <w:hideMark/>
          </w:tcPr>
          <w:p w14:paraId="357AFBC7" w14:textId="1BAAEB7D" w:rsidR="000F6711" w:rsidRPr="00A27896" w:rsidRDefault="000F6711" w:rsidP="000F6711">
            <w:pPr>
              <w:spacing w:after="0" w:line="240" w:lineRule="auto"/>
              <w:jc w:val="center"/>
              <w:rPr>
                <w:rFonts w:eastAsia="Times New Roman" w:cs="Times New Roman"/>
                <w:b/>
                <w:color w:val="17365D"/>
                <w:sz w:val="18"/>
                <w:szCs w:val="18"/>
                <w:lang w:eastAsia="lv-LV"/>
              </w:rPr>
            </w:pPr>
            <w:r>
              <w:rPr>
                <w:b/>
                <w:bCs/>
                <w:color w:val="17365D"/>
                <w:sz w:val="18"/>
                <w:szCs w:val="18"/>
              </w:rPr>
              <w:t>KB.3.5.</w:t>
            </w:r>
          </w:p>
        </w:tc>
        <w:tc>
          <w:tcPr>
            <w:tcW w:w="724" w:type="pct"/>
            <w:tcBorders>
              <w:top w:val="single" w:sz="4" w:space="0" w:color="17365D"/>
              <w:left w:val="nil"/>
              <w:bottom w:val="single" w:sz="4" w:space="0" w:color="17365D"/>
              <w:right w:val="nil"/>
            </w:tcBorders>
            <w:shd w:val="clear" w:color="auto" w:fill="auto"/>
            <w:noWrap/>
            <w:vAlign w:val="center"/>
          </w:tcPr>
          <w:p w14:paraId="4A19C494" w14:textId="151C6E2B" w:rsidR="000F6711" w:rsidRPr="00C6222B" w:rsidRDefault="000F6711" w:rsidP="000F6711">
            <w:pPr>
              <w:spacing w:after="0" w:line="240" w:lineRule="auto"/>
              <w:jc w:val="right"/>
              <w:rPr>
                <w:b/>
                <w:bCs/>
                <w:color w:val="17365D"/>
                <w:sz w:val="18"/>
                <w:szCs w:val="18"/>
              </w:rPr>
            </w:pPr>
            <w:r>
              <w:rPr>
                <w:b/>
                <w:bCs/>
                <w:color w:val="17365D"/>
                <w:sz w:val="18"/>
                <w:szCs w:val="18"/>
              </w:rPr>
              <w:t>6 135 901 901</w:t>
            </w:r>
          </w:p>
        </w:tc>
        <w:tc>
          <w:tcPr>
            <w:tcW w:w="767" w:type="pct"/>
            <w:gridSpan w:val="2"/>
            <w:tcBorders>
              <w:top w:val="single" w:sz="4" w:space="0" w:color="17365D"/>
              <w:left w:val="nil"/>
              <w:bottom w:val="single" w:sz="4" w:space="0" w:color="17365D"/>
              <w:right w:val="nil"/>
            </w:tcBorders>
            <w:shd w:val="clear" w:color="auto" w:fill="auto"/>
            <w:noWrap/>
            <w:vAlign w:val="center"/>
          </w:tcPr>
          <w:p w14:paraId="59973FF3" w14:textId="6D3626CB" w:rsidR="000F6711" w:rsidRPr="00C6222B" w:rsidRDefault="000F6711" w:rsidP="000F6711">
            <w:pPr>
              <w:spacing w:after="0" w:line="240" w:lineRule="auto"/>
              <w:jc w:val="right"/>
              <w:rPr>
                <w:b/>
                <w:bCs/>
                <w:color w:val="17365D"/>
                <w:sz w:val="18"/>
                <w:szCs w:val="18"/>
              </w:rPr>
            </w:pPr>
            <w:r>
              <w:rPr>
                <w:b/>
                <w:bCs/>
                <w:color w:val="17365D"/>
                <w:sz w:val="18"/>
                <w:szCs w:val="18"/>
              </w:rPr>
              <w:t>6 542 327 782</w:t>
            </w:r>
          </w:p>
        </w:tc>
        <w:tc>
          <w:tcPr>
            <w:tcW w:w="767" w:type="pct"/>
            <w:tcBorders>
              <w:top w:val="single" w:sz="4" w:space="0" w:color="17365D"/>
              <w:left w:val="nil"/>
              <w:bottom w:val="single" w:sz="4" w:space="0" w:color="17365D"/>
              <w:right w:val="nil"/>
            </w:tcBorders>
            <w:shd w:val="clear" w:color="auto" w:fill="auto"/>
            <w:noWrap/>
            <w:vAlign w:val="center"/>
          </w:tcPr>
          <w:p w14:paraId="1A7D337B" w14:textId="7B26A22A" w:rsidR="000F6711" w:rsidRPr="00C6222B" w:rsidRDefault="000F6711" w:rsidP="000F6711">
            <w:pPr>
              <w:spacing w:after="0" w:line="240" w:lineRule="auto"/>
              <w:jc w:val="right"/>
              <w:rPr>
                <w:b/>
                <w:bCs/>
                <w:color w:val="17365D"/>
                <w:sz w:val="18"/>
                <w:szCs w:val="18"/>
              </w:rPr>
            </w:pPr>
            <w:r>
              <w:rPr>
                <w:b/>
                <w:bCs/>
                <w:color w:val="17365D"/>
                <w:sz w:val="18"/>
                <w:szCs w:val="18"/>
              </w:rPr>
              <w:t>-406 425 881</w:t>
            </w:r>
          </w:p>
        </w:tc>
        <w:tc>
          <w:tcPr>
            <w:tcW w:w="696" w:type="pct"/>
            <w:tcBorders>
              <w:top w:val="single" w:sz="4" w:space="0" w:color="17365D"/>
              <w:left w:val="nil"/>
              <w:bottom w:val="single" w:sz="4" w:space="0" w:color="17365D"/>
              <w:right w:val="nil"/>
            </w:tcBorders>
            <w:shd w:val="clear" w:color="auto" w:fill="auto"/>
            <w:noWrap/>
            <w:vAlign w:val="center"/>
          </w:tcPr>
          <w:p w14:paraId="502CC63B" w14:textId="63239255" w:rsidR="000F6711" w:rsidRPr="00C6222B" w:rsidRDefault="000F6711" w:rsidP="000F6711">
            <w:pPr>
              <w:spacing w:after="0" w:line="240" w:lineRule="auto"/>
              <w:jc w:val="right"/>
              <w:rPr>
                <w:b/>
                <w:bCs/>
                <w:color w:val="17365D"/>
                <w:sz w:val="18"/>
                <w:szCs w:val="18"/>
              </w:rPr>
            </w:pPr>
            <w:r>
              <w:rPr>
                <w:b/>
                <w:bCs/>
                <w:color w:val="17365D"/>
                <w:sz w:val="18"/>
                <w:szCs w:val="18"/>
              </w:rPr>
              <w:t>-6.21</w:t>
            </w:r>
          </w:p>
        </w:tc>
      </w:tr>
      <w:tr w:rsidR="000F6711" w:rsidRPr="00F06FED" w14:paraId="3BE9143B" w14:textId="77777777" w:rsidTr="009A4177">
        <w:trPr>
          <w:trHeight w:val="54"/>
        </w:trPr>
        <w:tc>
          <w:tcPr>
            <w:tcW w:w="1515" w:type="pct"/>
            <w:tcBorders>
              <w:top w:val="single" w:sz="4" w:space="0" w:color="17365D"/>
              <w:bottom w:val="single" w:sz="4" w:space="0" w:color="17365D"/>
            </w:tcBorders>
            <w:shd w:val="clear" w:color="auto" w:fill="auto"/>
            <w:vAlign w:val="center"/>
            <w:hideMark/>
          </w:tcPr>
          <w:p w14:paraId="671820A4" w14:textId="77777777" w:rsidR="000F6711" w:rsidRPr="00A27896" w:rsidRDefault="000F6711" w:rsidP="000F671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Iepriekšējo pārskata gadu budžeta izpildes rezultāts</w:t>
            </w:r>
          </w:p>
        </w:tc>
        <w:tc>
          <w:tcPr>
            <w:tcW w:w="531" w:type="pct"/>
            <w:tcBorders>
              <w:top w:val="single" w:sz="4" w:space="0" w:color="17365D"/>
              <w:left w:val="nil"/>
              <w:bottom w:val="single" w:sz="4" w:space="0" w:color="17365D"/>
              <w:right w:val="nil"/>
            </w:tcBorders>
            <w:shd w:val="clear" w:color="auto" w:fill="auto"/>
            <w:noWrap/>
            <w:vAlign w:val="center"/>
            <w:hideMark/>
          </w:tcPr>
          <w:p w14:paraId="23A92014" w14:textId="2991EB9B" w:rsidR="000F6711" w:rsidRPr="00A27896" w:rsidRDefault="000F6711" w:rsidP="000F6711">
            <w:pPr>
              <w:spacing w:after="0" w:line="240" w:lineRule="auto"/>
              <w:rPr>
                <w:rFonts w:eastAsia="Times New Roman" w:cs="Times New Roman"/>
                <w:color w:val="17365D"/>
                <w:sz w:val="18"/>
                <w:szCs w:val="18"/>
                <w:lang w:eastAsia="lv-LV"/>
              </w:rPr>
            </w:pPr>
          </w:p>
        </w:tc>
        <w:tc>
          <w:tcPr>
            <w:tcW w:w="724" w:type="pct"/>
            <w:tcBorders>
              <w:top w:val="single" w:sz="4" w:space="0" w:color="17365D"/>
              <w:left w:val="nil"/>
              <w:bottom w:val="single" w:sz="4" w:space="0" w:color="17365D"/>
              <w:right w:val="nil"/>
            </w:tcBorders>
            <w:shd w:val="clear" w:color="auto" w:fill="auto"/>
            <w:noWrap/>
            <w:vAlign w:val="center"/>
          </w:tcPr>
          <w:p w14:paraId="2A405358" w14:textId="4C8B69AC" w:rsidR="000F6711" w:rsidRPr="00C87349" w:rsidRDefault="000F6711" w:rsidP="000F6711">
            <w:pPr>
              <w:spacing w:after="0" w:line="240" w:lineRule="auto"/>
              <w:jc w:val="right"/>
              <w:rPr>
                <w:color w:val="17365D"/>
                <w:sz w:val="18"/>
                <w:szCs w:val="18"/>
              </w:rPr>
            </w:pPr>
            <w:r>
              <w:rPr>
                <w:color w:val="17365D"/>
                <w:sz w:val="18"/>
                <w:szCs w:val="18"/>
              </w:rPr>
              <w:t>6 542 327 782</w:t>
            </w:r>
          </w:p>
        </w:tc>
        <w:tc>
          <w:tcPr>
            <w:tcW w:w="767" w:type="pct"/>
            <w:gridSpan w:val="2"/>
            <w:tcBorders>
              <w:top w:val="single" w:sz="4" w:space="0" w:color="17365D"/>
              <w:left w:val="nil"/>
              <w:bottom w:val="single" w:sz="4" w:space="0" w:color="17365D"/>
              <w:right w:val="nil"/>
            </w:tcBorders>
            <w:shd w:val="clear" w:color="auto" w:fill="auto"/>
            <w:noWrap/>
            <w:vAlign w:val="center"/>
          </w:tcPr>
          <w:p w14:paraId="00CA13AA" w14:textId="117FAB75" w:rsidR="000F6711" w:rsidRPr="00C87349" w:rsidRDefault="000F6711" w:rsidP="000F6711">
            <w:pPr>
              <w:spacing w:after="0" w:line="240" w:lineRule="auto"/>
              <w:jc w:val="right"/>
              <w:rPr>
                <w:color w:val="17365D"/>
                <w:sz w:val="18"/>
                <w:szCs w:val="18"/>
              </w:rPr>
            </w:pPr>
            <w:r>
              <w:rPr>
                <w:color w:val="17365D"/>
                <w:sz w:val="18"/>
                <w:szCs w:val="18"/>
              </w:rPr>
              <w:t>6 475 055 494</w:t>
            </w:r>
          </w:p>
        </w:tc>
        <w:tc>
          <w:tcPr>
            <w:tcW w:w="767" w:type="pct"/>
            <w:tcBorders>
              <w:top w:val="single" w:sz="4" w:space="0" w:color="17365D"/>
              <w:left w:val="nil"/>
              <w:bottom w:val="single" w:sz="4" w:space="0" w:color="17365D"/>
              <w:right w:val="nil"/>
            </w:tcBorders>
            <w:shd w:val="clear" w:color="auto" w:fill="auto"/>
            <w:noWrap/>
            <w:vAlign w:val="center"/>
          </w:tcPr>
          <w:p w14:paraId="6361192D" w14:textId="04A5C9C8" w:rsidR="000F6711" w:rsidRPr="00C87349" w:rsidRDefault="000F6711" w:rsidP="000F6711">
            <w:pPr>
              <w:spacing w:after="0" w:line="240" w:lineRule="auto"/>
              <w:jc w:val="right"/>
              <w:rPr>
                <w:color w:val="17365D"/>
                <w:sz w:val="18"/>
                <w:szCs w:val="18"/>
              </w:rPr>
            </w:pPr>
            <w:r>
              <w:rPr>
                <w:color w:val="17365D"/>
                <w:sz w:val="18"/>
                <w:szCs w:val="18"/>
              </w:rPr>
              <w:t>67 272 288</w:t>
            </w:r>
          </w:p>
        </w:tc>
        <w:tc>
          <w:tcPr>
            <w:tcW w:w="696" w:type="pct"/>
            <w:tcBorders>
              <w:top w:val="single" w:sz="4" w:space="0" w:color="17365D"/>
              <w:left w:val="nil"/>
              <w:bottom w:val="single" w:sz="4" w:space="0" w:color="17365D"/>
              <w:right w:val="nil"/>
            </w:tcBorders>
            <w:shd w:val="clear" w:color="auto" w:fill="auto"/>
            <w:noWrap/>
            <w:vAlign w:val="center"/>
          </w:tcPr>
          <w:p w14:paraId="1F0FCAF0" w14:textId="53F77C83" w:rsidR="000F6711" w:rsidRPr="00C87349" w:rsidRDefault="000F6711" w:rsidP="000F6711">
            <w:pPr>
              <w:spacing w:after="0" w:line="240" w:lineRule="auto"/>
              <w:jc w:val="right"/>
              <w:rPr>
                <w:color w:val="17365D"/>
                <w:sz w:val="18"/>
                <w:szCs w:val="18"/>
              </w:rPr>
            </w:pPr>
            <w:r>
              <w:rPr>
                <w:color w:val="17365D"/>
                <w:sz w:val="18"/>
                <w:szCs w:val="18"/>
              </w:rPr>
              <w:t>1.04</w:t>
            </w:r>
          </w:p>
        </w:tc>
      </w:tr>
      <w:tr w:rsidR="000F6711" w:rsidRPr="00A27896" w14:paraId="68679552" w14:textId="77777777" w:rsidTr="009A4177">
        <w:trPr>
          <w:trHeight w:val="54"/>
        </w:trPr>
        <w:tc>
          <w:tcPr>
            <w:tcW w:w="1515" w:type="pct"/>
            <w:tcBorders>
              <w:top w:val="single" w:sz="4" w:space="0" w:color="17365D"/>
              <w:bottom w:val="single" w:sz="4" w:space="0" w:color="17365D"/>
            </w:tcBorders>
            <w:shd w:val="clear" w:color="auto" w:fill="auto"/>
            <w:vAlign w:val="center"/>
            <w:hideMark/>
          </w:tcPr>
          <w:p w14:paraId="77B9FA5D" w14:textId="77777777" w:rsidR="000F6711" w:rsidRPr="00A27896" w:rsidRDefault="000F6711" w:rsidP="000F671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Pārskata gada budžeta izpildes rezultāts</w:t>
            </w:r>
          </w:p>
        </w:tc>
        <w:tc>
          <w:tcPr>
            <w:tcW w:w="531" w:type="pct"/>
            <w:tcBorders>
              <w:top w:val="single" w:sz="4" w:space="0" w:color="17365D"/>
              <w:left w:val="nil"/>
              <w:bottom w:val="single" w:sz="4" w:space="0" w:color="17365D"/>
              <w:right w:val="nil"/>
            </w:tcBorders>
            <w:shd w:val="clear" w:color="auto" w:fill="auto"/>
            <w:noWrap/>
            <w:vAlign w:val="center"/>
            <w:hideMark/>
          </w:tcPr>
          <w:p w14:paraId="34C6C74F" w14:textId="11CCC08B" w:rsidR="000F6711" w:rsidRPr="00A27896" w:rsidRDefault="000F6711" w:rsidP="000F6711">
            <w:pPr>
              <w:spacing w:after="0" w:line="240" w:lineRule="auto"/>
              <w:ind w:right="-63"/>
              <w:jc w:val="center"/>
              <w:rPr>
                <w:rFonts w:eastAsia="Times New Roman" w:cs="Times New Roman"/>
                <w:color w:val="17365D"/>
                <w:sz w:val="18"/>
                <w:szCs w:val="18"/>
                <w:lang w:eastAsia="lv-LV"/>
              </w:rPr>
            </w:pPr>
            <w:r>
              <w:rPr>
                <w:color w:val="17365D"/>
                <w:sz w:val="18"/>
                <w:szCs w:val="18"/>
              </w:rPr>
              <w:t>KB.3.5.1.</w:t>
            </w:r>
          </w:p>
        </w:tc>
        <w:tc>
          <w:tcPr>
            <w:tcW w:w="724" w:type="pct"/>
            <w:tcBorders>
              <w:top w:val="single" w:sz="4" w:space="0" w:color="17365D"/>
              <w:left w:val="nil"/>
              <w:bottom w:val="single" w:sz="4" w:space="0" w:color="17365D"/>
              <w:right w:val="nil"/>
            </w:tcBorders>
            <w:shd w:val="clear" w:color="auto" w:fill="auto"/>
            <w:noWrap/>
            <w:vAlign w:val="center"/>
          </w:tcPr>
          <w:p w14:paraId="48D8EF8D" w14:textId="6FD77AD4" w:rsidR="000F6711" w:rsidRPr="00C6222B" w:rsidRDefault="000F6711" w:rsidP="000F6711">
            <w:pPr>
              <w:spacing w:after="0" w:line="240" w:lineRule="auto"/>
              <w:jc w:val="right"/>
              <w:rPr>
                <w:color w:val="17365D"/>
                <w:sz w:val="18"/>
                <w:szCs w:val="18"/>
              </w:rPr>
            </w:pPr>
            <w:r>
              <w:rPr>
                <w:color w:val="17365D"/>
                <w:sz w:val="18"/>
                <w:szCs w:val="18"/>
              </w:rPr>
              <w:t>-406 425 881</w:t>
            </w:r>
          </w:p>
        </w:tc>
        <w:tc>
          <w:tcPr>
            <w:tcW w:w="767" w:type="pct"/>
            <w:gridSpan w:val="2"/>
            <w:tcBorders>
              <w:top w:val="single" w:sz="4" w:space="0" w:color="17365D"/>
              <w:left w:val="nil"/>
              <w:bottom w:val="single" w:sz="4" w:space="0" w:color="17365D"/>
              <w:right w:val="nil"/>
            </w:tcBorders>
            <w:shd w:val="clear" w:color="auto" w:fill="auto"/>
            <w:noWrap/>
            <w:vAlign w:val="center"/>
          </w:tcPr>
          <w:p w14:paraId="456AC37F" w14:textId="09C67D4E" w:rsidR="000F6711" w:rsidRPr="00C6222B" w:rsidRDefault="000F6711" w:rsidP="000F6711">
            <w:pPr>
              <w:spacing w:after="0" w:line="240" w:lineRule="auto"/>
              <w:jc w:val="right"/>
              <w:rPr>
                <w:color w:val="17365D"/>
                <w:sz w:val="18"/>
                <w:szCs w:val="18"/>
              </w:rPr>
            </w:pPr>
            <w:r>
              <w:rPr>
                <w:color w:val="17365D"/>
                <w:sz w:val="18"/>
                <w:szCs w:val="18"/>
              </w:rPr>
              <w:t>67 272 288</w:t>
            </w:r>
          </w:p>
        </w:tc>
        <w:tc>
          <w:tcPr>
            <w:tcW w:w="767" w:type="pct"/>
            <w:tcBorders>
              <w:top w:val="single" w:sz="4" w:space="0" w:color="17365D"/>
              <w:left w:val="nil"/>
              <w:bottom w:val="single" w:sz="4" w:space="0" w:color="17365D"/>
              <w:right w:val="nil"/>
            </w:tcBorders>
            <w:shd w:val="clear" w:color="auto" w:fill="auto"/>
            <w:noWrap/>
            <w:vAlign w:val="center"/>
          </w:tcPr>
          <w:p w14:paraId="2BDABFB9" w14:textId="0CF7AC6F" w:rsidR="000F6711" w:rsidRPr="00C6222B" w:rsidRDefault="000F6711" w:rsidP="000F6711">
            <w:pPr>
              <w:spacing w:after="0" w:line="240" w:lineRule="auto"/>
              <w:jc w:val="right"/>
              <w:rPr>
                <w:color w:val="17365D"/>
                <w:sz w:val="18"/>
                <w:szCs w:val="18"/>
              </w:rPr>
            </w:pPr>
            <w:r>
              <w:rPr>
                <w:color w:val="17365D"/>
                <w:sz w:val="18"/>
                <w:szCs w:val="18"/>
              </w:rPr>
              <w:t>-473 698 169</w:t>
            </w:r>
          </w:p>
        </w:tc>
        <w:tc>
          <w:tcPr>
            <w:tcW w:w="696" w:type="pct"/>
            <w:tcBorders>
              <w:top w:val="single" w:sz="4" w:space="0" w:color="17365D"/>
              <w:left w:val="nil"/>
              <w:bottom w:val="single" w:sz="4" w:space="0" w:color="17365D"/>
              <w:right w:val="nil"/>
            </w:tcBorders>
            <w:shd w:val="clear" w:color="auto" w:fill="auto"/>
            <w:noWrap/>
            <w:vAlign w:val="center"/>
          </w:tcPr>
          <w:p w14:paraId="01F9D4DB" w14:textId="2DEBBFBD" w:rsidR="000F6711" w:rsidRPr="00C6222B" w:rsidRDefault="000F6711" w:rsidP="000F6711">
            <w:pPr>
              <w:spacing w:after="0" w:line="240" w:lineRule="auto"/>
              <w:jc w:val="right"/>
              <w:rPr>
                <w:color w:val="17365D"/>
                <w:sz w:val="18"/>
                <w:szCs w:val="18"/>
              </w:rPr>
            </w:pPr>
            <w:r>
              <w:rPr>
                <w:color w:val="17365D"/>
                <w:sz w:val="18"/>
                <w:szCs w:val="18"/>
              </w:rPr>
              <w:t>-704.15</w:t>
            </w:r>
          </w:p>
        </w:tc>
      </w:tr>
      <w:tr w:rsidR="000C1009" w:rsidRPr="00A27896" w14:paraId="3BE54373" w14:textId="77777777" w:rsidTr="009A4177">
        <w:trPr>
          <w:trHeight w:val="176"/>
        </w:trPr>
        <w:tc>
          <w:tcPr>
            <w:tcW w:w="1515" w:type="pct"/>
            <w:tcBorders>
              <w:top w:val="single" w:sz="4" w:space="0" w:color="17365D"/>
            </w:tcBorders>
            <w:shd w:val="clear" w:color="auto" w:fill="B9CDE5"/>
            <w:vAlign w:val="bottom"/>
          </w:tcPr>
          <w:p w14:paraId="68D85ABB" w14:textId="77777777" w:rsidR="007269C2" w:rsidRPr="00A27896" w:rsidRDefault="007269C2" w:rsidP="001A3C50">
            <w:pPr>
              <w:spacing w:after="0"/>
              <w:rPr>
                <w:rFonts w:eastAsia="Times New Roman" w:cs="Times New Roman"/>
                <w:color w:val="17365D"/>
                <w:sz w:val="18"/>
                <w:szCs w:val="18"/>
                <w:lang w:eastAsia="lv-LV"/>
              </w:rPr>
            </w:pPr>
          </w:p>
        </w:tc>
        <w:tc>
          <w:tcPr>
            <w:tcW w:w="1255" w:type="pct"/>
            <w:gridSpan w:val="2"/>
            <w:tcBorders>
              <w:top w:val="single" w:sz="4" w:space="0" w:color="17365D"/>
            </w:tcBorders>
            <w:shd w:val="clear" w:color="auto" w:fill="B9CDE5"/>
            <w:noWrap/>
            <w:vAlign w:val="bottom"/>
          </w:tcPr>
          <w:p w14:paraId="4202CA54" w14:textId="77777777" w:rsidR="007269C2" w:rsidRPr="00A27896" w:rsidRDefault="007269C2" w:rsidP="001A3C50">
            <w:pPr>
              <w:spacing w:after="0"/>
              <w:jc w:val="right"/>
              <w:rPr>
                <w:rFonts w:cs="Times New Roman"/>
                <w:color w:val="17365D"/>
                <w:sz w:val="18"/>
                <w:szCs w:val="18"/>
              </w:rPr>
            </w:pPr>
          </w:p>
        </w:tc>
        <w:tc>
          <w:tcPr>
            <w:tcW w:w="494" w:type="pct"/>
            <w:tcBorders>
              <w:top w:val="single" w:sz="4" w:space="0" w:color="17365D"/>
            </w:tcBorders>
            <w:shd w:val="clear" w:color="auto" w:fill="B9CDE5"/>
            <w:noWrap/>
            <w:vAlign w:val="bottom"/>
          </w:tcPr>
          <w:p w14:paraId="0018C300" w14:textId="77777777" w:rsidR="007269C2" w:rsidRPr="00A27896" w:rsidRDefault="007269C2" w:rsidP="001A3C50">
            <w:pPr>
              <w:spacing w:after="0"/>
              <w:jc w:val="right"/>
              <w:rPr>
                <w:rFonts w:cs="Times New Roman"/>
                <w:color w:val="17365D"/>
                <w:sz w:val="18"/>
                <w:szCs w:val="18"/>
              </w:rPr>
            </w:pPr>
          </w:p>
        </w:tc>
        <w:tc>
          <w:tcPr>
            <w:tcW w:w="1040" w:type="pct"/>
            <w:gridSpan w:val="2"/>
            <w:tcBorders>
              <w:top w:val="single" w:sz="4" w:space="0" w:color="17365D"/>
            </w:tcBorders>
            <w:shd w:val="clear" w:color="auto" w:fill="B9CDE5"/>
            <w:noWrap/>
            <w:vAlign w:val="bottom"/>
          </w:tcPr>
          <w:p w14:paraId="50FD793E" w14:textId="77777777" w:rsidR="007269C2" w:rsidRPr="00A27896" w:rsidRDefault="007269C2" w:rsidP="001A3C50">
            <w:pPr>
              <w:spacing w:after="0"/>
              <w:jc w:val="right"/>
              <w:rPr>
                <w:rFonts w:cs="Times New Roman"/>
                <w:color w:val="17365D"/>
                <w:sz w:val="18"/>
                <w:szCs w:val="18"/>
              </w:rPr>
            </w:pPr>
          </w:p>
        </w:tc>
        <w:tc>
          <w:tcPr>
            <w:tcW w:w="696" w:type="pct"/>
            <w:tcBorders>
              <w:top w:val="single" w:sz="4" w:space="0" w:color="17365D"/>
            </w:tcBorders>
            <w:shd w:val="clear" w:color="auto" w:fill="B9CDE5"/>
            <w:noWrap/>
            <w:vAlign w:val="bottom"/>
          </w:tcPr>
          <w:p w14:paraId="272119BE" w14:textId="77777777" w:rsidR="007269C2" w:rsidRPr="00A27896" w:rsidRDefault="007269C2" w:rsidP="001A3C50">
            <w:pPr>
              <w:spacing w:after="0"/>
              <w:jc w:val="right"/>
              <w:rPr>
                <w:rFonts w:cs="Times New Roman"/>
                <w:color w:val="17365D"/>
                <w:sz w:val="18"/>
                <w:szCs w:val="18"/>
              </w:rPr>
            </w:pPr>
          </w:p>
        </w:tc>
      </w:tr>
    </w:tbl>
    <w:p w14:paraId="0E546666" w14:textId="0F89F509" w:rsidR="004F4916" w:rsidRPr="00A27896" w:rsidRDefault="00BB2FAA" w:rsidP="000D2C39">
      <w:pPr>
        <w:pStyle w:val="Heading5"/>
      </w:pPr>
      <w:r w:rsidRPr="00A27896">
        <w:t>Piezīme Nr. KB.</w:t>
      </w:r>
      <w:r w:rsidR="005F1199" w:rsidRPr="00A27896">
        <w:t>3</w:t>
      </w:r>
      <w:r w:rsidRPr="00A27896">
        <w:t>.</w:t>
      </w:r>
      <w:r w:rsidR="00F73CE6" w:rsidRPr="00A27896">
        <w:t>5.</w:t>
      </w:r>
      <w:r w:rsidR="00BC6926">
        <w:t>1</w:t>
      </w:r>
      <w:r w:rsidRPr="00A27896">
        <w:t xml:space="preserve">. </w:t>
      </w:r>
      <w:r w:rsidR="004F4916" w:rsidRPr="00A27896">
        <w:t>Pārskata gada budžeta izpildes rezultāts</w:t>
      </w:r>
    </w:p>
    <w:p w14:paraId="3A500D0E" w14:textId="5A03E312" w:rsidR="005D171A" w:rsidRPr="000F6711" w:rsidRDefault="00A32977" w:rsidP="00AD345F">
      <w:pPr>
        <w:spacing w:after="120" w:line="240" w:lineRule="auto"/>
        <w:ind w:firstLine="284"/>
        <w:jc w:val="both"/>
        <w:rPr>
          <w:rFonts w:cs="Times New Roman"/>
          <w:color w:val="17365D"/>
        </w:rPr>
      </w:pPr>
      <w:r w:rsidRPr="000F6711">
        <w:rPr>
          <w:rFonts w:cs="Times New Roman"/>
          <w:color w:val="17365D"/>
        </w:rPr>
        <w:t xml:space="preserve">Pārskata gada budžeta izpildes rezultāta </w:t>
      </w:r>
      <w:r w:rsidR="005D171A" w:rsidRPr="000F6711">
        <w:rPr>
          <w:rFonts w:cs="Times New Roman"/>
          <w:color w:val="17365D"/>
        </w:rPr>
        <w:t xml:space="preserve">lielākās </w:t>
      </w:r>
      <w:r w:rsidRPr="000F6711">
        <w:rPr>
          <w:rFonts w:cs="Times New Roman"/>
          <w:color w:val="17365D"/>
        </w:rPr>
        <w:t>izmaiņas</w:t>
      </w:r>
      <w:r w:rsidR="005D171A" w:rsidRPr="000F6711">
        <w:rPr>
          <w:rFonts w:cs="Times New Roman"/>
          <w:color w:val="17365D"/>
        </w:rPr>
        <w:t>:</w:t>
      </w:r>
    </w:p>
    <w:p w14:paraId="7F4AC330" w14:textId="4A809C33" w:rsidR="005D171A" w:rsidRPr="00007B54" w:rsidRDefault="00B57117" w:rsidP="002A2F6E">
      <w:pPr>
        <w:pStyle w:val="Bullets"/>
      </w:pPr>
      <w:r w:rsidRPr="00007B54">
        <w:t xml:space="preserve">Aizsardzības ministrijai </w:t>
      </w:r>
      <w:r w:rsidR="005D171A" w:rsidRPr="00007B54">
        <w:t>(</w:t>
      </w:r>
      <w:r w:rsidR="000F6711" w:rsidRPr="00007B54">
        <w:t>638,5</w:t>
      </w:r>
      <w:r w:rsidR="005D171A" w:rsidRPr="00007B54">
        <w:t xml:space="preserve">) </w:t>
      </w:r>
      <w:r w:rsidR="000F6711" w:rsidRPr="00007B54">
        <w:t xml:space="preserve">milj. </w:t>
      </w:r>
      <w:proofErr w:type="spellStart"/>
      <w:r w:rsidR="005D171A" w:rsidRPr="00007B54">
        <w:rPr>
          <w:i/>
        </w:rPr>
        <w:t>euro</w:t>
      </w:r>
      <w:proofErr w:type="spellEnd"/>
      <w:r w:rsidR="005D171A" w:rsidRPr="00007B54">
        <w:t xml:space="preserve"> </w:t>
      </w:r>
      <w:r w:rsidR="00524B23">
        <w:t xml:space="preserve">apmērā </w:t>
      </w:r>
      <w:r w:rsidRPr="00007B54">
        <w:t xml:space="preserve">no uzkrājumu </w:t>
      </w:r>
      <w:r w:rsidR="00BA7ADB">
        <w:t>izveidošanas</w:t>
      </w:r>
      <w:r w:rsidRPr="00007B54">
        <w:t xml:space="preserve"> </w:t>
      </w:r>
      <w:r w:rsidR="000F6711" w:rsidRPr="00007B54">
        <w:t xml:space="preserve">militārpersonu </w:t>
      </w:r>
      <w:r w:rsidRPr="00007B54">
        <w:t>izdienas pensijām</w:t>
      </w:r>
      <w:r w:rsidR="000F6711" w:rsidRPr="00007B54">
        <w:t xml:space="preserve"> un</w:t>
      </w:r>
      <w:r w:rsidRPr="00007B54">
        <w:t xml:space="preserve"> pabalstiem</w:t>
      </w:r>
      <w:r w:rsidR="005D171A" w:rsidRPr="00007B54">
        <w:t>;</w:t>
      </w:r>
    </w:p>
    <w:p w14:paraId="59FFC5B9" w14:textId="7286C923" w:rsidR="005D171A" w:rsidRDefault="000F6711" w:rsidP="002A2F6E">
      <w:pPr>
        <w:pStyle w:val="Bullets"/>
      </w:pPr>
      <w:r w:rsidRPr="00007B54">
        <w:t xml:space="preserve">Klimata un enerģētikas ministrijai </w:t>
      </w:r>
      <w:r w:rsidR="00327119" w:rsidRPr="00007B54">
        <w:t>(536,7) milj.</w:t>
      </w:r>
      <w:r w:rsidR="00327119">
        <w:t xml:space="preserve"> </w:t>
      </w:r>
      <w:r w:rsidR="00327119" w:rsidRPr="00007B54">
        <w:rPr>
          <w:i/>
          <w:iCs/>
        </w:rPr>
        <w:t>euro</w:t>
      </w:r>
      <w:r w:rsidR="00327119">
        <w:rPr>
          <w:i/>
          <w:iCs/>
        </w:rPr>
        <w:t xml:space="preserve"> </w:t>
      </w:r>
      <w:r w:rsidR="00327119" w:rsidRPr="00327119">
        <w:t>apmērā</w:t>
      </w:r>
      <w:r w:rsidRPr="00327119">
        <w:t>,</w:t>
      </w:r>
      <w:r w:rsidRPr="00007B54">
        <w:t xml:space="preserve"> tai skaitā Emisijas kvotu izsolīšanas instrumenta administrēto projektu un pasākumu </w:t>
      </w:r>
      <w:r w:rsidR="00024478">
        <w:t xml:space="preserve">un citu funkciju izpildes </w:t>
      </w:r>
      <w:r w:rsidRPr="00007B54">
        <w:t>rezultātā</w:t>
      </w:r>
      <w:r w:rsidR="005D171A" w:rsidRPr="00007B54">
        <w:t>;</w:t>
      </w:r>
    </w:p>
    <w:p w14:paraId="7BF25826" w14:textId="37DF44D1" w:rsidR="000F6711" w:rsidRPr="00007B54" w:rsidRDefault="00007B54" w:rsidP="002A2F6E">
      <w:pPr>
        <w:pStyle w:val="Bullets"/>
      </w:pPr>
      <w:r w:rsidRPr="00007B54">
        <w:t>Finanšu ministrijai (244,9) milj.</w:t>
      </w:r>
      <w:r w:rsidR="00E24982">
        <w:t xml:space="preserve"> </w:t>
      </w:r>
      <w:r w:rsidRPr="00007B54">
        <w:rPr>
          <w:i/>
          <w:iCs/>
        </w:rPr>
        <w:t>euro</w:t>
      </w:r>
      <w:r w:rsidRPr="00007B54">
        <w:t xml:space="preserve"> apmērā saistīts ar izdevumu no atmaksām un neatbilstoši veiktajiem izdevumiem palielinājumu Eiropas Savienības politiku instrumentu finansētajiem projektiem salīdzinot ar iepriekšējo gadu.</w:t>
      </w:r>
      <w:r w:rsidR="000F6711" w:rsidRPr="00007B54">
        <w:tab/>
      </w:r>
      <w:r w:rsidR="000F6711" w:rsidRPr="00007B54">
        <w:tab/>
        <w:t xml:space="preserve"> </w:t>
      </w:r>
    </w:p>
    <w:p w14:paraId="22570E99" w14:textId="5DF89193" w:rsidR="00AD345F" w:rsidRDefault="00AD345F" w:rsidP="00AD345F">
      <w:pPr>
        <w:spacing w:after="120" w:line="240" w:lineRule="auto"/>
        <w:ind w:firstLine="284"/>
        <w:jc w:val="both"/>
        <w:rPr>
          <w:rFonts w:cs="Times New Roman"/>
          <w:color w:val="17365D"/>
        </w:rPr>
      </w:pPr>
      <w:r w:rsidRPr="005D171A">
        <w:rPr>
          <w:rFonts w:cs="Times New Roman"/>
          <w:color w:val="17365D"/>
        </w:rPr>
        <w:t>Detalizēta informācija par bilances posteni “Pārskata gada budže</w:t>
      </w:r>
      <w:r w:rsidR="00EC0844" w:rsidRPr="005D171A">
        <w:rPr>
          <w:rFonts w:cs="Times New Roman"/>
          <w:color w:val="17365D"/>
        </w:rPr>
        <w:t>ta izpildes rezultāts” sniegta</w:t>
      </w:r>
      <w:r w:rsidR="00EC0844" w:rsidRPr="00A27896">
        <w:rPr>
          <w:rFonts w:cs="Times New Roman"/>
          <w:color w:val="17365D"/>
        </w:rPr>
        <w:t xml:space="preserve"> K</w:t>
      </w:r>
      <w:r w:rsidRPr="00A27896">
        <w:rPr>
          <w:rFonts w:cs="Times New Roman"/>
          <w:color w:val="17365D"/>
        </w:rPr>
        <w:t xml:space="preserve">onsolidētajā </w:t>
      </w:r>
      <w:r w:rsidR="00CD31A8" w:rsidRPr="00A27896">
        <w:rPr>
          <w:rFonts w:cs="Times New Roman"/>
          <w:color w:val="17365D"/>
        </w:rPr>
        <w:t>pārskatā par darb</w:t>
      </w:r>
      <w:r w:rsidR="00876FDF" w:rsidRPr="00A27896">
        <w:rPr>
          <w:rFonts w:cs="Times New Roman"/>
          <w:color w:val="17365D"/>
        </w:rPr>
        <w:t>ības finansiālajiem rezultātiem.</w:t>
      </w:r>
    </w:p>
    <w:p w14:paraId="602F27CA" w14:textId="4370C775" w:rsidR="0099128A" w:rsidRPr="00A27896" w:rsidRDefault="00F9244C" w:rsidP="004105BE">
      <w:pPr>
        <w:pStyle w:val="Heading4"/>
        <w:spacing w:after="0"/>
        <w:rPr>
          <w:rFonts w:cs="Times New Roman"/>
        </w:rPr>
      </w:pPr>
      <w:r w:rsidRPr="00A27896">
        <w:rPr>
          <w:rFonts w:cs="Times New Roman"/>
        </w:rPr>
        <w:t>Piezīme Nr. KB.</w:t>
      </w:r>
      <w:r w:rsidR="005F1199" w:rsidRPr="00A27896">
        <w:rPr>
          <w:rFonts w:cs="Times New Roman"/>
        </w:rPr>
        <w:t>4</w:t>
      </w:r>
      <w:r w:rsidRPr="00A27896">
        <w:rPr>
          <w:rFonts w:cs="Times New Roman"/>
        </w:rPr>
        <w:t>. Uzkrājumi</w:t>
      </w:r>
    </w:p>
    <w:p w14:paraId="0C166427" w14:textId="306CE17C" w:rsidR="0026661F" w:rsidRPr="004105BE" w:rsidRDefault="00A50625" w:rsidP="004105BE">
      <w:pPr>
        <w:pStyle w:val="Tabulasnosaukums1"/>
        <w:spacing w:before="100"/>
        <w:rPr>
          <w:rFonts w:cs="Times New Roman"/>
          <w:i/>
          <w:color w:val="17365D"/>
        </w:rPr>
      </w:pPr>
      <w:r w:rsidRPr="004105BE">
        <w:rPr>
          <w:rFonts w:cs="Times New Roman"/>
          <w:i/>
          <w:color w:val="17365D"/>
        </w:rPr>
        <w:tab/>
      </w:r>
      <w:r w:rsidR="004105BE" w:rsidRPr="004105BE">
        <w:rPr>
          <w:rFonts w:cs="Times New Roman"/>
          <w:i/>
          <w:color w:val="17365D"/>
        </w:rPr>
        <w:t>1.</w:t>
      </w:r>
      <w:r w:rsidR="00B57117" w:rsidRPr="004105BE">
        <w:rPr>
          <w:rFonts w:cs="Times New Roman"/>
          <w:i/>
          <w:color w:val="17365D"/>
        </w:rPr>
        <w:t>1</w:t>
      </w:r>
      <w:r w:rsidR="007B608A">
        <w:rPr>
          <w:rFonts w:cs="Times New Roman"/>
          <w:i/>
          <w:color w:val="17365D"/>
        </w:rPr>
        <w:t>9</w:t>
      </w:r>
      <w:r w:rsidR="0026661F" w:rsidRPr="004105BE">
        <w:rPr>
          <w:rFonts w:cs="Times New Roman"/>
          <w:i/>
          <w:color w:val="17365D"/>
        </w:rPr>
        <w:t xml:space="preserve">. tabula. </w:t>
      </w:r>
      <w:r w:rsidR="0070137D" w:rsidRPr="004105BE">
        <w:rPr>
          <w:rFonts w:cs="Times New Roman"/>
          <w:i/>
          <w:color w:val="17365D"/>
        </w:rPr>
        <w:t>Uzkrājumi</w:t>
      </w:r>
      <w:r w:rsidR="0026661F" w:rsidRPr="004105BE">
        <w:rPr>
          <w:rFonts w:cs="Times New Roman"/>
          <w:i/>
          <w:color w:val="17365D"/>
        </w:rPr>
        <w:t xml:space="preserve"> (euro)</w:t>
      </w:r>
    </w:p>
    <w:tbl>
      <w:tblPr>
        <w:tblW w:w="5000" w:type="pct"/>
        <w:jc w:val="center"/>
        <w:tblLayout w:type="fixed"/>
        <w:tblLook w:val="04A0" w:firstRow="1" w:lastRow="0" w:firstColumn="1" w:lastColumn="0" w:noHBand="0" w:noVBand="1"/>
      </w:tblPr>
      <w:tblGrid>
        <w:gridCol w:w="2186"/>
        <w:gridCol w:w="1093"/>
        <w:gridCol w:w="1502"/>
        <w:gridCol w:w="1641"/>
        <w:gridCol w:w="1366"/>
        <w:gridCol w:w="1566"/>
      </w:tblGrid>
      <w:tr w:rsidR="000C1009" w:rsidRPr="00A27896" w14:paraId="695B9279" w14:textId="77777777" w:rsidTr="009A4177">
        <w:trPr>
          <w:trHeight w:val="684"/>
          <w:tblHeader/>
          <w:jc w:val="center"/>
        </w:trPr>
        <w:tc>
          <w:tcPr>
            <w:tcW w:w="1168" w:type="pct"/>
            <w:tcBorders>
              <w:bottom w:val="single" w:sz="4" w:space="0" w:color="17365D"/>
            </w:tcBorders>
            <w:shd w:val="clear" w:color="auto" w:fill="B9CDE5"/>
            <w:vAlign w:val="center"/>
            <w:hideMark/>
          </w:tcPr>
          <w:p w14:paraId="520CD1A2" w14:textId="331733F5" w:rsidR="0026661F" w:rsidRPr="00A27896" w:rsidRDefault="007611AA" w:rsidP="00E02665">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84" w:type="pct"/>
            <w:tcBorders>
              <w:bottom w:val="single" w:sz="4" w:space="0" w:color="17365D"/>
            </w:tcBorders>
            <w:shd w:val="clear" w:color="auto" w:fill="B9CDE5"/>
            <w:vAlign w:val="center"/>
            <w:hideMark/>
          </w:tcPr>
          <w:p w14:paraId="50D306CC"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803" w:type="pct"/>
            <w:tcBorders>
              <w:bottom w:val="single" w:sz="4" w:space="0" w:color="17365D"/>
            </w:tcBorders>
            <w:shd w:val="clear" w:color="auto" w:fill="B9CDE5"/>
            <w:vAlign w:val="center"/>
            <w:hideMark/>
          </w:tcPr>
          <w:p w14:paraId="4AB89CDF"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77" w:type="pct"/>
            <w:tcBorders>
              <w:bottom w:val="single" w:sz="4" w:space="0" w:color="17365D"/>
            </w:tcBorders>
            <w:shd w:val="clear" w:color="auto" w:fill="B9CDE5"/>
            <w:vAlign w:val="center"/>
            <w:hideMark/>
          </w:tcPr>
          <w:p w14:paraId="2766EBE8"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30" w:type="pct"/>
            <w:tcBorders>
              <w:bottom w:val="single" w:sz="4" w:space="0" w:color="17365D"/>
            </w:tcBorders>
            <w:shd w:val="clear" w:color="auto" w:fill="B9CDE5"/>
            <w:vAlign w:val="center"/>
            <w:hideMark/>
          </w:tcPr>
          <w:p w14:paraId="3274F567" w14:textId="008AE558"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837" w:type="pct"/>
            <w:tcBorders>
              <w:bottom w:val="single" w:sz="4" w:space="0" w:color="17365D"/>
            </w:tcBorders>
            <w:shd w:val="clear" w:color="auto" w:fill="B9CDE5"/>
            <w:vAlign w:val="center"/>
            <w:hideMark/>
          </w:tcPr>
          <w:p w14:paraId="4BF74D41"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78AE0FD8" w14:textId="77777777" w:rsidTr="00547166">
        <w:trPr>
          <w:trHeight w:val="206"/>
          <w:jc w:val="center"/>
        </w:trPr>
        <w:tc>
          <w:tcPr>
            <w:tcW w:w="1168" w:type="pct"/>
            <w:tcBorders>
              <w:top w:val="single" w:sz="4" w:space="0" w:color="17365D"/>
              <w:bottom w:val="single" w:sz="4" w:space="0" w:color="17365D"/>
            </w:tcBorders>
            <w:shd w:val="clear" w:color="auto" w:fill="auto"/>
            <w:vAlign w:val="center"/>
            <w:hideMark/>
          </w:tcPr>
          <w:p w14:paraId="790F2051"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584" w:type="pct"/>
            <w:tcBorders>
              <w:top w:val="single" w:sz="4" w:space="0" w:color="17365D"/>
              <w:bottom w:val="single" w:sz="4" w:space="0" w:color="17365D"/>
            </w:tcBorders>
            <w:shd w:val="clear" w:color="auto" w:fill="auto"/>
            <w:vAlign w:val="center"/>
            <w:hideMark/>
          </w:tcPr>
          <w:p w14:paraId="5457C700"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803" w:type="pct"/>
            <w:tcBorders>
              <w:top w:val="single" w:sz="4" w:space="0" w:color="17365D"/>
              <w:bottom w:val="single" w:sz="4" w:space="0" w:color="17365D"/>
            </w:tcBorders>
            <w:shd w:val="clear" w:color="auto" w:fill="auto"/>
            <w:vAlign w:val="center"/>
            <w:hideMark/>
          </w:tcPr>
          <w:p w14:paraId="467A2357"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77" w:type="pct"/>
            <w:tcBorders>
              <w:top w:val="single" w:sz="4" w:space="0" w:color="17365D"/>
              <w:bottom w:val="single" w:sz="4" w:space="0" w:color="17365D"/>
            </w:tcBorders>
            <w:shd w:val="clear" w:color="auto" w:fill="auto"/>
            <w:vAlign w:val="center"/>
            <w:hideMark/>
          </w:tcPr>
          <w:p w14:paraId="56AAA05D"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30" w:type="pct"/>
            <w:tcBorders>
              <w:top w:val="single" w:sz="4" w:space="0" w:color="17365D"/>
              <w:bottom w:val="single" w:sz="4" w:space="0" w:color="17365D"/>
            </w:tcBorders>
            <w:shd w:val="clear" w:color="auto" w:fill="auto"/>
            <w:vAlign w:val="center"/>
            <w:hideMark/>
          </w:tcPr>
          <w:p w14:paraId="6AD6EEDE"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837" w:type="pct"/>
            <w:tcBorders>
              <w:top w:val="single" w:sz="4" w:space="0" w:color="17365D"/>
              <w:bottom w:val="single" w:sz="4" w:space="0" w:color="17365D"/>
            </w:tcBorders>
            <w:shd w:val="clear" w:color="auto" w:fill="auto"/>
            <w:vAlign w:val="center"/>
            <w:hideMark/>
          </w:tcPr>
          <w:p w14:paraId="5296A7BE"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007B54" w:rsidRPr="00A27896" w14:paraId="348BD6F8" w14:textId="77777777" w:rsidTr="00547166">
        <w:trPr>
          <w:trHeight w:val="179"/>
          <w:jc w:val="center"/>
        </w:trPr>
        <w:tc>
          <w:tcPr>
            <w:tcW w:w="1168" w:type="pct"/>
            <w:tcBorders>
              <w:top w:val="single" w:sz="4" w:space="0" w:color="17365D"/>
              <w:bottom w:val="single" w:sz="4" w:space="0" w:color="17365D"/>
            </w:tcBorders>
            <w:shd w:val="clear" w:color="auto" w:fill="auto"/>
            <w:vAlign w:val="center"/>
            <w:hideMark/>
          </w:tcPr>
          <w:p w14:paraId="48A2B9EB" w14:textId="3929CF78" w:rsidR="00007B54" w:rsidRPr="00A27896" w:rsidRDefault="00007B54" w:rsidP="00007B54">
            <w:pPr>
              <w:spacing w:after="0"/>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Uzkrājumi</w:t>
            </w:r>
          </w:p>
        </w:tc>
        <w:tc>
          <w:tcPr>
            <w:tcW w:w="584" w:type="pct"/>
            <w:tcBorders>
              <w:top w:val="single" w:sz="4" w:space="0" w:color="17365D"/>
              <w:bottom w:val="single" w:sz="4" w:space="0" w:color="17365D"/>
            </w:tcBorders>
            <w:shd w:val="clear" w:color="auto" w:fill="auto"/>
            <w:vAlign w:val="center"/>
            <w:hideMark/>
          </w:tcPr>
          <w:p w14:paraId="25C34E4E" w14:textId="746A1907" w:rsidR="00007B54" w:rsidRPr="00A27896" w:rsidRDefault="00007B54" w:rsidP="00007B5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KB.4.</w:t>
            </w:r>
          </w:p>
        </w:tc>
        <w:tc>
          <w:tcPr>
            <w:tcW w:w="803" w:type="pct"/>
            <w:tcBorders>
              <w:top w:val="single" w:sz="4" w:space="0" w:color="17365D"/>
              <w:left w:val="nil"/>
              <w:bottom w:val="single" w:sz="4" w:space="0" w:color="17365D"/>
              <w:right w:val="nil"/>
            </w:tcBorders>
            <w:shd w:val="clear" w:color="auto" w:fill="auto"/>
            <w:noWrap/>
            <w:vAlign w:val="center"/>
            <w:hideMark/>
          </w:tcPr>
          <w:p w14:paraId="509FC952" w14:textId="56CD265B" w:rsidR="00007B54" w:rsidRPr="00907350" w:rsidRDefault="00007B54" w:rsidP="00007B54">
            <w:pPr>
              <w:spacing w:after="0" w:line="240" w:lineRule="auto"/>
              <w:jc w:val="right"/>
              <w:rPr>
                <w:rFonts w:eastAsia="Times New Roman" w:cs="Times New Roman"/>
                <w:b/>
                <w:color w:val="17365D"/>
                <w:sz w:val="18"/>
                <w:szCs w:val="18"/>
                <w:highlight w:val="yellow"/>
                <w:lang w:eastAsia="lv-LV"/>
              </w:rPr>
            </w:pPr>
            <w:r>
              <w:rPr>
                <w:b/>
                <w:bCs/>
                <w:color w:val="17365D"/>
                <w:sz w:val="18"/>
                <w:szCs w:val="18"/>
              </w:rPr>
              <w:t>3 564 512 158</w:t>
            </w:r>
          </w:p>
        </w:tc>
        <w:tc>
          <w:tcPr>
            <w:tcW w:w="877" w:type="pct"/>
            <w:tcBorders>
              <w:top w:val="single" w:sz="4" w:space="0" w:color="17365D"/>
              <w:left w:val="nil"/>
              <w:bottom w:val="single" w:sz="4" w:space="0" w:color="17365D"/>
              <w:right w:val="nil"/>
            </w:tcBorders>
            <w:shd w:val="clear" w:color="auto" w:fill="auto"/>
            <w:noWrap/>
            <w:vAlign w:val="center"/>
            <w:hideMark/>
          </w:tcPr>
          <w:p w14:paraId="1CFB3777" w14:textId="3834F32C" w:rsidR="00007B54" w:rsidRPr="00F04FAF" w:rsidRDefault="00007B54" w:rsidP="00007B54">
            <w:pPr>
              <w:spacing w:after="0" w:line="240" w:lineRule="auto"/>
              <w:jc w:val="right"/>
              <w:rPr>
                <w:b/>
                <w:bCs/>
                <w:color w:val="17365D"/>
                <w:sz w:val="18"/>
                <w:szCs w:val="18"/>
              </w:rPr>
            </w:pPr>
            <w:r w:rsidRPr="00F04FAF">
              <w:rPr>
                <w:b/>
                <w:bCs/>
                <w:color w:val="17365D"/>
                <w:sz w:val="18"/>
                <w:szCs w:val="18"/>
              </w:rPr>
              <w:t>2</w:t>
            </w:r>
            <w:r w:rsidR="00F04FAF" w:rsidRPr="00F04FAF">
              <w:rPr>
                <w:b/>
                <w:bCs/>
                <w:color w:val="17365D"/>
                <w:sz w:val="18"/>
                <w:szCs w:val="18"/>
              </w:rPr>
              <w:t> </w:t>
            </w:r>
            <w:r w:rsidRPr="00F04FAF">
              <w:rPr>
                <w:b/>
                <w:bCs/>
                <w:color w:val="17365D"/>
                <w:sz w:val="18"/>
                <w:szCs w:val="18"/>
              </w:rPr>
              <w:t>708</w:t>
            </w:r>
            <w:r w:rsidR="00F04FAF" w:rsidRPr="00F04FAF">
              <w:rPr>
                <w:b/>
                <w:bCs/>
                <w:color w:val="17365D"/>
                <w:sz w:val="18"/>
                <w:szCs w:val="18"/>
              </w:rPr>
              <w:t> </w:t>
            </w:r>
            <w:r w:rsidRPr="00F04FAF">
              <w:rPr>
                <w:b/>
                <w:bCs/>
                <w:color w:val="17365D"/>
                <w:sz w:val="18"/>
                <w:szCs w:val="18"/>
              </w:rPr>
              <w:t>347</w:t>
            </w:r>
            <w:r w:rsidR="00F04FAF" w:rsidRPr="00F04FAF">
              <w:rPr>
                <w:b/>
                <w:bCs/>
                <w:color w:val="17365D"/>
                <w:sz w:val="18"/>
                <w:szCs w:val="18"/>
              </w:rPr>
              <w:t> </w:t>
            </w:r>
            <w:r w:rsidRPr="00F04FAF">
              <w:rPr>
                <w:b/>
                <w:bCs/>
                <w:color w:val="17365D"/>
                <w:sz w:val="18"/>
                <w:szCs w:val="18"/>
              </w:rPr>
              <w:t>541</w:t>
            </w:r>
          </w:p>
        </w:tc>
        <w:tc>
          <w:tcPr>
            <w:tcW w:w="730" w:type="pct"/>
            <w:tcBorders>
              <w:top w:val="single" w:sz="4" w:space="0" w:color="17365D"/>
              <w:left w:val="nil"/>
              <w:bottom w:val="single" w:sz="4" w:space="0" w:color="17365D"/>
              <w:right w:val="nil"/>
            </w:tcBorders>
            <w:shd w:val="clear" w:color="auto" w:fill="auto"/>
            <w:noWrap/>
            <w:vAlign w:val="center"/>
            <w:hideMark/>
          </w:tcPr>
          <w:p w14:paraId="6C8BA08D" w14:textId="46D2869C" w:rsidR="00007B54" w:rsidRPr="00907350" w:rsidRDefault="00007B54" w:rsidP="00007B54">
            <w:pPr>
              <w:spacing w:after="0" w:line="240" w:lineRule="auto"/>
              <w:jc w:val="right"/>
              <w:rPr>
                <w:rFonts w:eastAsia="Times New Roman" w:cs="Times New Roman"/>
                <w:b/>
                <w:color w:val="17365D"/>
                <w:sz w:val="18"/>
                <w:szCs w:val="18"/>
                <w:highlight w:val="yellow"/>
                <w:lang w:eastAsia="lv-LV"/>
              </w:rPr>
            </w:pPr>
            <w:r>
              <w:rPr>
                <w:b/>
                <w:bCs/>
                <w:color w:val="17365D"/>
                <w:sz w:val="18"/>
                <w:szCs w:val="18"/>
              </w:rPr>
              <w:t>856 164 617</w:t>
            </w:r>
          </w:p>
        </w:tc>
        <w:tc>
          <w:tcPr>
            <w:tcW w:w="837" w:type="pct"/>
            <w:tcBorders>
              <w:top w:val="single" w:sz="4" w:space="0" w:color="17365D"/>
              <w:left w:val="nil"/>
              <w:bottom w:val="single" w:sz="4" w:space="0" w:color="17365D"/>
              <w:right w:val="nil"/>
            </w:tcBorders>
            <w:shd w:val="clear" w:color="auto" w:fill="auto"/>
            <w:noWrap/>
            <w:vAlign w:val="center"/>
            <w:hideMark/>
          </w:tcPr>
          <w:p w14:paraId="439B36A3" w14:textId="594CE4B4" w:rsidR="00007B54" w:rsidRPr="00907350" w:rsidRDefault="00007B54" w:rsidP="00007B54">
            <w:pPr>
              <w:spacing w:after="0" w:line="240" w:lineRule="auto"/>
              <w:jc w:val="right"/>
              <w:rPr>
                <w:rFonts w:cs="Times New Roman"/>
                <w:b/>
                <w:color w:val="17365D"/>
                <w:sz w:val="18"/>
                <w:szCs w:val="18"/>
                <w:highlight w:val="yellow"/>
              </w:rPr>
            </w:pPr>
            <w:r>
              <w:rPr>
                <w:b/>
                <w:bCs/>
                <w:color w:val="17365D"/>
                <w:sz w:val="18"/>
                <w:szCs w:val="18"/>
              </w:rPr>
              <w:t>31.61</w:t>
            </w:r>
          </w:p>
        </w:tc>
      </w:tr>
      <w:tr w:rsidR="000C1009" w:rsidRPr="00A27896" w14:paraId="01372362" w14:textId="77777777" w:rsidTr="00547166">
        <w:trPr>
          <w:trHeight w:val="56"/>
          <w:jc w:val="center"/>
        </w:trPr>
        <w:tc>
          <w:tcPr>
            <w:tcW w:w="1168" w:type="pct"/>
            <w:tcBorders>
              <w:top w:val="single" w:sz="4" w:space="0" w:color="17365D"/>
            </w:tcBorders>
            <w:shd w:val="clear" w:color="auto" w:fill="B9CDE5"/>
            <w:vAlign w:val="center"/>
          </w:tcPr>
          <w:p w14:paraId="73C2B411" w14:textId="77777777" w:rsidR="005F2FCB" w:rsidRPr="00A27896" w:rsidRDefault="005F2FCB" w:rsidP="005F2FCB">
            <w:pPr>
              <w:spacing w:after="0"/>
              <w:rPr>
                <w:rFonts w:eastAsia="Times New Roman" w:cs="Times New Roman"/>
                <w:color w:val="17365D"/>
                <w:sz w:val="18"/>
                <w:szCs w:val="18"/>
                <w:lang w:eastAsia="lv-LV"/>
              </w:rPr>
            </w:pPr>
          </w:p>
        </w:tc>
        <w:tc>
          <w:tcPr>
            <w:tcW w:w="584" w:type="pct"/>
            <w:tcBorders>
              <w:top w:val="single" w:sz="4" w:space="0" w:color="17365D"/>
            </w:tcBorders>
            <w:shd w:val="clear" w:color="auto" w:fill="B9CDE5"/>
            <w:noWrap/>
            <w:vAlign w:val="center"/>
          </w:tcPr>
          <w:p w14:paraId="0F82F76D" w14:textId="77777777" w:rsidR="005F2FCB" w:rsidRPr="00A27896" w:rsidRDefault="005F2FCB" w:rsidP="005F2FCB">
            <w:pPr>
              <w:spacing w:after="0"/>
              <w:jc w:val="center"/>
              <w:rPr>
                <w:rFonts w:eastAsia="Times New Roman" w:cs="Times New Roman"/>
                <w:color w:val="17365D"/>
                <w:sz w:val="18"/>
                <w:szCs w:val="18"/>
                <w:lang w:eastAsia="lv-LV"/>
              </w:rPr>
            </w:pPr>
          </w:p>
        </w:tc>
        <w:tc>
          <w:tcPr>
            <w:tcW w:w="803" w:type="pct"/>
            <w:tcBorders>
              <w:top w:val="single" w:sz="4" w:space="0" w:color="17365D"/>
            </w:tcBorders>
            <w:shd w:val="clear" w:color="auto" w:fill="B9CDE5"/>
            <w:noWrap/>
            <w:vAlign w:val="center"/>
          </w:tcPr>
          <w:p w14:paraId="2E5ABED4" w14:textId="77777777" w:rsidR="005F2FCB" w:rsidRPr="00A27896" w:rsidRDefault="005F2FCB" w:rsidP="005F2FCB">
            <w:pPr>
              <w:spacing w:after="0"/>
              <w:jc w:val="right"/>
              <w:rPr>
                <w:rFonts w:eastAsia="Times New Roman" w:cs="Times New Roman"/>
                <w:color w:val="17365D"/>
                <w:sz w:val="18"/>
                <w:szCs w:val="18"/>
                <w:lang w:eastAsia="lv-LV"/>
              </w:rPr>
            </w:pPr>
          </w:p>
        </w:tc>
        <w:tc>
          <w:tcPr>
            <w:tcW w:w="877" w:type="pct"/>
            <w:tcBorders>
              <w:top w:val="single" w:sz="4" w:space="0" w:color="17365D"/>
            </w:tcBorders>
            <w:shd w:val="clear" w:color="auto" w:fill="B9CDE5"/>
            <w:noWrap/>
            <w:vAlign w:val="center"/>
          </w:tcPr>
          <w:p w14:paraId="6A57A7A0" w14:textId="77777777" w:rsidR="005F2FCB" w:rsidRPr="00A27896" w:rsidRDefault="005F2FCB" w:rsidP="005F2FCB">
            <w:pPr>
              <w:spacing w:after="0"/>
              <w:jc w:val="right"/>
              <w:rPr>
                <w:rFonts w:eastAsia="Times New Roman" w:cs="Times New Roman"/>
                <w:color w:val="17365D"/>
                <w:sz w:val="18"/>
                <w:szCs w:val="18"/>
                <w:lang w:eastAsia="lv-LV"/>
              </w:rPr>
            </w:pPr>
          </w:p>
        </w:tc>
        <w:tc>
          <w:tcPr>
            <w:tcW w:w="730" w:type="pct"/>
            <w:tcBorders>
              <w:top w:val="single" w:sz="4" w:space="0" w:color="17365D"/>
            </w:tcBorders>
            <w:shd w:val="clear" w:color="auto" w:fill="B9CDE5"/>
            <w:noWrap/>
            <w:vAlign w:val="center"/>
          </w:tcPr>
          <w:p w14:paraId="3FC69272" w14:textId="77777777" w:rsidR="005F2FCB" w:rsidRPr="00A27896" w:rsidRDefault="005F2FCB" w:rsidP="005F2FCB">
            <w:pPr>
              <w:spacing w:after="0"/>
              <w:jc w:val="right"/>
              <w:rPr>
                <w:rFonts w:eastAsia="Times New Roman" w:cs="Times New Roman"/>
                <w:color w:val="17365D"/>
                <w:sz w:val="18"/>
                <w:szCs w:val="18"/>
                <w:lang w:eastAsia="lv-LV"/>
              </w:rPr>
            </w:pPr>
          </w:p>
        </w:tc>
        <w:tc>
          <w:tcPr>
            <w:tcW w:w="837" w:type="pct"/>
            <w:tcBorders>
              <w:top w:val="single" w:sz="4" w:space="0" w:color="17365D"/>
            </w:tcBorders>
            <w:shd w:val="clear" w:color="auto" w:fill="B9CDE5"/>
            <w:noWrap/>
            <w:vAlign w:val="center"/>
          </w:tcPr>
          <w:p w14:paraId="3FECF9C7" w14:textId="77777777" w:rsidR="005F2FCB" w:rsidRPr="00A27896" w:rsidRDefault="005F2FCB" w:rsidP="005F2FCB">
            <w:pPr>
              <w:spacing w:after="0"/>
              <w:jc w:val="right"/>
              <w:rPr>
                <w:rFonts w:eastAsia="Times New Roman" w:cs="Times New Roman"/>
                <w:color w:val="17365D"/>
                <w:sz w:val="18"/>
                <w:szCs w:val="18"/>
                <w:lang w:eastAsia="lv-LV"/>
              </w:rPr>
            </w:pPr>
          </w:p>
        </w:tc>
      </w:tr>
    </w:tbl>
    <w:p w14:paraId="08932014" w14:textId="77777777" w:rsidR="0079522F" w:rsidRDefault="0079522F" w:rsidP="0079522F">
      <w:pPr>
        <w:pStyle w:val="Pamatteksts1"/>
      </w:pPr>
    </w:p>
    <w:p w14:paraId="11C36CCA" w14:textId="369EE3BA" w:rsidR="00007B54" w:rsidRPr="00007B54" w:rsidRDefault="00007B54" w:rsidP="0079522F">
      <w:pPr>
        <w:pStyle w:val="Pamatteksts1"/>
      </w:pPr>
      <w:r w:rsidRPr="00007B54">
        <w:lastRenderedPageBreak/>
        <w:t>Būtiskākās šī posteņa izmaiņas pārskata gadā</w:t>
      </w:r>
      <w:r w:rsidR="00BA7ADB">
        <w:t xml:space="preserve"> veidojas saistībā ar izmaiņām uzkrājumu izdienas pensijām un pabalstiem vērtībā</w:t>
      </w:r>
      <w:r w:rsidRPr="00007B54">
        <w:t>:</w:t>
      </w:r>
    </w:p>
    <w:p w14:paraId="3911F658" w14:textId="64F02D4F" w:rsidR="00007B54" w:rsidRPr="00007B54" w:rsidRDefault="00007B54" w:rsidP="002A2F6E">
      <w:pPr>
        <w:pStyle w:val="Bullets"/>
      </w:pPr>
      <w:r w:rsidRPr="00007B54">
        <w:t xml:space="preserve">Aizsardzības ministrijai </w:t>
      </w:r>
      <w:r>
        <w:t>635,3 milj.</w:t>
      </w:r>
      <w:r w:rsidR="00E24982">
        <w:t xml:space="preserve"> </w:t>
      </w:r>
      <w:proofErr w:type="spellStart"/>
      <w:r w:rsidRPr="00007B54">
        <w:rPr>
          <w:i/>
          <w:iCs/>
        </w:rPr>
        <w:t>euro</w:t>
      </w:r>
      <w:proofErr w:type="spellEnd"/>
      <w:r>
        <w:t xml:space="preserve"> apmērā;</w:t>
      </w:r>
      <w:r w:rsidRPr="00007B54">
        <w:tab/>
        <w:t xml:space="preserve"> </w:t>
      </w:r>
    </w:p>
    <w:p w14:paraId="0124682F" w14:textId="42170407" w:rsidR="00007B54" w:rsidRPr="00007B54" w:rsidRDefault="00007B54" w:rsidP="002A2F6E">
      <w:pPr>
        <w:pStyle w:val="Bullets"/>
      </w:pPr>
      <w:proofErr w:type="spellStart"/>
      <w:r w:rsidRPr="00007B54">
        <w:t>Iekšlietu</w:t>
      </w:r>
      <w:proofErr w:type="spellEnd"/>
      <w:r w:rsidRPr="00007B54">
        <w:t xml:space="preserve"> ministrijai </w:t>
      </w:r>
      <w:r>
        <w:t>143,4 milj.</w:t>
      </w:r>
      <w:r w:rsidRPr="00007B54">
        <w:t xml:space="preserve"> </w:t>
      </w:r>
      <w:proofErr w:type="spellStart"/>
      <w:r w:rsidRPr="00007B54">
        <w:rPr>
          <w:i/>
          <w:iCs/>
        </w:rPr>
        <w:t>euro</w:t>
      </w:r>
      <w:proofErr w:type="spellEnd"/>
      <w:r w:rsidRPr="00007B54">
        <w:t xml:space="preserve"> apmērā</w:t>
      </w:r>
      <w:r>
        <w:t>;</w:t>
      </w:r>
      <w:r w:rsidRPr="00007B54">
        <w:tab/>
        <w:t xml:space="preserve"> </w:t>
      </w:r>
    </w:p>
    <w:p w14:paraId="75DCAB0D" w14:textId="0CE29444" w:rsidR="00007B54" w:rsidRPr="00007B54" w:rsidRDefault="00007B54" w:rsidP="002A2F6E">
      <w:pPr>
        <w:pStyle w:val="Bullets"/>
      </w:pPr>
      <w:r w:rsidRPr="00007B54">
        <w:t xml:space="preserve">Labklājības ministrijai </w:t>
      </w:r>
      <w:r w:rsidR="00BA7ADB">
        <w:t>110,7</w:t>
      </w:r>
      <w:r>
        <w:t xml:space="preserve"> milj. </w:t>
      </w:r>
      <w:proofErr w:type="spellStart"/>
      <w:r w:rsidRPr="00007B54">
        <w:rPr>
          <w:i/>
          <w:iCs/>
        </w:rPr>
        <w:t>euro</w:t>
      </w:r>
      <w:proofErr w:type="spellEnd"/>
      <w:r>
        <w:t xml:space="preserve"> apmērā.</w:t>
      </w:r>
    </w:p>
    <w:p w14:paraId="715BCB76" w14:textId="51FBC400" w:rsidR="00FD21C0" w:rsidRDefault="00FD21C0" w:rsidP="00367BEE">
      <w:pPr>
        <w:spacing w:before="120" w:after="120" w:line="240" w:lineRule="auto"/>
        <w:ind w:firstLine="284"/>
        <w:jc w:val="both"/>
        <w:rPr>
          <w:rFonts w:cs="Times New Roman"/>
          <w:bCs/>
          <w:color w:val="17365D"/>
        </w:rPr>
      </w:pPr>
      <w:r w:rsidRPr="001A6DEC">
        <w:rPr>
          <w:rFonts w:cs="Times New Roman"/>
          <w:bCs/>
          <w:color w:val="17365D"/>
        </w:rPr>
        <w:t xml:space="preserve">Pārskata gadā </w:t>
      </w:r>
      <w:r w:rsidR="009121A4" w:rsidRPr="001A6DEC">
        <w:rPr>
          <w:rFonts w:cs="Times New Roman"/>
          <w:bCs/>
          <w:color w:val="17365D"/>
        </w:rPr>
        <w:t xml:space="preserve">izveidoti </w:t>
      </w:r>
      <w:r w:rsidR="001A6DEC">
        <w:rPr>
          <w:rFonts w:cs="Times New Roman"/>
          <w:bCs/>
          <w:color w:val="17365D"/>
        </w:rPr>
        <w:t xml:space="preserve">un diskontēšanas rezultātā palielināti </w:t>
      </w:r>
      <w:r w:rsidR="00007B54" w:rsidRPr="001A6DEC">
        <w:rPr>
          <w:rFonts w:cs="Times New Roman"/>
          <w:bCs/>
          <w:color w:val="17365D"/>
        </w:rPr>
        <w:t xml:space="preserve">uzkrājumi </w:t>
      </w:r>
      <w:r w:rsidR="001A6DEC" w:rsidRPr="001A6DEC">
        <w:rPr>
          <w:rFonts w:cs="Times New Roman"/>
          <w:bCs/>
          <w:color w:val="17365D"/>
        </w:rPr>
        <w:t>1 067,8 milj.</w:t>
      </w:r>
      <w:r w:rsidR="0085182C" w:rsidRPr="001A6DEC">
        <w:rPr>
          <w:rFonts w:cs="Times New Roman"/>
          <w:bCs/>
          <w:color w:val="17365D"/>
        </w:rPr>
        <w:t xml:space="preserve"> </w:t>
      </w:r>
      <w:r w:rsidR="009121A4" w:rsidRPr="001A6DEC">
        <w:rPr>
          <w:rFonts w:cs="Times New Roman"/>
          <w:bCs/>
          <w:i/>
          <w:color w:val="17365D"/>
        </w:rPr>
        <w:t>euro</w:t>
      </w:r>
      <w:r w:rsidR="009121A4" w:rsidRPr="001A6DEC">
        <w:rPr>
          <w:rFonts w:cs="Times New Roman"/>
          <w:bCs/>
          <w:color w:val="17365D"/>
        </w:rPr>
        <w:t xml:space="preserve"> vērtībā, tai skaitā tiesvedībām –</w:t>
      </w:r>
      <w:r w:rsidR="008930E9" w:rsidRPr="001A6DEC">
        <w:rPr>
          <w:rFonts w:cs="Times New Roman"/>
          <w:color w:val="17365D"/>
        </w:rPr>
        <w:t xml:space="preserve"> </w:t>
      </w:r>
      <w:r w:rsidR="001A6DEC" w:rsidRPr="001A6DEC">
        <w:rPr>
          <w:rFonts w:cs="Times New Roman"/>
          <w:bCs/>
          <w:color w:val="17365D"/>
        </w:rPr>
        <w:t>5,9 milj.</w:t>
      </w:r>
      <w:r w:rsidR="0085182C" w:rsidRPr="001A6DEC">
        <w:rPr>
          <w:rFonts w:cs="Times New Roman"/>
          <w:bCs/>
          <w:color w:val="17365D"/>
        </w:rPr>
        <w:t xml:space="preserve"> </w:t>
      </w:r>
      <w:r w:rsidR="009121A4" w:rsidRPr="001A6DEC">
        <w:rPr>
          <w:rFonts w:cs="Times New Roman"/>
          <w:bCs/>
          <w:i/>
          <w:color w:val="17365D"/>
        </w:rPr>
        <w:t>euro</w:t>
      </w:r>
      <w:r w:rsidR="009121A4" w:rsidRPr="001A6DEC">
        <w:rPr>
          <w:rFonts w:cs="Times New Roman"/>
          <w:bCs/>
          <w:color w:val="17365D"/>
        </w:rPr>
        <w:t xml:space="preserve"> vērtībā, </w:t>
      </w:r>
      <w:r w:rsidRPr="001A6DEC">
        <w:rPr>
          <w:rFonts w:cs="Times New Roman"/>
          <w:bCs/>
          <w:color w:val="17365D"/>
        </w:rPr>
        <w:t>norakstīti iepriekšējos pārskata gados atzītie uzkrājumi</w:t>
      </w:r>
      <w:r w:rsidR="001A6DEC" w:rsidRPr="001A6DEC">
        <w:rPr>
          <w:rFonts w:cs="Times New Roman"/>
          <w:bCs/>
          <w:color w:val="17365D"/>
        </w:rPr>
        <w:t xml:space="preserve"> </w:t>
      </w:r>
      <w:r w:rsidR="0085182C" w:rsidRPr="001A6DEC">
        <w:rPr>
          <w:rFonts w:cs="Times New Roman"/>
          <w:bCs/>
          <w:color w:val="17365D"/>
        </w:rPr>
        <w:t>(</w:t>
      </w:r>
      <w:r w:rsidR="001A6DEC" w:rsidRPr="001A6DEC">
        <w:rPr>
          <w:rFonts w:cs="Times New Roman"/>
          <w:bCs/>
          <w:color w:val="17365D"/>
        </w:rPr>
        <w:t>72,2</w:t>
      </w:r>
      <w:r w:rsidR="0085182C" w:rsidRPr="001A6DEC">
        <w:rPr>
          <w:rFonts w:cs="Times New Roman"/>
          <w:bCs/>
          <w:color w:val="17365D"/>
        </w:rPr>
        <w:t xml:space="preserve">) </w:t>
      </w:r>
      <w:r w:rsidR="001A6DEC" w:rsidRPr="001A6DEC">
        <w:rPr>
          <w:rFonts w:cs="Times New Roman"/>
          <w:bCs/>
          <w:color w:val="17365D"/>
        </w:rPr>
        <w:t>milj.</w:t>
      </w:r>
      <w:r w:rsidR="00E24982">
        <w:rPr>
          <w:rFonts w:cs="Times New Roman"/>
          <w:bCs/>
          <w:color w:val="17365D"/>
        </w:rPr>
        <w:t xml:space="preserve"> </w:t>
      </w:r>
      <w:r w:rsidRPr="001A6DEC">
        <w:rPr>
          <w:rFonts w:cs="Times New Roman"/>
          <w:bCs/>
          <w:i/>
          <w:color w:val="17365D"/>
        </w:rPr>
        <w:t>euro</w:t>
      </w:r>
      <w:r w:rsidRPr="001A6DEC">
        <w:rPr>
          <w:rFonts w:cs="Times New Roman"/>
          <w:bCs/>
          <w:color w:val="17365D"/>
        </w:rPr>
        <w:t xml:space="preserve"> vērtībā, tai skaitā tiesvedībām </w:t>
      </w:r>
      <w:r w:rsidR="0085182C" w:rsidRPr="001A6DEC">
        <w:rPr>
          <w:rFonts w:cs="Times New Roman"/>
          <w:bCs/>
          <w:color w:val="17365D"/>
        </w:rPr>
        <w:t>(</w:t>
      </w:r>
      <w:r w:rsidR="001A6DEC" w:rsidRPr="001A6DEC">
        <w:rPr>
          <w:rFonts w:cs="Times New Roman"/>
          <w:bCs/>
          <w:color w:val="17365D"/>
        </w:rPr>
        <w:t>0,3</w:t>
      </w:r>
      <w:r w:rsidR="0085182C" w:rsidRPr="001A6DEC">
        <w:rPr>
          <w:rFonts w:cs="Times New Roman"/>
          <w:bCs/>
          <w:color w:val="17365D"/>
        </w:rPr>
        <w:t>)</w:t>
      </w:r>
      <w:r w:rsidR="001A6DEC" w:rsidRPr="001A6DEC">
        <w:rPr>
          <w:rFonts w:cs="Times New Roman"/>
          <w:bCs/>
          <w:color w:val="17365D"/>
        </w:rPr>
        <w:t xml:space="preserve"> milj.</w:t>
      </w:r>
      <w:r w:rsidR="0085182C" w:rsidRPr="001A6DEC">
        <w:rPr>
          <w:rFonts w:cs="Times New Roman"/>
          <w:bCs/>
          <w:color w:val="17365D"/>
        </w:rPr>
        <w:t xml:space="preserve"> </w:t>
      </w:r>
      <w:r w:rsidRPr="001A6DEC">
        <w:rPr>
          <w:rFonts w:cs="Times New Roman"/>
          <w:bCs/>
          <w:i/>
          <w:color w:val="17365D"/>
        </w:rPr>
        <w:t>euro</w:t>
      </w:r>
      <w:r w:rsidR="00C054D4" w:rsidRPr="001A6DEC">
        <w:rPr>
          <w:rFonts w:cs="Times New Roman"/>
          <w:bCs/>
          <w:color w:val="17365D"/>
        </w:rPr>
        <w:t>, uzkrājumu summa, kas izmantota saistību atzīšanai</w:t>
      </w:r>
      <w:r w:rsidRPr="001A6DEC">
        <w:rPr>
          <w:rFonts w:cs="Times New Roman"/>
          <w:bCs/>
          <w:color w:val="17365D"/>
        </w:rPr>
        <w:t xml:space="preserve"> </w:t>
      </w:r>
      <w:r w:rsidR="00C054D4" w:rsidRPr="001A6DEC">
        <w:rPr>
          <w:rFonts w:cs="Times New Roman"/>
          <w:bCs/>
          <w:color w:val="17365D"/>
        </w:rPr>
        <w:t xml:space="preserve">pārskata gadā, ir </w:t>
      </w:r>
      <w:r w:rsidR="0085182C" w:rsidRPr="001A6DEC">
        <w:rPr>
          <w:rFonts w:cs="Times New Roman"/>
          <w:bCs/>
          <w:color w:val="17365D"/>
        </w:rPr>
        <w:t>(</w:t>
      </w:r>
      <w:r w:rsidR="001A6DEC" w:rsidRPr="001A6DEC">
        <w:rPr>
          <w:rFonts w:cs="Times New Roman"/>
          <w:bCs/>
          <w:color w:val="17365D"/>
        </w:rPr>
        <w:t>139,4</w:t>
      </w:r>
      <w:r w:rsidR="0085182C" w:rsidRPr="001A6DEC">
        <w:rPr>
          <w:rFonts w:cs="Times New Roman"/>
          <w:bCs/>
          <w:color w:val="17365D"/>
        </w:rPr>
        <w:t xml:space="preserve">) </w:t>
      </w:r>
      <w:r w:rsidR="001A6DEC" w:rsidRPr="001A6DEC">
        <w:rPr>
          <w:rFonts w:cs="Times New Roman"/>
          <w:bCs/>
          <w:color w:val="17365D"/>
        </w:rPr>
        <w:t>milj.</w:t>
      </w:r>
      <w:r w:rsidR="00E24982">
        <w:rPr>
          <w:rFonts w:cs="Times New Roman"/>
          <w:bCs/>
          <w:color w:val="17365D"/>
        </w:rPr>
        <w:t xml:space="preserve"> </w:t>
      </w:r>
      <w:r w:rsidR="00C054D4" w:rsidRPr="001A6DEC">
        <w:rPr>
          <w:rFonts w:cs="Times New Roman"/>
          <w:bCs/>
          <w:i/>
          <w:color w:val="17365D"/>
        </w:rPr>
        <w:t>euro</w:t>
      </w:r>
      <w:r w:rsidR="00C054D4" w:rsidRPr="001A6DEC">
        <w:rPr>
          <w:rFonts w:cs="Times New Roman"/>
          <w:bCs/>
          <w:color w:val="17365D"/>
        </w:rPr>
        <w:t>.</w:t>
      </w:r>
    </w:p>
    <w:p w14:paraId="381AE2D0" w14:textId="3D376C93" w:rsidR="00FD2C7A" w:rsidRPr="00A27896" w:rsidRDefault="00377B9A" w:rsidP="008515BB">
      <w:pPr>
        <w:pStyle w:val="Heading3"/>
      </w:pPr>
      <w:r w:rsidRPr="00A27896">
        <w:t>Saistības</w:t>
      </w:r>
    </w:p>
    <w:p w14:paraId="04E7B9F3" w14:textId="1E7DF834" w:rsidR="004214E1" w:rsidRPr="00A27896" w:rsidRDefault="00C67DF1" w:rsidP="007B608A">
      <w:pPr>
        <w:pStyle w:val="Heading4"/>
        <w:spacing w:after="0"/>
        <w:rPr>
          <w:rFonts w:cs="Times New Roman"/>
        </w:rPr>
      </w:pPr>
      <w:r w:rsidRPr="00A27896">
        <w:rPr>
          <w:rFonts w:cs="Times New Roman"/>
        </w:rPr>
        <w:t xml:space="preserve">Piezīme Nr. </w:t>
      </w:r>
      <w:r w:rsidR="00FD2C7A" w:rsidRPr="00A27896">
        <w:rPr>
          <w:rFonts w:cs="Times New Roman"/>
        </w:rPr>
        <w:t>KB.</w:t>
      </w:r>
      <w:r w:rsidR="005F1199" w:rsidRPr="00A27896">
        <w:rPr>
          <w:rFonts w:cs="Times New Roman"/>
        </w:rPr>
        <w:t>5</w:t>
      </w:r>
      <w:r w:rsidR="00FB303F" w:rsidRPr="00A27896">
        <w:rPr>
          <w:rFonts w:cs="Times New Roman"/>
        </w:rPr>
        <w:t>.1</w:t>
      </w:r>
      <w:r w:rsidR="00FD2C7A" w:rsidRPr="00A27896">
        <w:rPr>
          <w:rFonts w:cs="Times New Roman"/>
        </w:rPr>
        <w:t>. Ilgtermiņa saistības</w:t>
      </w:r>
    </w:p>
    <w:p w14:paraId="48D5584C" w14:textId="68108C11" w:rsidR="003E7A47" w:rsidRPr="00A27896" w:rsidRDefault="004105BE" w:rsidP="004105BE">
      <w:pPr>
        <w:pStyle w:val="Tabulasnosaukums1"/>
        <w:spacing w:before="100"/>
        <w:rPr>
          <w:rFonts w:cs="Times New Roman"/>
          <w:i/>
          <w:color w:val="17365D"/>
        </w:rPr>
      </w:pPr>
      <w:r>
        <w:rPr>
          <w:rFonts w:cs="Times New Roman"/>
          <w:i/>
          <w:color w:val="17365D"/>
        </w:rPr>
        <w:t>1.</w:t>
      </w:r>
      <w:r w:rsidR="007B608A">
        <w:rPr>
          <w:rFonts w:cs="Times New Roman"/>
          <w:i/>
          <w:color w:val="17365D"/>
        </w:rPr>
        <w:t>20</w:t>
      </w:r>
      <w:r w:rsidR="003E7A47" w:rsidRPr="00A27896">
        <w:rPr>
          <w:rFonts w:cs="Times New Roman"/>
          <w:i/>
          <w:color w:val="17365D"/>
        </w:rPr>
        <w:t>. tabula</w:t>
      </w:r>
      <w:r w:rsidR="00BF3156" w:rsidRPr="00A27896">
        <w:rPr>
          <w:rFonts w:cs="Times New Roman"/>
          <w:i/>
          <w:color w:val="17365D"/>
        </w:rPr>
        <w:t xml:space="preserve">. Ilgtermiņa saistības </w:t>
      </w:r>
      <w:r w:rsidR="00BF3156" w:rsidRPr="00A27896">
        <w:rPr>
          <w:rFonts w:eastAsia="Times New Roman" w:cs="Times New Roman"/>
          <w:i/>
          <w:color w:val="17365D"/>
          <w:szCs w:val="20"/>
          <w:lang w:eastAsia="lv-LV"/>
        </w:rPr>
        <w:t>(</w:t>
      </w:r>
      <w:r w:rsidR="002B2B21" w:rsidRPr="00A27896">
        <w:rPr>
          <w:rFonts w:eastAsia="Times New Roman" w:cs="Times New Roman"/>
          <w:i/>
          <w:color w:val="17365D"/>
          <w:szCs w:val="20"/>
          <w:lang w:eastAsia="lv-LV"/>
        </w:rPr>
        <w:t>euro</w:t>
      </w:r>
      <w:r w:rsidR="00BF3156" w:rsidRPr="00A27896">
        <w:rPr>
          <w:rFonts w:eastAsia="Times New Roman" w:cs="Times New Roman"/>
          <w:i/>
          <w:color w:val="17365D"/>
          <w:szCs w:val="20"/>
          <w:lang w:eastAsia="lv-LV"/>
        </w:rPr>
        <w:t>)</w:t>
      </w:r>
    </w:p>
    <w:tbl>
      <w:tblPr>
        <w:tblW w:w="5001" w:type="pct"/>
        <w:tblBorders>
          <w:bottom w:val="single" w:sz="4" w:space="0" w:color="012169"/>
          <w:insideH w:val="single" w:sz="4" w:space="0" w:color="012169"/>
        </w:tblBorders>
        <w:tblLayout w:type="fixed"/>
        <w:tblLook w:val="04A0" w:firstRow="1" w:lastRow="0" w:firstColumn="1" w:lastColumn="0" w:noHBand="0" w:noVBand="1"/>
      </w:tblPr>
      <w:tblGrid>
        <w:gridCol w:w="2635"/>
        <w:gridCol w:w="969"/>
        <w:gridCol w:w="1519"/>
        <w:gridCol w:w="1540"/>
        <w:gridCol w:w="1510"/>
        <w:gridCol w:w="1183"/>
      </w:tblGrid>
      <w:tr w:rsidR="000C1009" w:rsidRPr="00A27896" w14:paraId="2401828D" w14:textId="77777777" w:rsidTr="009A4177">
        <w:trPr>
          <w:trHeight w:val="684"/>
          <w:tblHeader/>
        </w:trPr>
        <w:tc>
          <w:tcPr>
            <w:tcW w:w="1408" w:type="pct"/>
            <w:tcBorders>
              <w:top w:val="nil"/>
              <w:bottom w:val="single" w:sz="4" w:space="0" w:color="17365D"/>
            </w:tcBorders>
            <w:shd w:val="clear" w:color="auto" w:fill="B9CDE5"/>
            <w:vAlign w:val="center"/>
            <w:hideMark/>
          </w:tcPr>
          <w:p w14:paraId="3BA93E37" w14:textId="0F601553" w:rsidR="000D713A" w:rsidRPr="00A27896" w:rsidRDefault="007611AA" w:rsidP="000D713A">
            <w:pPr>
              <w:spacing w:after="0"/>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518" w:type="pct"/>
            <w:tcBorders>
              <w:top w:val="nil"/>
              <w:bottom w:val="single" w:sz="4" w:space="0" w:color="17365D"/>
            </w:tcBorders>
            <w:shd w:val="clear" w:color="auto" w:fill="B9CDE5"/>
            <w:vAlign w:val="center"/>
            <w:hideMark/>
          </w:tcPr>
          <w:p w14:paraId="2A1B67D1" w14:textId="77777777" w:rsidR="00CE67E9"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p>
          <w:p w14:paraId="66C49F51" w14:textId="69CE4AE0" w:rsidR="000D713A"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Nr.</w:t>
            </w:r>
          </w:p>
        </w:tc>
        <w:tc>
          <w:tcPr>
            <w:tcW w:w="812" w:type="pct"/>
            <w:tcBorders>
              <w:top w:val="nil"/>
              <w:bottom w:val="single" w:sz="4" w:space="0" w:color="17365D"/>
            </w:tcBorders>
            <w:shd w:val="clear" w:color="auto" w:fill="B9CDE5"/>
            <w:vAlign w:val="center"/>
            <w:hideMark/>
          </w:tcPr>
          <w:p w14:paraId="2020D060"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23" w:type="pct"/>
            <w:tcBorders>
              <w:top w:val="nil"/>
              <w:bottom w:val="single" w:sz="4" w:space="0" w:color="17365D"/>
            </w:tcBorders>
            <w:shd w:val="clear" w:color="auto" w:fill="B9CDE5"/>
            <w:vAlign w:val="center"/>
            <w:hideMark/>
          </w:tcPr>
          <w:p w14:paraId="25E6C692"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807" w:type="pct"/>
            <w:tcBorders>
              <w:top w:val="nil"/>
              <w:bottom w:val="single" w:sz="4" w:space="0" w:color="17365D"/>
            </w:tcBorders>
            <w:shd w:val="clear" w:color="auto" w:fill="B9CDE5"/>
            <w:vAlign w:val="center"/>
            <w:hideMark/>
          </w:tcPr>
          <w:p w14:paraId="3040BAF8" w14:textId="77777777" w:rsidR="00CE67E9"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p>
          <w:p w14:paraId="215CA4C2" w14:textId="1DBAF213" w:rsidR="000D713A"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w:t>
            </w:r>
            <w:r w:rsidR="00402C3D">
              <w:rPr>
                <w:rFonts w:eastAsia="Times New Roman" w:cs="Times New Roman"/>
                <w:b/>
                <w:color w:val="17365D"/>
                <w:sz w:val="18"/>
                <w:szCs w:val="18"/>
                <w:lang w:eastAsia="lv-LV"/>
              </w:rPr>
              <w:t>–)</w:t>
            </w:r>
          </w:p>
        </w:tc>
        <w:tc>
          <w:tcPr>
            <w:tcW w:w="632" w:type="pct"/>
            <w:tcBorders>
              <w:top w:val="nil"/>
              <w:bottom w:val="single" w:sz="4" w:space="0" w:color="17365D"/>
            </w:tcBorders>
            <w:shd w:val="clear" w:color="auto" w:fill="B9CDE5"/>
            <w:vAlign w:val="center"/>
            <w:hideMark/>
          </w:tcPr>
          <w:p w14:paraId="7A297885" w14:textId="77777777" w:rsidR="000D713A" w:rsidRPr="00A27896" w:rsidRDefault="000D713A" w:rsidP="00946D05">
            <w:pPr>
              <w:spacing w:after="0"/>
              <w:ind w:right="-102"/>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41FDF4B3" w14:textId="77777777" w:rsidTr="009A4177">
        <w:trPr>
          <w:trHeight w:val="56"/>
          <w:tblHeader/>
        </w:trPr>
        <w:tc>
          <w:tcPr>
            <w:tcW w:w="1408" w:type="pct"/>
            <w:tcBorders>
              <w:top w:val="single" w:sz="4" w:space="0" w:color="17365D"/>
              <w:bottom w:val="single" w:sz="4" w:space="0" w:color="17365D"/>
            </w:tcBorders>
            <w:shd w:val="clear" w:color="auto" w:fill="auto"/>
            <w:vAlign w:val="center"/>
            <w:hideMark/>
          </w:tcPr>
          <w:p w14:paraId="68FA14FD" w14:textId="77777777" w:rsidR="000D713A" w:rsidRPr="00A27896" w:rsidRDefault="000D713A" w:rsidP="000D713A">
            <w:pPr>
              <w:spacing w:after="0"/>
              <w:jc w:val="center"/>
              <w:rPr>
                <w:rFonts w:eastAsia="Times New Roman" w:cs="Times New Roman"/>
                <w:b/>
                <w:color w:val="17365D"/>
                <w:sz w:val="18"/>
                <w:szCs w:val="18"/>
                <w:highlight w:val="yellow"/>
                <w:lang w:eastAsia="lv-LV"/>
              </w:rPr>
            </w:pPr>
            <w:r w:rsidRPr="00A27896">
              <w:rPr>
                <w:rFonts w:eastAsia="Times New Roman" w:cs="Times New Roman"/>
                <w:b/>
                <w:color w:val="17365D"/>
                <w:sz w:val="18"/>
                <w:szCs w:val="18"/>
                <w:lang w:eastAsia="lv-LV"/>
              </w:rPr>
              <w:t>A</w:t>
            </w:r>
          </w:p>
        </w:tc>
        <w:tc>
          <w:tcPr>
            <w:tcW w:w="518" w:type="pct"/>
            <w:tcBorders>
              <w:top w:val="single" w:sz="4" w:space="0" w:color="17365D"/>
              <w:bottom w:val="single" w:sz="4" w:space="0" w:color="17365D"/>
            </w:tcBorders>
            <w:shd w:val="clear" w:color="auto" w:fill="auto"/>
            <w:vAlign w:val="center"/>
            <w:hideMark/>
          </w:tcPr>
          <w:p w14:paraId="5D042FD6"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812" w:type="pct"/>
            <w:tcBorders>
              <w:top w:val="single" w:sz="4" w:space="0" w:color="17365D"/>
              <w:bottom w:val="single" w:sz="4" w:space="0" w:color="17365D"/>
            </w:tcBorders>
            <w:shd w:val="clear" w:color="auto" w:fill="auto"/>
            <w:vAlign w:val="center"/>
            <w:hideMark/>
          </w:tcPr>
          <w:p w14:paraId="04ABFD3D"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23" w:type="pct"/>
            <w:tcBorders>
              <w:top w:val="single" w:sz="4" w:space="0" w:color="17365D"/>
              <w:bottom w:val="single" w:sz="4" w:space="0" w:color="17365D"/>
            </w:tcBorders>
            <w:shd w:val="clear" w:color="auto" w:fill="auto"/>
            <w:vAlign w:val="center"/>
            <w:hideMark/>
          </w:tcPr>
          <w:p w14:paraId="551EAE21"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807" w:type="pct"/>
            <w:tcBorders>
              <w:top w:val="single" w:sz="4" w:space="0" w:color="17365D"/>
              <w:bottom w:val="single" w:sz="4" w:space="0" w:color="17365D"/>
            </w:tcBorders>
            <w:shd w:val="clear" w:color="auto" w:fill="auto"/>
            <w:vAlign w:val="center"/>
            <w:hideMark/>
          </w:tcPr>
          <w:p w14:paraId="150AFED5"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32" w:type="pct"/>
            <w:tcBorders>
              <w:top w:val="single" w:sz="4" w:space="0" w:color="17365D"/>
              <w:bottom w:val="single" w:sz="4" w:space="0" w:color="17365D"/>
            </w:tcBorders>
            <w:shd w:val="clear" w:color="auto" w:fill="auto"/>
            <w:vAlign w:val="center"/>
            <w:hideMark/>
          </w:tcPr>
          <w:p w14:paraId="61DEF8DC"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024478" w:rsidRPr="00907350" w14:paraId="0A58262E" w14:textId="77777777" w:rsidTr="009A4177">
        <w:trPr>
          <w:trHeight w:val="240"/>
        </w:trPr>
        <w:tc>
          <w:tcPr>
            <w:tcW w:w="1408" w:type="pct"/>
            <w:tcBorders>
              <w:top w:val="single" w:sz="4" w:space="0" w:color="17365D"/>
              <w:bottom w:val="single" w:sz="4" w:space="0" w:color="17365D"/>
            </w:tcBorders>
            <w:shd w:val="clear" w:color="auto" w:fill="auto"/>
            <w:vAlign w:val="center"/>
            <w:hideMark/>
          </w:tcPr>
          <w:p w14:paraId="46A15CA1" w14:textId="44B90C01" w:rsidR="00024478" w:rsidRPr="00A27896" w:rsidRDefault="00024478" w:rsidP="00024478">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Ilgtermiņa saistības </w:t>
            </w:r>
          </w:p>
        </w:tc>
        <w:tc>
          <w:tcPr>
            <w:tcW w:w="518" w:type="pct"/>
            <w:tcBorders>
              <w:top w:val="single" w:sz="4" w:space="0" w:color="17365D"/>
              <w:left w:val="nil"/>
              <w:bottom w:val="single" w:sz="4" w:space="0" w:color="17365D"/>
              <w:right w:val="nil"/>
            </w:tcBorders>
            <w:shd w:val="clear" w:color="auto" w:fill="auto"/>
            <w:vAlign w:val="center"/>
            <w:hideMark/>
          </w:tcPr>
          <w:p w14:paraId="376B7204" w14:textId="4E5023AE" w:rsidR="00024478" w:rsidRPr="00A27896" w:rsidRDefault="00024478" w:rsidP="00024478">
            <w:pPr>
              <w:spacing w:after="0" w:line="240" w:lineRule="auto"/>
              <w:jc w:val="center"/>
              <w:rPr>
                <w:rFonts w:eastAsia="Times New Roman" w:cs="Times New Roman"/>
                <w:b/>
                <w:color w:val="17365D"/>
                <w:sz w:val="18"/>
                <w:szCs w:val="18"/>
                <w:lang w:eastAsia="lv-LV"/>
              </w:rPr>
            </w:pPr>
            <w:r>
              <w:rPr>
                <w:b/>
                <w:bCs/>
                <w:color w:val="17365D"/>
                <w:sz w:val="18"/>
                <w:szCs w:val="18"/>
              </w:rPr>
              <w:t>KB.5.1.</w:t>
            </w:r>
          </w:p>
        </w:tc>
        <w:tc>
          <w:tcPr>
            <w:tcW w:w="812" w:type="pct"/>
            <w:tcBorders>
              <w:top w:val="single" w:sz="4" w:space="0" w:color="17365D"/>
              <w:left w:val="nil"/>
              <w:bottom w:val="single" w:sz="4" w:space="0" w:color="17365D"/>
              <w:right w:val="nil"/>
            </w:tcBorders>
            <w:shd w:val="clear" w:color="auto" w:fill="auto"/>
            <w:vAlign w:val="center"/>
          </w:tcPr>
          <w:p w14:paraId="3001E204" w14:textId="0FC3C2FC" w:rsidR="00024478" w:rsidRPr="00024478" w:rsidRDefault="00024478" w:rsidP="00024478">
            <w:pPr>
              <w:spacing w:after="0" w:line="240" w:lineRule="auto"/>
              <w:jc w:val="right"/>
              <w:rPr>
                <w:b/>
                <w:bCs/>
                <w:color w:val="17365D"/>
                <w:sz w:val="18"/>
                <w:szCs w:val="18"/>
              </w:rPr>
            </w:pPr>
            <w:r w:rsidRPr="00024478">
              <w:rPr>
                <w:b/>
                <w:bCs/>
                <w:color w:val="17365D"/>
                <w:sz w:val="18"/>
                <w:szCs w:val="18"/>
              </w:rPr>
              <w:t>26 335 448 556</w:t>
            </w:r>
          </w:p>
        </w:tc>
        <w:tc>
          <w:tcPr>
            <w:tcW w:w="823" w:type="pct"/>
            <w:tcBorders>
              <w:top w:val="single" w:sz="4" w:space="0" w:color="17365D"/>
              <w:left w:val="nil"/>
              <w:bottom w:val="single" w:sz="4" w:space="0" w:color="17365D"/>
              <w:right w:val="nil"/>
            </w:tcBorders>
            <w:shd w:val="clear" w:color="auto" w:fill="auto"/>
            <w:vAlign w:val="center"/>
          </w:tcPr>
          <w:p w14:paraId="53486FC5" w14:textId="21A66613" w:rsidR="00024478" w:rsidRPr="00024478" w:rsidRDefault="00024478" w:rsidP="00024478">
            <w:pPr>
              <w:spacing w:after="0" w:line="240" w:lineRule="auto"/>
              <w:jc w:val="right"/>
              <w:rPr>
                <w:b/>
                <w:bCs/>
                <w:color w:val="17365D"/>
                <w:sz w:val="18"/>
                <w:szCs w:val="18"/>
              </w:rPr>
            </w:pPr>
            <w:r w:rsidRPr="00024478">
              <w:rPr>
                <w:b/>
                <w:bCs/>
                <w:color w:val="17365D"/>
                <w:sz w:val="18"/>
                <w:szCs w:val="18"/>
              </w:rPr>
              <w:t>23 485 920 134</w:t>
            </w:r>
          </w:p>
        </w:tc>
        <w:tc>
          <w:tcPr>
            <w:tcW w:w="807" w:type="pct"/>
            <w:tcBorders>
              <w:top w:val="single" w:sz="4" w:space="0" w:color="17365D"/>
              <w:left w:val="nil"/>
              <w:bottom w:val="single" w:sz="4" w:space="0" w:color="17365D"/>
              <w:right w:val="nil"/>
            </w:tcBorders>
            <w:shd w:val="clear" w:color="auto" w:fill="auto"/>
            <w:noWrap/>
            <w:vAlign w:val="center"/>
          </w:tcPr>
          <w:p w14:paraId="1CF4BAE0" w14:textId="1FEA30FA" w:rsidR="00024478" w:rsidRPr="00024478" w:rsidRDefault="00024478" w:rsidP="00024478">
            <w:pPr>
              <w:spacing w:after="0" w:line="240" w:lineRule="auto"/>
              <w:jc w:val="right"/>
              <w:rPr>
                <w:b/>
                <w:bCs/>
                <w:color w:val="17365D"/>
                <w:sz w:val="18"/>
                <w:szCs w:val="18"/>
              </w:rPr>
            </w:pPr>
            <w:r w:rsidRPr="00024478">
              <w:rPr>
                <w:b/>
                <w:bCs/>
                <w:color w:val="17365D"/>
                <w:sz w:val="18"/>
                <w:szCs w:val="18"/>
              </w:rPr>
              <w:t>2 849 528 422</w:t>
            </w:r>
          </w:p>
        </w:tc>
        <w:tc>
          <w:tcPr>
            <w:tcW w:w="632" w:type="pct"/>
            <w:tcBorders>
              <w:top w:val="single" w:sz="4" w:space="0" w:color="17365D"/>
              <w:left w:val="nil"/>
              <w:bottom w:val="single" w:sz="4" w:space="0" w:color="17365D"/>
              <w:right w:val="nil"/>
            </w:tcBorders>
            <w:shd w:val="clear" w:color="auto" w:fill="auto"/>
            <w:noWrap/>
            <w:vAlign w:val="center"/>
          </w:tcPr>
          <w:p w14:paraId="73B1E2D6" w14:textId="3760B34B" w:rsidR="00024478" w:rsidRPr="00024478" w:rsidRDefault="00024478" w:rsidP="00024478">
            <w:pPr>
              <w:spacing w:after="0" w:line="240" w:lineRule="auto"/>
              <w:jc w:val="right"/>
              <w:rPr>
                <w:b/>
                <w:bCs/>
                <w:color w:val="17365D"/>
                <w:sz w:val="18"/>
                <w:szCs w:val="18"/>
              </w:rPr>
            </w:pPr>
            <w:r w:rsidRPr="00024478">
              <w:rPr>
                <w:b/>
                <w:bCs/>
                <w:color w:val="17365D"/>
                <w:sz w:val="18"/>
                <w:szCs w:val="18"/>
              </w:rPr>
              <w:t>12.13</w:t>
            </w:r>
          </w:p>
        </w:tc>
      </w:tr>
      <w:tr w:rsidR="001A6DEC" w:rsidRPr="00907350" w14:paraId="136FA23A" w14:textId="77777777" w:rsidTr="009A4177">
        <w:trPr>
          <w:trHeight w:val="240"/>
        </w:trPr>
        <w:tc>
          <w:tcPr>
            <w:tcW w:w="1408" w:type="pct"/>
            <w:tcBorders>
              <w:top w:val="single" w:sz="4" w:space="0" w:color="17365D"/>
              <w:bottom w:val="single" w:sz="4" w:space="0" w:color="17365D"/>
            </w:tcBorders>
            <w:shd w:val="clear" w:color="auto" w:fill="auto"/>
            <w:vAlign w:val="center"/>
            <w:hideMark/>
          </w:tcPr>
          <w:p w14:paraId="72BD5EB1" w14:textId="77777777" w:rsidR="001A6DEC" w:rsidRPr="00A27896" w:rsidRDefault="001A6DEC" w:rsidP="001A6DE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aizņēmumi</w:t>
            </w:r>
          </w:p>
        </w:tc>
        <w:tc>
          <w:tcPr>
            <w:tcW w:w="518" w:type="pct"/>
            <w:tcBorders>
              <w:top w:val="single" w:sz="4" w:space="0" w:color="17365D"/>
              <w:left w:val="nil"/>
              <w:bottom w:val="single" w:sz="4" w:space="0" w:color="17365D"/>
              <w:right w:val="nil"/>
            </w:tcBorders>
            <w:shd w:val="clear" w:color="auto" w:fill="auto"/>
            <w:noWrap/>
            <w:vAlign w:val="center"/>
            <w:hideMark/>
          </w:tcPr>
          <w:p w14:paraId="65E69E0A" w14:textId="3CA505A4" w:rsidR="001A6DEC" w:rsidRPr="00A27896" w:rsidRDefault="001A6DEC" w:rsidP="001A6DEC">
            <w:pPr>
              <w:spacing w:after="0" w:line="240" w:lineRule="auto"/>
              <w:jc w:val="right"/>
              <w:rPr>
                <w:rFonts w:eastAsia="Times New Roman" w:cs="Times New Roman"/>
                <w:color w:val="17365D"/>
                <w:sz w:val="18"/>
                <w:szCs w:val="18"/>
                <w:lang w:eastAsia="lv-LV"/>
              </w:rPr>
            </w:pPr>
            <w:r>
              <w:rPr>
                <w:color w:val="17365D"/>
                <w:sz w:val="18"/>
                <w:szCs w:val="18"/>
              </w:rPr>
              <w:t>KB.5.1.1.</w:t>
            </w:r>
          </w:p>
        </w:tc>
        <w:tc>
          <w:tcPr>
            <w:tcW w:w="812" w:type="pct"/>
            <w:tcBorders>
              <w:top w:val="single" w:sz="4" w:space="0" w:color="17365D"/>
              <w:left w:val="nil"/>
              <w:bottom w:val="single" w:sz="4" w:space="0" w:color="17365D"/>
              <w:right w:val="nil"/>
            </w:tcBorders>
            <w:shd w:val="clear" w:color="auto" w:fill="auto"/>
            <w:vAlign w:val="center"/>
          </w:tcPr>
          <w:p w14:paraId="5B49DBA5" w14:textId="304E2143"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774 616 292</w:t>
            </w:r>
          </w:p>
        </w:tc>
        <w:tc>
          <w:tcPr>
            <w:tcW w:w="823" w:type="pct"/>
            <w:tcBorders>
              <w:top w:val="single" w:sz="4" w:space="0" w:color="17365D"/>
              <w:left w:val="nil"/>
              <w:bottom w:val="single" w:sz="4" w:space="0" w:color="17365D"/>
              <w:right w:val="nil"/>
            </w:tcBorders>
            <w:shd w:val="clear" w:color="auto" w:fill="auto"/>
            <w:vAlign w:val="center"/>
          </w:tcPr>
          <w:p w14:paraId="3B7C2601" w14:textId="13E5C865"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1 163 441 298</w:t>
            </w:r>
          </w:p>
        </w:tc>
        <w:tc>
          <w:tcPr>
            <w:tcW w:w="807" w:type="pct"/>
            <w:tcBorders>
              <w:top w:val="single" w:sz="4" w:space="0" w:color="17365D"/>
              <w:left w:val="nil"/>
              <w:bottom w:val="single" w:sz="4" w:space="0" w:color="17365D"/>
              <w:right w:val="nil"/>
            </w:tcBorders>
            <w:shd w:val="clear" w:color="auto" w:fill="auto"/>
            <w:noWrap/>
            <w:vAlign w:val="center"/>
          </w:tcPr>
          <w:p w14:paraId="24CABEC5" w14:textId="113432BD"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-388 825 006</w:t>
            </w:r>
          </w:p>
        </w:tc>
        <w:tc>
          <w:tcPr>
            <w:tcW w:w="632" w:type="pct"/>
            <w:tcBorders>
              <w:top w:val="single" w:sz="4" w:space="0" w:color="17365D"/>
              <w:left w:val="nil"/>
              <w:bottom w:val="single" w:sz="4" w:space="0" w:color="17365D"/>
              <w:right w:val="nil"/>
            </w:tcBorders>
            <w:shd w:val="clear" w:color="auto" w:fill="auto"/>
            <w:noWrap/>
            <w:vAlign w:val="center"/>
          </w:tcPr>
          <w:p w14:paraId="11054D35" w14:textId="67CB4B82"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-33.42</w:t>
            </w:r>
          </w:p>
        </w:tc>
      </w:tr>
      <w:tr w:rsidR="001A6DEC" w:rsidRPr="00907350" w14:paraId="725A2ED0" w14:textId="77777777" w:rsidTr="009A4177">
        <w:trPr>
          <w:trHeight w:val="240"/>
        </w:trPr>
        <w:tc>
          <w:tcPr>
            <w:tcW w:w="1408" w:type="pct"/>
            <w:tcBorders>
              <w:top w:val="single" w:sz="4" w:space="0" w:color="17365D"/>
              <w:bottom w:val="single" w:sz="4" w:space="0" w:color="17365D"/>
              <w:right w:val="nil"/>
            </w:tcBorders>
            <w:shd w:val="clear" w:color="auto" w:fill="auto"/>
            <w:vAlign w:val="center"/>
            <w:hideMark/>
          </w:tcPr>
          <w:p w14:paraId="6387FFE6" w14:textId="110885A9" w:rsidR="001A6DEC" w:rsidRPr="00A27896" w:rsidRDefault="001A6DEC" w:rsidP="001A6DE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saistības pret piegādātājiem un darbuzņēmējiem</w:t>
            </w:r>
          </w:p>
        </w:tc>
        <w:tc>
          <w:tcPr>
            <w:tcW w:w="518" w:type="pct"/>
            <w:tcBorders>
              <w:top w:val="single" w:sz="4" w:space="0" w:color="17365D"/>
              <w:left w:val="nil"/>
              <w:bottom w:val="single" w:sz="4" w:space="0" w:color="17365D"/>
              <w:right w:val="nil"/>
            </w:tcBorders>
            <w:shd w:val="clear" w:color="auto" w:fill="auto"/>
            <w:noWrap/>
            <w:vAlign w:val="center"/>
            <w:hideMark/>
          </w:tcPr>
          <w:p w14:paraId="73711057" w14:textId="4C2EA9F6" w:rsidR="001A6DEC" w:rsidRPr="00A27896" w:rsidRDefault="001A6DEC" w:rsidP="001A6DEC">
            <w:pPr>
              <w:spacing w:after="0" w:line="240" w:lineRule="auto"/>
              <w:jc w:val="right"/>
              <w:rPr>
                <w:rFonts w:eastAsia="Times New Roman" w:cs="Times New Roman"/>
                <w:color w:val="17365D"/>
                <w:sz w:val="18"/>
                <w:szCs w:val="18"/>
                <w:lang w:eastAsia="lv-LV"/>
              </w:rPr>
            </w:pPr>
          </w:p>
        </w:tc>
        <w:tc>
          <w:tcPr>
            <w:tcW w:w="812" w:type="pct"/>
            <w:tcBorders>
              <w:top w:val="single" w:sz="4" w:space="0" w:color="17365D"/>
              <w:left w:val="nil"/>
              <w:bottom w:val="single" w:sz="4" w:space="0" w:color="17365D"/>
              <w:right w:val="nil"/>
            </w:tcBorders>
            <w:shd w:val="clear" w:color="auto" w:fill="auto"/>
            <w:vAlign w:val="center"/>
          </w:tcPr>
          <w:p w14:paraId="538CC820" w14:textId="70067F31"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122 830 514</w:t>
            </w:r>
          </w:p>
        </w:tc>
        <w:tc>
          <w:tcPr>
            <w:tcW w:w="823" w:type="pct"/>
            <w:tcBorders>
              <w:top w:val="single" w:sz="4" w:space="0" w:color="17365D"/>
              <w:left w:val="nil"/>
              <w:bottom w:val="single" w:sz="4" w:space="0" w:color="17365D"/>
              <w:right w:val="nil"/>
            </w:tcBorders>
            <w:shd w:val="clear" w:color="auto" w:fill="auto"/>
            <w:vAlign w:val="center"/>
          </w:tcPr>
          <w:p w14:paraId="5AE64A77" w14:textId="7710361C"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131 660 593</w:t>
            </w:r>
          </w:p>
        </w:tc>
        <w:tc>
          <w:tcPr>
            <w:tcW w:w="807" w:type="pct"/>
            <w:tcBorders>
              <w:top w:val="single" w:sz="4" w:space="0" w:color="17365D"/>
              <w:left w:val="nil"/>
              <w:bottom w:val="single" w:sz="4" w:space="0" w:color="17365D"/>
              <w:right w:val="nil"/>
            </w:tcBorders>
            <w:shd w:val="clear" w:color="auto" w:fill="auto"/>
            <w:noWrap/>
            <w:vAlign w:val="center"/>
          </w:tcPr>
          <w:p w14:paraId="4FC3A513" w14:textId="393F7D24"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-8 830 079</w:t>
            </w:r>
          </w:p>
        </w:tc>
        <w:tc>
          <w:tcPr>
            <w:tcW w:w="632" w:type="pct"/>
            <w:tcBorders>
              <w:top w:val="single" w:sz="4" w:space="0" w:color="17365D"/>
              <w:left w:val="nil"/>
              <w:bottom w:val="single" w:sz="4" w:space="0" w:color="17365D"/>
              <w:right w:val="nil"/>
            </w:tcBorders>
            <w:shd w:val="clear" w:color="auto" w:fill="auto"/>
            <w:noWrap/>
            <w:vAlign w:val="center"/>
          </w:tcPr>
          <w:p w14:paraId="1FA0AEAF" w14:textId="3929EAEF"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-6.71</w:t>
            </w:r>
          </w:p>
        </w:tc>
      </w:tr>
      <w:tr w:rsidR="001A6DEC" w:rsidRPr="00907350" w14:paraId="42D2ABF2" w14:textId="77777777" w:rsidTr="009A4177">
        <w:trPr>
          <w:trHeight w:val="54"/>
        </w:trPr>
        <w:tc>
          <w:tcPr>
            <w:tcW w:w="1408" w:type="pct"/>
            <w:tcBorders>
              <w:top w:val="single" w:sz="4" w:space="0" w:color="17365D"/>
              <w:bottom w:val="single" w:sz="4" w:space="0" w:color="17365D"/>
            </w:tcBorders>
            <w:shd w:val="clear" w:color="auto" w:fill="auto"/>
            <w:vAlign w:val="center"/>
            <w:hideMark/>
          </w:tcPr>
          <w:p w14:paraId="3AB52690" w14:textId="77777777" w:rsidR="001A6DEC" w:rsidRPr="00A27896" w:rsidRDefault="001A6DEC" w:rsidP="001A6DE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uzkrātās saistības</w:t>
            </w:r>
          </w:p>
        </w:tc>
        <w:tc>
          <w:tcPr>
            <w:tcW w:w="518" w:type="pct"/>
            <w:tcBorders>
              <w:top w:val="single" w:sz="4" w:space="0" w:color="17365D"/>
              <w:left w:val="nil"/>
              <w:bottom w:val="single" w:sz="4" w:space="0" w:color="17365D"/>
              <w:right w:val="nil"/>
            </w:tcBorders>
            <w:shd w:val="clear" w:color="auto" w:fill="auto"/>
            <w:noWrap/>
            <w:vAlign w:val="center"/>
          </w:tcPr>
          <w:p w14:paraId="52953A94" w14:textId="1826ACBE" w:rsidR="001A6DEC" w:rsidRPr="00A27896" w:rsidRDefault="001A6DEC" w:rsidP="001A6DEC">
            <w:pPr>
              <w:spacing w:after="0" w:line="240" w:lineRule="auto"/>
              <w:jc w:val="right"/>
              <w:rPr>
                <w:rFonts w:eastAsia="Times New Roman" w:cs="Times New Roman"/>
                <w:color w:val="17365D"/>
                <w:sz w:val="18"/>
                <w:szCs w:val="18"/>
                <w:lang w:eastAsia="lv-LV"/>
              </w:rPr>
            </w:pPr>
            <w:r>
              <w:rPr>
                <w:color w:val="17365D"/>
                <w:sz w:val="18"/>
                <w:szCs w:val="18"/>
              </w:rPr>
              <w:t> </w:t>
            </w:r>
          </w:p>
        </w:tc>
        <w:tc>
          <w:tcPr>
            <w:tcW w:w="812" w:type="pct"/>
            <w:tcBorders>
              <w:top w:val="single" w:sz="4" w:space="0" w:color="17365D"/>
              <w:left w:val="nil"/>
              <w:bottom w:val="single" w:sz="4" w:space="0" w:color="17365D"/>
              <w:right w:val="nil"/>
            </w:tcBorders>
            <w:shd w:val="clear" w:color="auto" w:fill="auto"/>
            <w:vAlign w:val="center"/>
          </w:tcPr>
          <w:p w14:paraId="41F5188E" w14:textId="6CC80A3D"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3 061 897</w:t>
            </w:r>
          </w:p>
        </w:tc>
        <w:tc>
          <w:tcPr>
            <w:tcW w:w="823" w:type="pct"/>
            <w:tcBorders>
              <w:top w:val="single" w:sz="4" w:space="0" w:color="17365D"/>
              <w:left w:val="nil"/>
              <w:bottom w:val="single" w:sz="4" w:space="0" w:color="17365D"/>
              <w:right w:val="nil"/>
            </w:tcBorders>
            <w:shd w:val="clear" w:color="auto" w:fill="auto"/>
            <w:vAlign w:val="center"/>
          </w:tcPr>
          <w:p w14:paraId="72BBE2CA" w14:textId="484082EE"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1 672 223</w:t>
            </w:r>
          </w:p>
        </w:tc>
        <w:tc>
          <w:tcPr>
            <w:tcW w:w="807" w:type="pct"/>
            <w:tcBorders>
              <w:top w:val="single" w:sz="4" w:space="0" w:color="17365D"/>
              <w:left w:val="nil"/>
              <w:bottom w:val="single" w:sz="4" w:space="0" w:color="17365D"/>
              <w:right w:val="nil"/>
            </w:tcBorders>
            <w:shd w:val="clear" w:color="auto" w:fill="auto"/>
            <w:noWrap/>
            <w:vAlign w:val="center"/>
          </w:tcPr>
          <w:p w14:paraId="2CF84C1B" w14:textId="09912EE5"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1 389 674</w:t>
            </w:r>
          </w:p>
        </w:tc>
        <w:tc>
          <w:tcPr>
            <w:tcW w:w="632" w:type="pct"/>
            <w:tcBorders>
              <w:top w:val="single" w:sz="4" w:space="0" w:color="17365D"/>
              <w:left w:val="nil"/>
              <w:bottom w:val="single" w:sz="4" w:space="0" w:color="17365D"/>
              <w:right w:val="nil"/>
            </w:tcBorders>
            <w:shd w:val="clear" w:color="auto" w:fill="auto"/>
            <w:noWrap/>
            <w:vAlign w:val="center"/>
          </w:tcPr>
          <w:p w14:paraId="4C8C70DD" w14:textId="7C27685F"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83.10</w:t>
            </w:r>
          </w:p>
        </w:tc>
      </w:tr>
      <w:tr w:rsidR="001A6DEC" w:rsidRPr="00907350" w14:paraId="57C61EE4" w14:textId="77777777" w:rsidTr="009A4177">
        <w:trPr>
          <w:trHeight w:val="113"/>
        </w:trPr>
        <w:tc>
          <w:tcPr>
            <w:tcW w:w="1408" w:type="pct"/>
            <w:tcBorders>
              <w:top w:val="single" w:sz="4" w:space="0" w:color="17365D"/>
              <w:bottom w:val="single" w:sz="4" w:space="0" w:color="17365D"/>
            </w:tcBorders>
            <w:shd w:val="clear" w:color="auto" w:fill="auto"/>
            <w:vAlign w:val="center"/>
            <w:hideMark/>
          </w:tcPr>
          <w:p w14:paraId="271B3EB4" w14:textId="1B0CDD2A" w:rsidR="001A6DEC" w:rsidRPr="00A27896" w:rsidRDefault="001A6DEC" w:rsidP="001A6DE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nākamo per</w:t>
            </w:r>
            <w:r>
              <w:rPr>
                <w:rFonts w:eastAsia="Times New Roman" w:cs="Times New Roman"/>
                <w:color w:val="17365D"/>
                <w:sz w:val="18"/>
                <w:szCs w:val="18"/>
                <w:lang w:eastAsia="lv-LV"/>
              </w:rPr>
              <w:t>iodu ieņēmumi un saņemtie avansa maksājumi</w:t>
            </w:r>
          </w:p>
        </w:tc>
        <w:tc>
          <w:tcPr>
            <w:tcW w:w="518" w:type="pct"/>
            <w:tcBorders>
              <w:top w:val="single" w:sz="4" w:space="0" w:color="17365D"/>
              <w:left w:val="nil"/>
              <w:bottom w:val="single" w:sz="4" w:space="0" w:color="17365D"/>
              <w:right w:val="nil"/>
            </w:tcBorders>
            <w:shd w:val="clear" w:color="auto" w:fill="auto"/>
            <w:noWrap/>
            <w:vAlign w:val="center"/>
          </w:tcPr>
          <w:p w14:paraId="5B41466C" w14:textId="6F04149D" w:rsidR="001A6DEC" w:rsidRPr="00A27896" w:rsidRDefault="001A6DEC" w:rsidP="001A6DEC">
            <w:pPr>
              <w:spacing w:after="0" w:line="240" w:lineRule="auto"/>
              <w:jc w:val="right"/>
              <w:rPr>
                <w:rFonts w:eastAsia="Times New Roman" w:cs="Times New Roman"/>
                <w:color w:val="17365D"/>
                <w:sz w:val="18"/>
                <w:szCs w:val="18"/>
                <w:lang w:eastAsia="lv-LV"/>
              </w:rPr>
            </w:pPr>
          </w:p>
        </w:tc>
        <w:tc>
          <w:tcPr>
            <w:tcW w:w="812" w:type="pct"/>
            <w:tcBorders>
              <w:top w:val="single" w:sz="4" w:space="0" w:color="17365D"/>
              <w:left w:val="nil"/>
              <w:bottom w:val="single" w:sz="4" w:space="0" w:color="17365D"/>
              <w:right w:val="nil"/>
            </w:tcBorders>
            <w:shd w:val="clear" w:color="auto" w:fill="auto"/>
            <w:vAlign w:val="center"/>
          </w:tcPr>
          <w:p w14:paraId="72377E90" w14:textId="540E2B5E"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421 828 937</w:t>
            </w:r>
          </w:p>
        </w:tc>
        <w:tc>
          <w:tcPr>
            <w:tcW w:w="823" w:type="pct"/>
            <w:tcBorders>
              <w:top w:val="single" w:sz="4" w:space="0" w:color="17365D"/>
              <w:left w:val="nil"/>
              <w:bottom w:val="single" w:sz="4" w:space="0" w:color="17365D"/>
              <w:right w:val="nil"/>
            </w:tcBorders>
            <w:shd w:val="clear" w:color="auto" w:fill="auto"/>
            <w:vAlign w:val="center"/>
          </w:tcPr>
          <w:p w14:paraId="55FF58A4" w14:textId="00764D81"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365 123 288</w:t>
            </w:r>
          </w:p>
        </w:tc>
        <w:tc>
          <w:tcPr>
            <w:tcW w:w="807" w:type="pct"/>
            <w:tcBorders>
              <w:top w:val="single" w:sz="4" w:space="0" w:color="17365D"/>
              <w:left w:val="nil"/>
              <w:bottom w:val="single" w:sz="4" w:space="0" w:color="17365D"/>
              <w:right w:val="nil"/>
            </w:tcBorders>
            <w:shd w:val="clear" w:color="auto" w:fill="auto"/>
            <w:noWrap/>
            <w:vAlign w:val="center"/>
          </w:tcPr>
          <w:p w14:paraId="3FF86F02" w14:textId="5DC2171D"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56 705 649</w:t>
            </w:r>
          </w:p>
        </w:tc>
        <w:tc>
          <w:tcPr>
            <w:tcW w:w="632" w:type="pct"/>
            <w:tcBorders>
              <w:top w:val="single" w:sz="4" w:space="0" w:color="17365D"/>
              <w:left w:val="nil"/>
              <w:bottom w:val="single" w:sz="4" w:space="0" w:color="17365D"/>
              <w:right w:val="nil"/>
            </w:tcBorders>
            <w:shd w:val="clear" w:color="auto" w:fill="auto"/>
            <w:noWrap/>
            <w:vAlign w:val="center"/>
          </w:tcPr>
          <w:p w14:paraId="38C77AFD" w14:textId="10FCD857"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15.53</w:t>
            </w:r>
          </w:p>
        </w:tc>
      </w:tr>
      <w:tr w:rsidR="001A6DEC" w:rsidRPr="00907350" w14:paraId="0E3AA838" w14:textId="77777777" w:rsidTr="009A4177">
        <w:trPr>
          <w:trHeight w:val="113"/>
        </w:trPr>
        <w:tc>
          <w:tcPr>
            <w:tcW w:w="1408" w:type="pct"/>
            <w:tcBorders>
              <w:top w:val="single" w:sz="4" w:space="0" w:color="17365D"/>
              <w:bottom w:val="single" w:sz="4" w:space="0" w:color="17365D"/>
              <w:right w:val="nil"/>
            </w:tcBorders>
            <w:shd w:val="clear" w:color="auto" w:fill="auto"/>
            <w:vAlign w:val="center"/>
            <w:hideMark/>
          </w:tcPr>
          <w:p w14:paraId="79545FD2" w14:textId="77777777" w:rsidR="001A6DEC" w:rsidRPr="00A27896" w:rsidRDefault="001A6DEC" w:rsidP="001A6DE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Emitēto obligāciju un citu parāda vērtspapīru ilgtermiņa daļa</w:t>
            </w:r>
          </w:p>
        </w:tc>
        <w:tc>
          <w:tcPr>
            <w:tcW w:w="518" w:type="pct"/>
            <w:tcBorders>
              <w:top w:val="single" w:sz="4" w:space="0" w:color="17365D"/>
              <w:left w:val="nil"/>
              <w:bottom w:val="single" w:sz="4" w:space="0" w:color="17365D"/>
              <w:right w:val="nil"/>
            </w:tcBorders>
            <w:shd w:val="clear" w:color="auto" w:fill="auto"/>
            <w:noWrap/>
            <w:vAlign w:val="center"/>
          </w:tcPr>
          <w:p w14:paraId="34ECE83C" w14:textId="2C12EE94" w:rsidR="001A6DEC" w:rsidRPr="00A27896" w:rsidRDefault="00105F05" w:rsidP="001A6DEC">
            <w:pPr>
              <w:spacing w:after="0" w:line="240" w:lineRule="auto"/>
              <w:jc w:val="right"/>
              <w:rPr>
                <w:rFonts w:cs="Times New Roman"/>
                <w:color w:val="17365D"/>
                <w:sz w:val="18"/>
                <w:szCs w:val="18"/>
              </w:rPr>
            </w:pPr>
            <w:r>
              <w:rPr>
                <w:color w:val="17365D"/>
                <w:sz w:val="18"/>
                <w:szCs w:val="18"/>
              </w:rPr>
              <w:t>KB.5.1.2.</w:t>
            </w:r>
          </w:p>
        </w:tc>
        <w:tc>
          <w:tcPr>
            <w:tcW w:w="812" w:type="pct"/>
            <w:tcBorders>
              <w:top w:val="single" w:sz="4" w:space="0" w:color="17365D"/>
              <w:left w:val="nil"/>
              <w:bottom w:val="single" w:sz="4" w:space="0" w:color="17365D"/>
              <w:right w:val="nil"/>
            </w:tcBorders>
            <w:shd w:val="clear" w:color="auto" w:fill="auto"/>
            <w:vAlign w:val="center"/>
          </w:tcPr>
          <w:p w14:paraId="7F9623D4" w14:textId="6045D404"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15 133 336 077</w:t>
            </w:r>
          </w:p>
        </w:tc>
        <w:tc>
          <w:tcPr>
            <w:tcW w:w="823" w:type="pct"/>
            <w:tcBorders>
              <w:top w:val="single" w:sz="4" w:space="0" w:color="17365D"/>
              <w:left w:val="nil"/>
              <w:bottom w:val="single" w:sz="4" w:space="0" w:color="17365D"/>
              <w:right w:val="nil"/>
            </w:tcBorders>
            <w:shd w:val="clear" w:color="auto" w:fill="auto"/>
            <w:vAlign w:val="center"/>
          </w:tcPr>
          <w:p w14:paraId="3DE97AA5" w14:textId="3F7B1D60"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13 721 602 492</w:t>
            </w:r>
          </w:p>
        </w:tc>
        <w:tc>
          <w:tcPr>
            <w:tcW w:w="807" w:type="pct"/>
            <w:tcBorders>
              <w:top w:val="single" w:sz="4" w:space="0" w:color="17365D"/>
              <w:left w:val="nil"/>
              <w:bottom w:val="single" w:sz="4" w:space="0" w:color="17365D"/>
              <w:right w:val="nil"/>
            </w:tcBorders>
            <w:shd w:val="clear" w:color="auto" w:fill="auto"/>
            <w:noWrap/>
            <w:vAlign w:val="center"/>
          </w:tcPr>
          <w:p w14:paraId="4112E4E2" w14:textId="5B8F6B9A"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1 411 733 585</w:t>
            </w:r>
          </w:p>
        </w:tc>
        <w:tc>
          <w:tcPr>
            <w:tcW w:w="632" w:type="pct"/>
            <w:tcBorders>
              <w:top w:val="single" w:sz="4" w:space="0" w:color="17365D"/>
              <w:left w:val="nil"/>
              <w:bottom w:val="single" w:sz="4" w:space="0" w:color="17365D"/>
              <w:right w:val="nil"/>
            </w:tcBorders>
            <w:shd w:val="clear" w:color="auto" w:fill="auto"/>
            <w:noWrap/>
            <w:vAlign w:val="center"/>
          </w:tcPr>
          <w:p w14:paraId="0CE37CE2" w14:textId="6A97E34E"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10.29</w:t>
            </w:r>
          </w:p>
        </w:tc>
      </w:tr>
      <w:tr w:rsidR="001A6DEC" w:rsidRPr="00907350" w14:paraId="6DB69AD9" w14:textId="77777777" w:rsidTr="009A4177">
        <w:trPr>
          <w:trHeight w:val="240"/>
        </w:trPr>
        <w:tc>
          <w:tcPr>
            <w:tcW w:w="1408" w:type="pct"/>
            <w:tcBorders>
              <w:top w:val="single" w:sz="4" w:space="0" w:color="17365D"/>
              <w:bottom w:val="single" w:sz="4" w:space="0" w:color="17365D"/>
            </w:tcBorders>
            <w:shd w:val="clear" w:color="auto" w:fill="auto"/>
            <w:vAlign w:val="center"/>
          </w:tcPr>
          <w:p w14:paraId="7DB6B9EA" w14:textId="6F9840A5" w:rsidR="001A6DEC" w:rsidRPr="00A27896" w:rsidRDefault="001A6DEC" w:rsidP="001A6DEC">
            <w:pPr>
              <w:spacing w:after="0" w:line="240" w:lineRule="auto"/>
              <w:rPr>
                <w:rFonts w:eastAsia="Times New Roman" w:cs="Times New Roman"/>
                <w:color w:val="17365D"/>
                <w:sz w:val="18"/>
                <w:szCs w:val="18"/>
                <w:lang w:eastAsia="lv-LV"/>
              </w:rPr>
            </w:pPr>
            <w:r w:rsidRPr="00D06B09">
              <w:rPr>
                <w:rFonts w:eastAsia="Times New Roman" w:cs="Times New Roman"/>
                <w:color w:val="17365D"/>
                <w:sz w:val="18"/>
                <w:szCs w:val="18"/>
                <w:lang w:eastAsia="lv-LV"/>
              </w:rPr>
              <w:t>Saņemtie ilgtermiņa noguldījumi</w:t>
            </w:r>
          </w:p>
        </w:tc>
        <w:tc>
          <w:tcPr>
            <w:tcW w:w="518" w:type="pct"/>
            <w:tcBorders>
              <w:top w:val="single" w:sz="4" w:space="0" w:color="17365D"/>
              <w:left w:val="nil"/>
              <w:bottom w:val="single" w:sz="4" w:space="0" w:color="17365D"/>
              <w:right w:val="nil"/>
            </w:tcBorders>
            <w:shd w:val="clear" w:color="auto" w:fill="auto"/>
            <w:noWrap/>
            <w:vAlign w:val="center"/>
          </w:tcPr>
          <w:p w14:paraId="660730B4" w14:textId="5FF818B3" w:rsidR="001A6DEC" w:rsidRPr="00A27896" w:rsidRDefault="001A6DEC" w:rsidP="001A6DEC">
            <w:pPr>
              <w:spacing w:after="0" w:line="240" w:lineRule="auto"/>
              <w:jc w:val="right"/>
              <w:rPr>
                <w:rFonts w:eastAsia="Times New Roman" w:cs="Times New Roman"/>
                <w:color w:val="17365D"/>
                <w:sz w:val="18"/>
                <w:szCs w:val="18"/>
                <w:lang w:eastAsia="lv-LV"/>
              </w:rPr>
            </w:pPr>
            <w:r>
              <w:rPr>
                <w:color w:val="17365D"/>
                <w:sz w:val="18"/>
                <w:szCs w:val="18"/>
              </w:rPr>
              <w:t> </w:t>
            </w:r>
          </w:p>
        </w:tc>
        <w:tc>
          <w:tcPr>
            <w:tcW w:w="812" w:type="pct"/>
            <w:tcBorders>
              <w:top w:val="single" w:sz="4" w:space="0" w:color="17365D"/>
              <w:left w:val="nil"/>
              <w:bottom w:val="single" w:sz="4" w:space="0" w:color="17365D"/>
              <w:right w:val="nil"/>
            </w:tcBorders>
            <w:shd w:val="clear" w:color="auto" w:fill="auto"/>
            <w:vAlign w:val="center"/>
          </w:tcPr>
          <w:p w14:paraId="3CE45C68" w14:textId="4C5C93E0"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0</w:t>
            </w:r>
          </w:p>
        </w:tc>
        <w:tc>
          <w:tcPr>
            <w:tcW w:w="823" w:type="pct"/>
            <w:tcBorders>
              <w:top w:val="single" w:sz="4" w:space="0" w:color="17365D"/>
              <w:left w:val="nil"/>
              <w:bottom w:val="single" w:sz="4" w:space="0" w:color="17365D"/>
              <w:right w:val="nil"/>
            </w:tcBorders>
            <w:shd w:val="clear" w:color="auto" w:fill="auto"/>
            <w:vAlign w:val="center"/>
          </w:tcPr>
          <w:p w14:paraId="1FB9D4A7" w14:textId="57AE894D"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w:t>
            </w:r>
          </w:p>
        </w:tc>
        <w:tc>
          <w:tcPr>
            <w:tcW w:w="807" w:type="pct"/>
            <w:tcBorders>
              <w:top w:val="single" w:sz="4" w:space="0" w:color="17365D"/>
              <w:left w:val="nil"/>
              <w:bottom w:val="single" w:sz="4" w:space="0" w:color="17365D"/>
              <w:right w:val="nil"/>
            </w:tcBorders>
            <w:shd w:val="clear" w:color="auto" w:fill="auto"/>
            <w:noWrap/>
            <w:vAlign w:val="center"/>
          </w:tcPr>
          <w:p w14:paraId="371FE076" w14:textId="7BD46623"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w:t>
            </w:r>
          </w:p>
        </w:tc>
        <w:tc>
          <w:tcPr>
            <w:tcW w:w="632" w:type="pct"/>
            <w:tcBorders>
              <w:top w:val="single" w:sz="4" w:space="0" w:color="17365D"/>
              <w:left w:val="nil"/>
              <w:bottom w:val="single" w:sz="4" w:space="0" w:color="17365D"/>
              <w:right w:val="nil"/>
            </w:tcBorders>
            <w:shd w:val="clear" w:color="auto" w:fill="auto"/>
            <w:noWrap/>
            <w:vAlign w:val="center"/>
          </w:tcPr>
          <w:p w14:paraId="5CF2E7E1" w14:textId="47985665" w:rsidR="001A6DEC" w:rsidRPr="00907350" w:rsidRDefault="001A6DEC" w:rsidP="00024478">
            <w:pPr>
              <w:spacing w:after="0" w:line="240" w:lineRule="auto"/>
              <w:jc w:val="right"/>
              <w:rPr>
                <w:rFonts w:eastAsia="Times New Roman" w:cs="Times New Roman"/>
                <w:color w:val="17365D"/>
                <w:sz w:val="18"/>
                <w:szCs w:val="18"/>
                <w:highlight w:val="yellow"/>
                <w:lang w:eastAsia="lv-LV"/>
              </w:rPr>
            </w:pPr>
            <w:r>
              <w:rPr>
                <w:color w:val="17365D"/>
                <w:sz w:val="18"/>
                <w:szCs w:val="18"/>
              </w:rPr>
              <w:t>-100.00</w:t>
            </w:r>
          </w:p>
        </w:tc>
      </w:tr>
      <w:tr w:rsidR="00024478" w:rsidRPr="00907350" w14:paraId="5674CD30" w14:textId="77777777" w:rsidTr="009A4177">
        <w:trPr>
          <w:trHeight w:val="240"/>
        </w:trPr>
        <w:tc>
          <w:tcPr>
            <w:tcW w:w="1408" w:type="pct"/>
            <w:tcBorders>
              <w:top w:val="single" w:sz="4" w:space="0" w:color="17365D"/>
              <w:bottom w:val="single" w:sz="4" w:space="0" w:color="17365D"/>
            </w:tcBorders>
            <w:shd w:val="clear" w:color="auto" w:fill="auto"/>
            <w:vAlign w:val="center"/>
          </w:tcPr>
          <w:p w14:paraId="4868F307" w14:textId="170D81C7" w:rsidR="00024478" w:rsidRPr="00D06B09" w:rsidRDefault="00024478" w:rsidP="00024478">
            <w:pPr>
              <w:spacing w:after="0" w:line="240" w:lineRule="auto"/>
              <w:rPr>
                <w:rFonts w:eastAsia="Times New Roman" w:cs="Times New Roman"/>
                <w:color w:val="17365D"/>
                <w:sz w:val="18"/>
                <w:szCs w:val="18"/>
                <w:lang w:eastAsia="lv-LV"/>
              </w:rPr>
            </w:pPr>
            <w:r w:rsidRPr="00024478">
              <w:rPr>
                <w:rFonts w:eastAsia="Times New Roman" w:cs="Times New Roman"/>
                <w:color w:val="17365D"/>
                <w:sz w:val="18"/>
                <w:szCs w:val="18"/>
                <w:lang w:eastAsia="lv-LV"/>
              </w:rPr>
              <w:t>Ilgtermiņa saistības par atvasinātajiem finanšu instrumentiem</w:t>
            </w:r>
          </w:p>
        </w:tc>
        <w:tc>
          <w:tcPr>
            <w:tcW w:w="518" w:type="pct"/>
            <w:tcBorders>
              <w:top w:val="single" w:sz="4" w:space="0" w:color="17365D"/>
              <w:left w:val="nil"/>
              <w:bottom w:val="single" w:sz="4" w:space="0" w:color="17365D"/>
              <w:right w:val="nil"/>
            </w:tcBorders>
            <w:shd w:val="clear" w:color="auto" w:fill="auto"/>
            <w:noWrap/>
            <w:vAlign w:val="center"/>
          </w:tcPr>
          <w:p w14:paraId="7D403805" w14:textId="77777777" w:rsidR="00024478" w:rsidRDefault="00024478" w:rsidP="00024478">
            <w:pPr>
              <w:spacing w:after="0" w:line="240" w:lineRule="auto"/>
              <w:jc w:val="right"/>
              <w:rPr>
                <w:color w:val="17365D"/>
                <w:sz w:val="18"/>
                <w:szCs w:val="18"/>
              </w:rPr>
            </w:pPr>
          </w:p>
        </w:tc>
        <w:tc>
          <w:tcPr>
            <w:tcW w:w="812" w:type="pct"/>
            <w:tcBorders>
              <w:top w:val="single" w:sz="4" w:space="0" w:color="17365D"/>
              <w:left w:val="nil"/>
              <w:bottom w:val="single" w:sz="4" w:space="0" w:color="17365D"/>
              <w:right w:val="nil"/>
            </w:tcBorders>
            <w:shd w:val="clear" w:color="auto" w:fill="auto"/>
            <w:vAlign w:val="center"/>
          </w:tcPr>
          <w:p w14:paraId="23B207E9" w14:textId="3CA66C09" w:rsidR="00024478" w:rsidRDefault="00024478" w:rsidP="00024478">
            <w:pPr>
              <w:spacing w:after="0" w:line="240" w:lineRule="auto"/>
              <w:jc w:val="right"/>
              <w:rPr>
                <w:color w:val="17365D"/>
                <w:sz w:val="18"/>
                <w:szCs w:val="18"/>
              </w:rPr>
            </w:pPr>
            <w:r w:rsidRPr="00024478">
              <w:rPr>
                <w:color w:val="17365D"/>
                <w:sz w:val="18"/>
                <w:szCs w:val="18"/>
              </w:rPr>
              <w:t>37 880 609</w:t>
            </w:r>
          </w:p>
        </w:tc>
        <w:tc>
          <w:tcPr>
            <w:tcW w:w="823" w:type="pct"/>
            <w:tcBorders>
              <w:top w:val="single" w:sz="4" w:space="0" w:color="17365D"/>
              <w:left w:val="nil"/>
              <w:bottom w:val="single" w:sz="4" w:space="0" w:color="17365D"/>
              <w:right w:val="nil"/>
            </w:tcBorders>
            <w:shd w:val="clear" w:color="auto" w:fill="auto"/>
            <w:vAlign w:val="center"/>
          </w:tcPr>
          <w:p w14:paraId="7FE6454A" w14:textId="578B7B78" w:rsidR="00024478" w:rsidRDefault="00024478" w:rsidP="00024478">
            <w:pPr>
              <w:spacing w:after="0" w:line="240" w:lineRule="auto"/>
              <w:jc w:val="right"/>
              <w:rPr>
                <w:color w:val="17365D"/>
                <w:sz w:val="18"/>
                <w:szCs w:val="18"/>
              </w:rPr>
            </w:pPr>
            <w:r w:rsidRPr="00024478">
              <w:rPr>
                <w:color w:val="17365D"/>
                <w:sz w:val="18"/>
                <w:szCs w:val="18"/>
              </w:rPr>
              <w:t>51 431 020</w:t>
            </w:r>
          </w:p>
        </w:tc>
        <w:tc>
          <w:tcPr>
            <w:tcW w:w="807" w:type="pct"/>
            <w:tcBorders>
              <w:top w:val="single" w:sz="4" w:space="0" w:color="17365D"/>
              <w:left w:val="nil"/>
              <w:bottom w:val="single" w:sz="4" w:space="0" w:color="17365D"/>
              <w:right w:val="nil"/>
            </w:tcBorders>
            <w:shd w:val="clear" w:color="auto" w:fill="auto"/>
            <w:noWrap/>
            <w:vAlign w:val="center"/>
          </w:tcPr>
          <w:p w14:paraId="3FFD2B4F" w14:textId="1D0CA182" w:rsidR="00024478" w:rsidRDefault="00024478" w:rsidP="00024478">
            <w:pPr>
              <w:spacing w:after="0" w:line="240" w:lineRule="auto"/>
              <w:jc w:val="right"/>
              <w:rPr>
                <w:color w:val="17365D"/>
                <w:sz w:val="18"/>
                <w:szCs w:val="18"/>
              </w:rPr>
            </w:pPr>
            <w:r w:rsidRPr="00024478">
              <w:rPr>
                <w:color w:val="17365D"/>
                <w:sz w:val="18"/>
                <w:szCs w:val="18"/>
              </w:rPr>
              <w:t>-13 550 411</w:t>
            </w:r>
          </w:p>
        </w:tc>
        <w:tc>
          <w:tcPr>
            <w:tcW w:w="632" w:type="pct"/>
            <w:tcBorders>
              <w:top w:val="single" w:sz="4" w:space="0" w:color="17365D"/>
              <w:left w:val="nil"/>
              <w:bottom w:val="single" w:sz="4" w:space="0" w:color="17365D"/>
              <w:right w:val="nil"/>
            </w:tcBorders>
            <w:shd w:val="clear" w:color="auto" w:fill="auto"/>
            <w:noWrap/>
            <w:vAlign w:val="center"/>
          </w:tcPr>
          <w:p w14:paraId="6E734040" w14:textId="089CB5D2" w:rsidR="00024478" w:rsidRDefault="00024478" w:rsidP="00024478">
            <w:pPr>
              <w:spacing w:after="0" w:line="240" w:lineRule="auto"/>
              <w:jc w:val="right"/>
              <w:rPr>
                <w:color w:val="17365D"/>
                <w:sz w:val="18"/>
                <w:szCs w:val="18"/>
              </w:rPr>
            </w:pPr>
            <w:r w:rsidRPr="00024478">
              <w:rPr>
                <w:color w:val="17365D"/>
                <w:sz w:val="18"/>
                <w:szCs w:val="18"/>
              </w:rPr>
              <w:t>-26.35</w:t>
            </w:r>
          </w:p>
        </w:tc>
      </w:tr>
      <w:tr w:rsidR="001A6DEC" w:rsidRPr="00907350" w14:paraId="135E9EC7" w14:textId="77777777" w:rsidTr="009A4177">
        <w:trPr>
          <w:trHeight w:val="240"/>
        </w:trPr>
        <w:tc>
          <w:tcPr>
            <w:tcW w:w="1408" w:type="pct"/>
            <w:tcBorders>
              <w:top w:val="single" w:sz="4" w:space="0" w:color="17365D"/>
              <w:bottom w:val="single" w:sz="4" w:space="0" w:color="17365D"/>
            </w:tcBorders>
            <w:shd w:val="clear" w:color="auto" w:fill="auto"/>
            <w:vAlign w:val="center"/>
            <w:hideMark/>
          </w:tcPr>
          <w:p w14:paraId="669BE8A4" w14:textId="77777777" w:rsidR="001A6DEC" w:rsidRPr="00A27896" w:rsidRDefault="001A6DEC" w:rsidP="001A6DE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Pārējās ilgtermiņa saistības</w:t>
            </w:r>
          </w:p>
        </w:tc>
        <w:tc>
          <w:tcPr>
            <w:tcW w:w="518" w:type="pct"/>
            <w:tcBorders>
              <w:top w:val="single" w:sz="4" w:space="0" w:color="17365D"/>
              <w:left w:val="nil"/>
              <w:bottom w:val="single" w:sz="4" w:space="0" w:color="17365D"/>
              <w:right w:val="nil"/>
            </w:tcBorders>
            <w:shd w:val="clear" w:color="auto" w:fill="auto"/>
            <w:noWrap/>
            <w:vAlign w:val="center"/>
          </w:tcPr>
          <w:p w14:paraId="0638D74A" w14:textId="76E50DE6" w:rsidR="001A6DEC" w:rsidRPr="00A27896" w:rsidRDefault="001A6DEC" w:rsidP="001A6DEC">
            <w:pPr>
              <w:spacing w:after="0" w:line="240" w:lineRule="auto"/>
              <w:jc w:val="right"/>
              <w:rPr>
                <w:rFonts w:eastAsia="Times New Roman" w:cs="Times New Roman"/>
                <w:color w:val="17365D"/>
                <w:sz w:val="18"/>
                <w:szCs w:val="18"/>
                <w:lang w:eastAsia="lv-LV"/>
              </w:rPr>
            </w:pPr>
            <w:r>
              <w:rPr>
                <w:color w:val="17365D"/>
                <w:sz w:val="18"/>
                <w:szCs w:val="18"/>
              </w:rPr>
              <w:t>KB.5.1.</w:t>
            </w:r>
            <w:r w:rsidR="00105F05">
              <w:rPr>
                <w:color w:val="17365D"/>
                <w:sz w:val="18"/>
                <w:szCs w:val="18"/>
              </w:rPr>
              <w:t>3</w:t>
            </w:r>
            <w:r>
              <w:rPr>
                <w:color w:val="17365D"/>
                <w:sz w:val="18"/>
                <w:szCs w:val="18"/>
              </w:rPr>
              <w:t>.</w:t>
            </w:r>
          </w:p>
        </w:tc>
        <w:tc>
          <w:tcPr>
            <w:tcW w:w="812" w:type="pct"/>
            <w:tcBorders>
              <w:top w:val="single" w:sz="4" w:space="0" w:color="17365D"/>
              <w:left w:val="nil"/>
              <w:bottom w:val="single" w:sz="4" w:space="0" w:color="17365D"/>
              <w:right w:val="nil"/>
            </w:tcBorders>
            <w:shd w:val="clear" w:color="auto" w:fill="auto"/>
            <w:vAlign w:val="center"/>
          </w:tcPr>
          <w:p w14:paraId="4DA7E116" w14:textId="5AEDAABE"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9 841 894 230</w:t>
            </w:r>
          </w:p>
        </w:tc>
        <w:tc>
          <w:tcPr>
            <w:tcW w:w="823" w:type="pct"/>
            <w:tcBorders>
              <w:top w:val="single" w:sz="4" w:space="0" w:color="17365D"/>
              <w:left w:val="nil"/>
              <w:bottom w:val="single" w:sz="4" w:space="0" w:color="17365D"/>
              <w:right w:val="nil"/>
            </w:tcBorders>
            <w:shd w:val="clear" w:color="auto" w:fill="auto"/>
            <w:vAlign w:val="center"/>
          </w:tcPr>
          <w:p w14:paraId="3C72F377" w14:textId="50058B17"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8 050 989 219</w:t>
            </w:r>
          </w:p>
        </w:tc>
        <w:tc>
          <w:tcPr>
            <w:tcW w:w="807" w:type="pct"/>
            <w:tcBorders>
              <w:top w:val="single" w:sz="4" w:space="0" w:color="17365D"/>
              <w:left w:val="nil"/>
              <w:bottom w:val="single" w:sz="4" w:space="0" w:color="17365D"/>
              <w:right w:val="nil"/>
            </w:tcBorders>
            <w:shd w:val="clear" w:color="auto" w:fill="auto"/>
            <w:noWrap/>
            <w:vAlign w:val="center"/>
          </w:tcPr>
          <w:p w14:paraId="20F2FA58" w14:textId="7C804BFD"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1 790 905 011</w:t>
            </w:r>
          </w:p>
        </w:tc>
        <w:tc>
          <w:tcPr>
            <w:tcW w:w="632" w:type="pct"/>
            <w:tcBorders>
              <w:top w:val="single" w:sz="4" w:space="0" w:color="17365D"/>
              <w:left w:val="nil"/>
              <w:bottom w:val="single" w:sz="4" w:space="0" w:color="17365D"/>
              <w:right w:val="nil"/>
            </w:tcBorders>
            <w:shd w:val="clear" w:color="auto" w:fill="auto"/>
            <w:noWrap/>
            <w:vAlign w:val="center"/>
          </w:tcPr>
          <w:p w14:paraId="247ABAD7" w14:textId="763E281C" w:rsidR="001A6DEC" w:rsidRPr="00907350" w:rsidRDefault="001A6DEC" w:rsidP="00024478">
            <w:pPr>
              <w:spacing w:after="0" w:line="240" w:lineRule="auto"/>
              <w:jc w:val="right"/>
              <w:rPr>
                <w:rFonts w:cs="Times New Roman"/>
                <w:color w:val="17365D"/>
                <w:sz w:val="18"/>
                <w:szCs w:val="18"/>
                <w:highlight w:val="yellow"/>
              </w:rPr>
            </w:pPr>
            <w:r>
              <w:rPr>
                <w:color w:val="17365D"/>
                <w:sz w:val="18"/>
                <w:szCs w:val="18"/>
              </w:rPr>
              <w:t>22.24</w:t>
            </w:r>
          </w:p>
        </w:tc>
      </w:tr>
      <w:tr w:rsidR="000C1009" w:rsidRPr="00A27896" w14:paraId="2511B291" w14:textId="77777777" w:rsidTr="009A4177">
        <w:trPr>
          <w:trHeight w:val="56"/>
        </w:trPr>
        <w:tc>
          <w:tcPr>
            <w:tcW w:w="1408" w:type="pct"/>
            <w:tcBorders>
              <w:top w:val="single" w:sz="4" w:space="0" w:color="17365D"/>
              <w:bottom w:val="nil"/>
            </w:tcBorders>
            <w:shd w:val="clear" w:color="auto" w:fill="B9CDE5"/>
            <w:vAlign w:val="center"/>
          </w:tcPr>
          <w:p w14:paraId="2FFDF583" w14:textId="77777777" w:rsidR="00282143" w:rsidRPr="00A27896" w:rsidRDefault="00282143" w:rsidP="00282143">
            <w:pPr>
              <w:spacing w:after="0"/>
              <w:rPr>
                <w:rFonts w:eastAsia="Times New Roman" w:cs="Times New Roman"/>
                <w:color w:val="17365D"/>
                <w:sz w:val="18"/>
                <w:szCs w:val="18"/>
                <w:lang w:eastAsia="lv-LV"/>
              </w:rPr>
            </w:pPr>
          </w:p>
        </w:tc>
        <w:tc>
          <w:tcPr>
            <w:tcW w:w="518" w:type="pct"/>
            <w:tcBorders>
              <w:top w:val="single" w:sz="4" w:space="0" w:color="17365D"/>
              <w:bottom w:val="nil"/>
            </w:tcBorders>
            <w:shd w:val="clear" w:color="auto" w:fill="B9CDE5"/>
            <w:noWrap/>
            <w:vAlign w:val="center"/>
          </w:tcPr>
          <w:p w14:paraId="3CC0656D" w14:textId="77777777" w:rsidR="00282143" w:rsidRPr="00A27896" w:rsidRDefault="00282143" w:rsidP="00282143">
            <w:pPr>
              <w:spacing w:after="0"/>
              <w:jc w:val="center"/>
              <w:rPr>
                <w:rFonts w:eastAsia="Times New Roman" w:cs="Times New Roman"/>
                <w:color w:val="17365D"/>
                <w:sz w:val="18"/>
                <w:szCs w:val="18"/>
                <w:lang w:eastAsia="lv-LV"/>
              </w:rPr>
            </w:pPr>
          </w:p>
        </w:tc>
        <w:tc>
          <w:tcPr>
            <w:tcW w:w="812" w:type="pct"/>
            <w:tcBorders>
              <w:top w:val="single" w:sz="4" w:space="0" w:color="17365D"/>
              <w:bottom w:val="nil"/>
            </w:tcBorders>
            <w:shd w:val="clear" w:color="auto" w:fill="B9CDE5"/>
            <w:vAlign w:val="center"/>
          </w:tcPr>
          <w:p w14:paraId="3BFFE156" w14:textId="77777777" w:rsidR="00282143" w:rsidRPr="00A27896" w:rsidRDefault="00282143" w:rsidP="00282143">
            <w:pPr>
              <w:spacing w:after="0"/>
              <w:jc w:val="right"/>
              <w:rPr>
                <w:rFonts w:eastAsia="Times New Roman" w:cs="Times New Roman"/>
                <w:color w:val="17365D"/>
                <w:sz w:val="18"/>
                <w:szCs w:val="18"/>
                <w:lang w:eastAsia="lv-LV"/>
              </w:rPr>
            </w:pPr>
          </w:p>
        </w:tc>
        <w:tc>
          <w:tcPr>
            <w:tcW w:w="823" w:type="pct"/>
            <w:tcBorders>
              <w:top w:val="single" w:sz="4" w:space="0" w:color="17365D"/>
              <w:bottom w:val="nil"/>
            </w:tcBorders>
            <w:shd w:val="clear" w:color="auto" w:fill="B9CDE5"/>
            <w:vAlign w:val="center"/>
          </w:tcPr>
          <w:p w14:paraId="627478CE" w14:textId="77777777" w:rsidR="00282143" w:rsidRPr="00A27896" w:rsidRDefault="00282143" w:rsidP="00282143">
            <w:pPr>
              <w:spacing w:after="0"/>
              <w:jc w:val="right"/>
              <w:rPr>
                <w:rFonts w:eastAsia="Times New Roman" w:cs="Times New Roman"/>
                <w:color w:val="17365D"/>
                <w:sz w:val="18"/>
                <w:szCs w:val="18"/>
                <w:lang w:eastAsia="lv-LV"/>
              </w:rPr>
            </w:pPr>
          </w:p>
        </w:tc>
        <w:tc>
          <w:tcPr>
            <w:tcW w:w="807" w:type="pct"/>
            <w:tcBorders>
              <w:top w:val="single" w:sz="4" w:space="0" w:color="17365D"/>
              <w:bottom w:val="nil"/>
            </w:tcBorders>
            <w:shd w:val="clear" w:color="auto" w:fill="B9CDE5"/>
            <w:noWrap/>
            <w:vAlign w:val="center"/>
          </w:tcPr>
          <w:p w14:paraId="294B6B80" w14:textId="77777777" w:rsidR="00282143" w:rsidRPr="00A27896" w:rsidRDefault="00282143" w:rsidP="00282143">
            <w:pPr>
              <w:spacing w:after="0"/>
              <w:jc w:val="right"/>
              <w:rPr>
                <w:rFonts w:eastAsia="Times New Roman" w:cs="Times New Roman"/>
                <w:color w:val="17365D"/>
                <w:sz w:val="18"/>
                <w:szCs w:val="18"/>
                <w:lang w:eastAsia="lv-LV"/>
              </w:rPr>
            </w:pPr>
          </w:p>
        </w:tc>
        <w:tc>
          <w:tcPr>
            <w:tcW w:w="632" w:type="pct"/>
            <w:tcBorders>
              <w:top w:val="single" w:sz="4" w:space="0" w:color="17365D"/>
              <w:bottom w:val="nil"/>
            </w:tcBorders>
            <w:shd w:val="clear" w:color="auto" w:fill="B9CDE5"/>
            <w:noWrap/>
            <w:vAlign w:val="center"/>
          </w:tcPr>
          <w:p w14:paraId="4D67E038" w14:textId="77777777" w:rsidR="00282143" w:rsidRPr="00A27896" w:rsidRDefault="00282143" w:rsidP="00282143">
            <w:pPr>
              <w:spacing w:after="0"/>
              <w:jc w:val="right"/>
              <w:rPr>
                <w:rFonts w:eastAsia="Times New Roman" w:cs="Times New Roman"/>
                <w:color w:val="17365D"/>
                <w:sz w:val="18"/>
                <w:szCs w:val="18"/>
                <w:lang w:eastAsia="lv-LV"/>
              </w:rPr>
            </w:pPr>
          </w:p>
        </w:tc>
      </w:tr>
    </w:tbl>
    <w:p w14:paraId="43319563" w14:textId="77777777" w:rsidR="00917326" w:rsidRPr="00917326" w:rsidRDefault="00917326" w:rsidP="000D2C39">
      <w:pPr>
        <w:pStyle w:val="Heading5"/>
      </w:pPr>
      <w:r w:rsidRPr="00917326">
        <w:t>Piezīme Nr. KB.5.1.1. Ilgtermiņa aizņēmumi</w:t>
      </w:r>
    </w:p>
    <w:p w14:paraId="193A13F7" w14:textId="1EDFB8FA" w:rsidR="00917326" w:rsidRPr="001A6DEC" w:rsidRDefault="00917326" w:rsidP="00F53AD9">
      <w:pPr>
        <w:pStyle w:val="Pamatteksts1"/>
      </w:pPr>
      <w:r w:rsidRPr="001A6DEC">
        <w:t>Būtiskas šī bilances posteņa izmaiņas veido</w:t>
      </w:r>
      <w:r w:rsidR="00CE32C0" w:rsidRPr="001A6DEC">
        <w:t>jas</w:t>
      </w:r>
      <w:r w:rsidRPr="001A6DEC">
        <w:t xml:space="preserve"> valsts budžeta finanšu uzskaitē: </w:t>
      </w:r>
    </w:p>
    <w:p w14:paraId="641CB402" w14:textId="1C8A64A0" w:rsidR="00917326" w:rsidRPr="001A6DEC" w:rsidRDefault="001A6DEC" w:rsidP="002A2F6E">
      <w:pPr>
        <w:pStyle w:val="Bullets"/>
      </w:pPr>
      <w:r w:rsidRPr="001A6DEC">
        <w:t xml:space="preserve">īstermiņa daļas </w:t>
      </w:r>
      <w:proofErr w:type="spellStart"/>
      <w:r w:rsidR="00DE0377">
        <w:t>pār</w:t>
      </w:r>
      <w:r w:rsidRPr="001A6DEC">
        <w:t>klasifikācijas</w:t>
      </w:r>
      <w:proofErr w:type="spellEnd"/>
      <w:r w:rsidRPr="001A6DEC">
        <w:t xml:space="preserve"> izmaiņas</w:t>
      </w:r>
      <w:r w:rsidR="00DE77C7">
        <w:t xml:space="preserve"> (202,5) milj. </w:t>
      </w:r>
      <w:r w:rsidR="00DE77C7" w:rsidRPr="00DE77C7">
        <w:rPr>
          <w:i/>
          <w:iCs/>
        </w:rPr>
        <w:t>euro</w:t>
      </w:r>
      <w:r w:rsidRPr="00DE77C7">
        <w:rPr>
          <w:i/>
          <w:iCs/>
        </w:rPr>
        <w:t>,</w:t>
      </w:r>
      <w:r w:rsidRPr="001A6DEC">
        <w:t xml:space="preserve"> tai skaitā uz īstermiņu pārklasificētā ilgtermiņa aizņēmumu daļa aizņēmumam no Eiropas Komisijas (280,0)</w:t>
      </w:r>
      <w:r w:rsidR="00E70560">
        <w:t> </w:t>
      </w:r>
      <w:r w:rsidRPr="001A6DEC">
        <w:t xml:space="preserve">milj. </w:t>
      </w:r>
      <w:r w:rsidRPr="001A6DEC">
        <w:rPr>
          <w:i/>
          <w:iCs/>
        </w:rPr>
        <w:t>euro</w:t>
      </w:r>
      <w:r w:rsidRPr="001A6DEC">
        <w:t xml:space="preserve"> apmērā un aizņēmumam no Eiropas Investīciju bankas (75,0) milj. </w:t>
      </w:r>
      <w:r w:rsidRPr="001A6DEC">
        <w:rPr>
          <w:i/>
          <w:iCs/>
        </w:rPr>
        <w:t>euro</w:t>
      </w:r>
      <w:r w:rsidRPr="001A6DEC">
        <w:t xml:space="preserve"> apmērā</w:t>
      </w:r>
      <w:r w:rsidR="00917326" w:rsidRPr="001A6DEC">
        <w:t>;</w:t>
      </w:r>
    </w:p>
    <w:p w14:paraId="7DAF43AB" w14:textId="429B0BBE" w:rsidR="00917326" w:rsidRPr="00105F05" w:rsidRDefault="00105F05" w:rsidP="002A2F6E">
      <w:pPr>
        <w:pStyle w:val="Bullets"/>
      </w:pPr>
      <w:r w:rsidRPr="00105F05">
        <w:t>veiktas ilgtermiņa aizņēmumu atmaksas (157,5) milj.</w:t>
      </w:r>
      <w:r w:rsidRPr="00105F05">
        <w:rPr>
          <w:i/>
          <w:iCs/>
        </w:rPr>
        <w:t xml:space="preserve"> euro</w:t>
      </w:r>
      <w:r w:rsidRPr="00105F05">
        <w:t xml:space="preserve"> apmērā, tai skaitā veiktā atmaksa Eiropas Investīciju bankai (150,0) milj.</w:t>
      </w:r>
      <w:r w:rsidR="00E24982">
        <w:t xml:space="preserve"> </w:t>
      </w:r>
      <w:r w:rsidRPr="00105F05">
        <w:rPr>
          <w:i/>
          <w:iCs/>
        </w:rPr>
        <w:t>euro</w:t>
      </w:r>
      <w:r w:rsidRPr="00105F05">
        <w:t xml:space="preserve"> apmērā</w:t>
      </w:r>
      <w:r w:rsidR="00917326" w:rsidRPr="00105F05">
        <w:t>;</w:t>
      </w:r>
    </w:p>
    <w:p w14:paraId="16247685" w14:textId="20F1AB03" w:rsidR="00917326" w:rsidRPr="00105F05" w:rsidRDefault="00917326" w:rsidP="000D2C39">
      <w:pPr>
        <w:pStyle w:val="Heading5"/>
      </w:pPr>
      <w:r w:rsidRPr="00105F05">
        <w:t>Piezīme Nr. KB.5.1.</w:t>
      </w:r>
      <w:r w:rsidR="00105F05" w:rsidRPr="00105F05">
        <w:t>2</w:t>
      </w:r>
      <w:r w:rsidRPr="00105F05">
        <w:t>. Emitēto obligāciju un citu parāda vērtspapīru ilgtermiņa daļa</w:t>
      </w:r>
    </w:p>
    <w:p w14:paraId="0FE38112" w14:textId="443B2135" w:rsidR="00917326" w:rsidRPr="00105F05" w:rsidRDefault="00917326" w:rsidP="00F53AD9">
      <w:pPr>
        <w:pStyle w:val="Pamatteksts1"/>
      </w:pPr>
      <w:r w:rsidRPr="00105F05">
        <w:t xml:space="preserve">Šī posteņa būtiskāko palielinājumu valsts budžeta finanšu uzskaitē </w:t>
      </w:r>
      <w:r w:rsidR="00105F05" w:rsidRPr="00105F05">
        <w:t xml:space="preserve">veido </w:t>
      </w:r>
      <w:r w:rsidRPr="00105F05">
        <w:t xml:space="preserve">veiktā </w:t>
      </w:r>
      <w:r w:rsidR="00105F05" w:rsidRPr="00105F05">
        <w:t xml:space="preserve">10 gadu USD obligāciju </w:t>
      </w:r>
      <w:r w:rsidRPr="00105F05">
        <w:t xml:space="preserve">emisija ārvalstu finanšu tirgos </w:t>
      </w:r>
      <w:r w:rsidR="00105F05" w:rsidRPr="00105F05">
        <w:t>1 151,3 milj.</w:t>
      </w:r>
      <w:r w:rsidRPr="00105F05">
        <w:t xml:space="preserve"> </w:t>
      </w:r>
      <w:r w:rsidRPr="00105F05">
        <w:rPr>
          <w:i/>
        </w:rPr>
        <w:t>euro</w:t>
      </w:r>
      <w:r w:rsidRPr="00105F05">
        <w:t xml:space="preserve"> vērtībā un </w:t>
      </w:r>
      <w:r w:rsidR="00105F05" w:rsidRPr="00105F05">
        <w:t xml:space="preserve">eiroobligāciju emisija 1 685,0 milj. </w:t>
      </w:r>
      <w:r w:rsidR="00105F05" w:rsidRPr="00105F05">
        <w:rPr>
          <w:i/>
          <w:iCs/>
        </w:rPr>
        <w:t>euro</w:t>
      </w:r>
      <w:r w:rsidR="00105F05" w:rsidRPr="00105F05">
        <w:t xml:space="preserve"> vērtībā, </w:t>
      </w:r>
      <w:r w:rsidRPr="00105F05">
        <w:t>uz īstermiņu pārklasificētā vidēja un ilgtermiņa parāda vērtspapīru īstermiņa daļa (</w:t>
      </w:r>
      <w:r w:rsidR="00105F05" w:rsidRPr="00105F05">
        <w:t>1 500,0</w:t>
      </w:r>
      <w:r w:rsidRPr="00105F05">
        <w:t>)</w:t>
      </w:r>
      <w:r w:rsidR="00105F05" w:rsidRPr="00105F05">
        <w:t xml:space="preserve"> milj. </w:t>
      </w:r>
      <w:r w:rsidRPr="00105F05">
        <w:rPr>
          <w:i/>
        </w:rPr>
        <w:t>euro</w:t>
      </w:r>
      <w:r w:rsidRPr="00105F05">
        <w:t xml:space="preserve"> vērtībā.</w:t>
      </w:r>
    </w:p>
    <w:p w14:paraId="25DB3E39" w14:textId="1A8493CF" w:rsidR="00917326" w:rsidRPr="00105F05" w:rsidRDefault="00917326" w:rsidP="000D2C39">
      <w:pPr>
        <w:pStyle w:val="Heading5"/>
      </w:pPr>
      <w:r w:rsidRPr="00105F05">
        <w:lastRenderedPageBreak/>
        <w:t>Piezīme Nr. KB.5.1.</w:t>
      </w:r>
      <w:r w:rsidR="00105F05" w:rsidRPr="00105F05">
        <w:t>3</w:t>
      </w:r>
      <w:r w:rsidRPr="00105F05">
        <w:t>. Pārējās ilgtermiņa saistības</w:t>
      </w:r>
    </w:p>
    <w:p w14:paraId="103F36A0" w14:textId="77777777" w:rsidR="005D171A" w:rsidRPr="00FC1395" w:rsidRDefault="00917326" w:rsidP="00F53AD9">
      <w:pPr>
        <w:pStyle w:val="Pamatteksts1"/>
      </w:pPr>
      <w:r w:rsidRPr="00FC1395">
        <w:t>Bilances posteņa būtiskas izmaiņas veido</w:t>
      </w:r>
      <w:r w:rsidR="005D171A" w:rsidRPr="00FC1395">
        <w:t>:</w:t>
      </w:r>
    </w:p>
    <w:p w14:paraId="3A91AC90" w14:textId="5A019677" w:rsidR="005D171A" w:rsidRPr="00FC1395" w:rsidRDefault="00917326" w:rsidP="002A2F6E">
      <w:pPr>
        <w:pStyle w:val="Bullets"/>
      </w:pPr>
      <w:r w:rsidRPr="00FC1395">
        <w:t>Labklājības ministrija</w:t>
      </w:r>
      <w:r w:rsidR="00824F8F" w:rsidRPr="00FC1395">
        <w:t xml:space="preserve">s saistību pieaugums </w:t>
      </w:r>
      <w:r w:rsidR="00105F05" w:rsidRPr="00FC1395">
        <w:t>1 763,0 milj.</w:t>
      </w:r>
      <w:r w:rsidRPr="00FC1395">
        <w:t xml:space="preserve"> </w:t>
      </w:r>
      <w:r w:rsidRPr="00FC1395">
        <w:rPr>
          <w:i/>
        </w:rPr>
        <w:t>euro</w:t>
      </w:r>
      <w:r w:rsidRPr="00FC1395">
        <w:t xml:space="preserve"> vērtībā pret valsts </w:t>
      </w:r>
      <w:proofErr w:type="spellStart"/>
      <w:r w:rsidRPr="00FC1395">
        <w:t>fondēto</w:t>
      </w:r>
      <w:proofErr w:type="spellEnd"/>
      <w:r w:rsidRPr="00FC1395">
        <w:t xml:space="preserve"> pensiju shēmu dalībniekiem par reģistrētajām iemak</w:t>
      </w:r>
      <w:r w:rsidR="005D171A" w:rsidRPr="00FC1395">
        <w:t>sām shēmas dalībnieku kontos;</w:t>
      </w:r>
    </w:p>
    <w:p w14:paraId="2C8E4382" w14:textId="34CA6208" w:rsidR="005D171A" w:rsidRPr="00F34DC6" w:rsidRDefault="00917326" w:rsidP="002A2F6E">
      <w:pPr>
        <w:pStyle w:val="Bullets"/>
      </w:pPr>
      <w:r w:rsidRPr="00F34DC6">
        <w:t>Zemkopības ministrijas ilgtermiņa saistīb</w:t>
      </w:r>
      <w:r w:rsidR="00CE32C0" w:rsidRPr="00F34DC6">
        <w:t>u</w:t>
      </w:r>
      <w:r w:rsidRPr="00F34DC6">
        <w:t xml:space="preserve"> </w:t>
      </w:r>
      <w:r w:rsidR="004105BE" w:rsidRPr="00F34DC6">
        <w:t>pieaugum</w:t>
      </w:r>
      <w:r w:rsidR="00076053" w:rsidRPr="00F34DC6">
        <w:t xml:space="preserve">s 17,1 milj. </w:t>
      </w:r>
      <w:r w:rsidR="00076053" w:rsidRPr="00F34DC6">
        <w:rPr>
          <w:i/>
        </w:rPr>
        <w:t>euro</w:t>
      </w:r>
      <w:r w:rsidR="00076053" w:rsidRPr="00F34DC6">
        <w:t xml:space="preserve"> vērtībā par </w:t>
      </w:r>
      <w:r w:rsidR="00F34DC6" w:rsidRPr="00F34DC6">
        <w:t xml:space="preserve">piešķirto finansējumu </w:t>
      </w:r>
      <w:r w:rsidRPr="00F34DC6">
        <w:t xml:space="preserve">AS “Attīstības finanšu institūcija </w:t>
      </w:r>
      <w:proofErr w:type="spellStart"/>
      <w:r w:rsidR="00CE32C0" w:rsidRPr="00F34DC6">
        <w:t>Altum</w:t>
      </w:r>
      <w:proofErr w:type="spellEnd"/>
      <w:r w:rsidRPr="00F34DC6">
        <w:t xml:space="preserve">” </w:t>
      </w:r>
      <w:r w:rsidR="002A298A" w:rsidRPr="00F34DC6">
        <w:t xml:space="preserve">Eiropas Lauksaimniecības </w:t>
      </w:r>
      <w:r w:rsidR="00F34DC6" w:rsidRPr="00F34DC6">
        <w:t>fo</w:t>
      </w:r>
      <w:r w:rsidR="002A298A" w:rsidRPr="00F34DC6">
        <w:t>nda lauku attīstībai (</w:t>
      </w:r>
      <w:r w:rsidRPr="00F34DC6">
        <w:t>ELFLA</w:t>
      </w:r>
      <w:r w:rsidR="002A298A" w:rsidRPr="00F34DC6">
        <w:t>)</w:t>
      </w:r>
      <w:r w:rsidR="00BF2339">
        <w:t xml:space="preserve"> </w:t>
      </w:r>
      <w:r w:rsidR="00F34DC6" w:rsidRPr="00F34DC6">
        <w:t xml:space="preserve">un Eiropas Jūrlietu un zivsaimniecības fonda </w:t>
      </w:r>
      <w:r w:rsidR="00BF2339">
        <w:t>(</w:t>
      </w:r>
      <w:r w:rsidR="00F34DC6" w:rsidRPr="00F34DC6">
        <w:t>EJZF</w:t>
      </w:r>
      <w:r w:rsidR="00BF2339">
        <w:t>)</w:t>
      </w:r>
      <w:r w:rsidR="00F34DC6" w:rsidRPr="00F34DC6">
        <w:t xml:space="preserve"> pasākumu “Kredīta fonds” </w:t>
      </w:r>
      <w:r w:rsidRPr="00F34DC6">
        <w:t>ietvaro</w:t>
      </w:r>
      <w:r w:rsidR="00824F8F" w:rsidRPr="00F34DC6">
        <w:t>s</w:t>
      </w:r>
      <w:r w:rsidR="00F34DC6">
        <w:t>.</w:t>
      </w:r>
    </w:p>
    <w:p w14:paraId="026DCA73" w14:textId="6FFB8661" w:rsidR="00FD2C7A" w:rsidRPr="00A27896" w:rsidRDefault="007E4B5E" w:rsidP="005A3758">
      <w:pPr>
        <w:pStyle w:val="Heading4"/>
        <w:rPr>
          <w:rFonts w:cs="Times New Roman"/>
        </w:rPr>
      </w:pPr>
      <w:r w:rsidRPr="005D171A">
        <w:rPr>
          <w:rFonts w:cs="Times New Roman"/>
        </w:rPr>
        <w:t xml:space="preserve">Piezīme Nr. </w:t>
      </w:r>
      <w:r w:rsidR="00FD2C7A" w:rsidRPr="005D171A">
        <w:rPr>
          <w:rFonts w:cs="Times New Roman"/>
        </w:rPr>
        <w:t>KB.</w:t>
      </w:r>
      <w:r w:rsidR="00FB303F" w:rsidRPr="005D171A">
        <w:rPr>
          <w:rFonts w:cs="Times New Roman"/>
        </w:rPr>
        <w:t>5.2.-5.9.</w:t>
      </w:r>
      <w:r w:rsidR="00FD2C7A" w:rsidRPr="005D171A">
        <w:rPr>
          <w:rFonts w:cs="Times New Roman"/>
        </w:rPr>
        <w:t xml:space="preserve"> Īstermiņa saist</w:t>
      </w:r>
      <w:r w:rsidR="00FD2C7A" w:rsidRPr="00A27896">
        <w:rPr>
          <w:rFonts w:cs="Times New Roman"/>
        </w:rPr>
        <w:t>ības</w:t>
      </w:r>
    </w:p>
    <w:p w14:paraId="48FC40C5" w14:textId="317CB5EF" w:rsidR="0019588C" w:rsidRPr="00A27896" w:rsidRDefault="004105BE" w:rsidP="001749DD">
      <w:pPr>
        <w:pStyle w:val="Tabulasnosaukums1"/>
        <w:spacing w:before="0"/>
        <w:rPr>
          <w:rFonts w:cs="Times New Roman"/>
          <w:i/>
          <w:color w:val="17365D"/>
        </w:rPr>
      </w:pPr>
      <w:r>
        <w:rPr>
          <w:rFonts w:cs="Times New Roman"/>
          <w:i/>
          <w:color w:val="17365D"/>
        </w:rPr>
        <w:t>1.</w:t>
      </w:r>
      <w:r w:rsidR="00BF7AE9" w:rsidRPr="00A27896">
        <w:rPr>
          <w:rFonts w:cs="Times New Roman"/>
          <w:i/>
          <w:color w:val="17365D"/>
        </w:rPr>
        <w:t>2</w:t>
      </w:r>
      <w:r w:rsidR="00F128AB">
        <w:rPr>
          <w:rFonts w:cs="Times New Roman"/>
          <w:i/>
          <w:color w:val="17365D"/>
        </w:rPr>
        <w:t>1</w:t>
      </w:r>
      <w:r w:rsidR="0019588C" w:rsidRPr="00A27896">
        <w:rPr>
          <w:rFonts w:cs="Times New Roman"/>
          <w:i/>
          <w:color w:val="17365D"/>
        </w:rPr>
        <w:t>. tabula</w:t>
      </w:r>
      <w:r w:rsidR="00BF3156" w:rsidRPr="00A27896">
        <w:rPr>
          <w:rFonts w:cs="Times New Roman"/>
          <w:i/>
          <w:color w:val="17365D"/>
        </w:rPr>
        <w:t>.</w:t>
      </w:r>
      <w:r w:rsidR="0019588C" w:rsidRPr="00A27896">
        <w:rPr>
          <w:rFonts w:cs="Times New Roman"/>
          <w:i/>
          <w:color w:val="17365D"/>
        </w:rPr>
        <w:t xml:space="preserve"> </w:t>
      </w:r>
      <w:r w:rsidR="00BF3156" w:rsidRPr="00A27896">
        <w:rPr>
          <w:rFonts w:cs="Times New Roman"/>
          <w:i/>
          <w:color w:val="17365D"/>
        </w:rPr>
        <w:t xml:space="preserve">Īstermiņa saistības </w:t>
      </w:r>
      <w:r w:rsidR="00BF3156" w:rsidRPr="00A27896">
        <w:rPr>
          <w:rFonts w:eastAsia="Times New Roman" w:cs="Times New Roman"/>
          <w:i/>
          <w:color w:val="17365D"/>
          <w:szCs w:val="20"/>
          <w:lang w:eastAsia="lv-LV"/>
        </w:rPr>
        <w:t>(</w:t>
      </w:r>
      <w:r w:rsidR="008944A8" w:rsidRPr="00A27896">
        <w:rPr>
          <w:rFonts w:eastAsia="Times New Roman" w:cs="Times New Roman"/>
          <w:i/>
          <w:color w:val="17365D"/>
          <w:szCs w:val="20"/>
          <w:lang w:eastAsia="lv-LV"/>
        </w:rPr>
        <w:t>euro</w:t>
      </w:r>
      <w:r w:rsidR="00BF3156" w:rsidRPr="00A27896">
        <w:rPr>
          <w:rFonts w:eastAsia="Times New Roman" w:cs="Times New Roman"/>
          <w:i/>
          <w:color w:val="17365D"/>
          <w:szCs w:val="20"/>
          <w:lang w:eastAsia="lv-LV"/>
        </w:rPr>
        <w:t>)</w:t>
      </w:r>
    </w:p>
    <w:tbl>
      <w:tblPr>
        <w:tblW w:w="5000" w:type="pct"/>
        <w:tblLayout w:type="fixed"/>
        <w:tblLook w:val="04A0" w:firstRow="1" w:lastRow="0" w:firstColumn="1" w:lastColumn="0" w:noHBand="0" w:noVBand="1"/>
      </w:tblPr>
      <w:tblGrid>
        <w:gridCol w:w="2973"/>
        <w:gridCol w:w="907"/>
        <w:gridCol w:w="1336"/>
        <w:gridCol w:w="1371"/>
        <w:gridCol w:w="1558"/>
        <w:gridCol w:w="1209"/>
      </w:tblGrid>
      <w:tr w:rsidR="000C1009" w:rsidRPr="00A27896" w14:paraId="0E5F87F0" w14:textId="77777777" w:rsidTr="009A4177">
        <w:trPr>
          <w:trHeight w:val="684"/>
          <w:tblHeader/>
        </w:trPr>
        <w:tc>
          <w:tcPr>
            <w:tcW w:w="1589" w:type="pct"/>
            <w:tcBorders>
              <w:bottom w:val="single" w:sz="4" w:space="0" w:color="17365D"/>
            </w:tcBorders>
            <w:shd w:val="clear" w:color="auto" w:fill="B9CDE5"/>
            <w:vAlign w:val="center"/>
            <w:hideMark/>
          </w:tcPr>
          <w:p w14:paraId="104D98BE" w14:textId="4358C067" w:rsidR="00B06300" w:rsidRPr="00A27896" w:rsidRDefault="007611AA" w:rsidP="00B06300">
            <w:pPr>
              <w:spacing w:after="0"/>
              <w:jc w:val="center"/>
              <w:rPr>
                <w:rFonts w:eastAsia="Times New Roman" w:cs="Times New Roman"/>
                <w:b/>
                <w:bCs/>
                <w:color w:val="17365D"/>
                <w:sz w:val="18"/>
                <w:szCs w:val="18"/>
                <w:lang w:eastAsia="lv-LV"/>
              </w:rPr>
            </w:pPr>
            <w:r w:rsidRPr="007611AA">
              <w:rPr>
                <w:rFonts w:eastAsia="Times New Roman" w:cs="Times New Roman"/>
                <w:b/>
                <w:bCs/>
                <w:color w:val="17365D"/>
                <w:sz w:val="18"/>
                <w:szCs w:val="18"/>
                <w:lang w:eastAsia="lv-LV"/>
              </w:rPr>
              <w:t>Posteņa nosaukums</w:t>
            </w:r>
          </w:p>
        </w:tc>
        <w:tc>
          <w:tcPr>
            <w:tcW w:w="485" w:type="pct"/>
            <w:tcBorders>
              <w:bottom w:val="single" w:sz="4" w:space="0" w:color="17365D"/>
            </w:tcBorders>
            <w:shd w:val="clear" w:color="auto" w:fill="B9CDE5"/>
            <w:vAlign w:val="center"/>
            <w:hideMark/>
          </w:tcPr>
          <w:p w14:paraId="0BE96CF8"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Piezīmes</w:t>
            </w:r>
            <w:r w:rsidRPr="00A27896">
              <w:rPr>
                <w:rFonts w:eastAsia="Times New Roman" w:cs="Times New Roman"/>
                <w:b/>
                <w:bCs/>
                <w:color w:val="17365D"/>
                <w:sz w:val="18"/>
                <w:szCs w:val="18"/>
                <w:lang w:eastAsia="lv-LV"/>
              </w:rPr>
              <w:br/>
              <w:t>Nr.</w:t>
            </w:r>
          </w:p>
        </w:tc>
        <w:tc>
          <w:tcPr>
            <w:tcW w:w="714" w:type="pct"/>
            <w:tcBorders>
              <w:bottom w:val="single" w:sz="4" w:space="0" w:color="17365D"/>
            </w:tcBorders>
            <w:shd w:val="clear" w:color="auto" w:fill="B9CDE5"/>
            <w:vAlign w:val="center"/>
            <w:hideMark/>
          </w:tcPr>
          <w:p w14:paraId="15062590"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733" w:type="pct"/>
            <w:tcBorders>
              <w:bottom w:val="single" w:sz="4" w:space="0" w:color="17365D"/>
            </w:tcBorders>
            <w:shd w:val="clear" w:color="auto" w:fill="B9CDE5"/>
            <w:vAlign w:val="center"/>
            <w:hideMark/>
          </w:tcPr>
          <w:p w14:paraId="27DBB305"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833" w:type="pct"/>
            <w:tcBorders>
              <w:bottom w:val="single" w:sz="4" w:space="0" w:color="17365D"/>
            </w:tcBorders>
            <w:shd w:val="clear" w:color="auto" w:fill="B9CDE5"/>
            <w:vAlign w:val="center"/>
            <w:hideMark/>
          </w:tcPr>
          <w:p w14:paraId="326F9904" w14:textId="297F72F6"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Izmaiņas </w:t>
            </w:r>
            <w:r w:rsidRPr="00A27896">
              <w:rPr>
                <w:rFonts w:eastAsia="Times New Roman" w:cs="Times New Roman"/>
                <w:b/>
                <w:bCs/>
                <w:color w:val="17365D"/>
                <w:sz w:val="18"/>
                <w:szCs w:val="18"/>
                <w:lang w:eastAsia="lv-LV"/>
              </w:rPr>
              <w:br/>
              <w:t>(+,</w:t>
            </w:r>
            <w:r w:rsidR="002B1B27" w:rsidRPr="00A27896">
              <w:rPr>
                <w:rFonts w:eastAsia="Times New Roman" w:cs="Times New Roman"/>
                <w:b/>
                <w:bCs/>
                <w:color w:val="17365D"/>
                <w:sz w:val="18"/>
                <w:szCs w:val="18"/>
                <w:lang w:eastAsia="lv-LV"/>
              </w:rPr>
              <w:t xml:space="preserve"> </w:t>
            </w:r>
            <w:r w:rsidR="00402C3D">
              <w:rPr>
                <w:rFonts w:eastAsia="Times New Roman" w:cs="Times New Roman"/>
                <w:b/>
                <w:bCs/>
                <w:color w:val="17365D"/>
                <w:sz w:val="18"/>
                <w:szCs w:val="18"/>
                <w:lang w:eastAsia="lv-LV"/>
              </w:rPr>
              <w:t>–)</w:t>
            </w:r>
          </w:p>
        </w:tc>
        <w:tc>
          <w:tcPr>
            <w:tcW w:w="646" w:type="pct"/>
            <w:tcBorders>
              <w:bottom w:val="single" w:sz="4" w:space="0" w:color="17365D"/>
            </w:tcBorders>
            <w:shd w:val="clear" w:color="auto" w:fill="B9CDE5"/>
            <w:vAlign w:val="center"/>
            <w:hideMark/>
          </w:tcPr>
          <w:p w14:paraId="7E4DEBE4"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Procentuālās izmaiņas (3./2.*100)</w:t>
            </w:r>
          </w:p>
        </w:tc>
      </w:tr>
      <w:tr w:rsidR="000C1009" w:rsidRPr="00A27896" w14:paraId="77876682" w14:textId="77777777" w:rsidTr="00F04FAF">
        <w:trPr>
          <w:trHeight w:val="240"/>
          <w:tblHeader/>
        </w:trPr>
        <w:tc>
          <w:tcPr>
            <w:tcW w:w="1589" w:type="pct"/>
            <w:tcBorders>
              <w:top w:val="single" w:sz="4" w:space="0" w:color="17365D"/>
              <w:bottom w:val="single" w:sz="4" w:space="0" w:color="17365D"/>
            </w:tcBorders>
            <w:shd w:val="clear" w:color="auto" w:fill="auto"/>
            <w:vAlign w:val="center"/>
            <w:hideMark/>
          </w:tcPr>
          <w:p w14:paraId="01EEAA47"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485" w:type="pct"/>
            <w:tcBorders>
              <w:top w:val="single" w:sz="4" w:space="0" w:color="17365D"/>
              <w:bottom w:val="single" w:sz="4" w:space="0" w:color="17365D"/>
            </w:tcBorders>
            <w:shd w:val="clear" w:color="auto" w:fill="auto"/>
            <w:vAlign w:val="center"/>
            <w:hideMark/>
          </w:tcPr>
          <w:p w14:paraId="3C072016"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14" w:type="pct"/>
            <w:tcBorders>
              <w:top w:val="single" w:sz="4" w:space="0" w:color="17365D"/>
              <w:bottom w:val="single" w:sz="4" w:space="0" w:color="17365D"/>
            </w:tcBorders>
            <w:shd w:val="clear" w:color="auto" w:fill="auto"/>
            <w:vAlign w:val="center"/>
            <w:hideMark/>
          </w:tcPr>
          <w:p w14:paraId="7866D1F8"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733" w:type="pct"/>
            <w:tcBorders>
              <w:top w:val="single" w:sz="4" w:space="0" w:color="17365D"/>
              <w:bottom w:val="single" w:sz="4" w:space="0" w:color="17365D"/>
            </w:tcBorders>
            <w:shd w:val="clear" w:color="auto" w:fill="auto"/>
            <w:vAlign w:val="center"/>
            <w:hideMark/>
          </w:tcPr>
          <w:p w14:paraId="1B92101B"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833" w:type="pct"/>
            <w:tcBorders>
              <w:top w:val="single" w:sz="4" w:space="0" w:color="17365D"/>
              <w:bottom w:val="single" w:sz="4" w:space="0" w:color="17365D"/>
            </w:tcBorders>
            <w:shd w:val="clear" w:color="auto" w:fill="auto"/>
            <w:vAlign w:val="center"/>
            <w:hideMark/>
          </w:tcPr>
          <w:p w14:paraId="4D809CC5"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46" w:type="pct"/>
            <w:tcBorders>
              <w:top w:val="single" w:sz="4" w:space="0" w:color="17365D"/>
              <w:bottom w:val="single" w:sz="4" w:space="0" w:color="17365D"/>
            </w:tcBorders>
            <w:shd w:val="clear" w:color="auto" w:fill="auto"/>
            <w:vAlign w:val="center"/>
            <w:hideMark/>
          </w:tcPr>
          <w:p w14:paraId="5A0B1DE9"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F34DC6" w:rsidRPr="00A27896" w14:paraId="716668F7" w14:textId="77777777" w:rsidTr="00F04FAF">
        <w:trPr>
          <w:trHeight w:val="240"/>
        </w:trPr>
        <w:tc>
          <w:tcPr>
            <w:tcW w:w="1589" w:type="pct"/>
            <w:tcBorders>
              <w:top w:val="single" w:sz="4" w:space="0" w:color="17365D"/>
              <w:bottom w:val="single" w:sz="4" w:space="0" w:color="17365D"/>
            </w:tcBorders>
            <w:shd w:val="clear" w:color="auto" w:fill="auto"/>
            <w:vAlign w:val="center"/>
            <w:hideMark/>
          </w:tcPr>
          <w:p w14:paraId="20747487" w14:textId="45840F84" w:rsidR="00F34DC6" w:rsidRPr="00A27896" w:rsidRDefault="00F34DC6" w:rsidP="00F34DC6">
            <w:pPr>
              <w:spacing w:after="0" w:line="240" w:lineRule="auto"/>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Īstermiņa saistības </w:t>
            </w:r>
          </w:p>
        </w:tc>
        <w:tc>
          <w:tcPr>
            <w:tcW w:w="485" w:type="pct"/>
            <w:tcBorders>
              <w:top w:val="single" w:sz="4" w:space="0" w:color="17365D"/>
              <w:bottom w:val="single" w:sz="4" w:space="0" w:color="17365D"/>
            </w:tcBorders>
            <w:shd w:val="clear" w:color="auto" w:fill="auto"/>
            <w:vAlign w:val="center"/>
            <w:hideMark/>
          </w:tcPr>
          <w:p w14:paraId="2EA716B7" w14:textId="02EAF6C8" w:rsidR="00F34DC6" w:rsidRPr="00A27896" w:rsidRDefault="00F34DC6" w:rsidP="00F34DC6">
            <w:pPr>
              <w:spacing w:after="0" w:line="240" w:lineRule="auto"/>
              <w:jc w:val="center"/>
              <w:rPr>
                <w:rFonts w:eastAsia="Times New Roman" w:cs="Times New Roman"/>
                <w:b/>
                <w:bCs/>
                <w:color w:val="17365D"/>
                <w:sz w:val="18"/>
                <w:szCs w:val="18"/>
                <w:lang w:eastAsia="lv-LV"/>
              </w:rPr>
            </w:pPr>
            <w:r w:rsidRPr="00A27896">
              <w:rPr>
                <w:rFonts w:cs="Times New Roman"/>
                <w:b/>
                <w:color w:val="17365D"/>
                <w:sz w:val="18"/>
                <w:szCs w:val="18"/>
              </w:rPr>
              <w:t>KB.5.2.-5.9.</w:t>
            </w:r>
          </w:p>
        </w:tc>
        <w:tc>
          <w:tcPr>
            <w:tcW w:w="714" w:type="pct"/>
            <w:tcBorders>
              <w:top w:val="single" w:sz="4" w:space="0" w:color="17365D"/>
              <w:left w:val="nil"/>
              <w:bottom w:val="single" w:sz="4" w:space="0" w:color="17365D"/>
              <w:right w:val="nil"/>
            </w:tcBorders>
            <w:shd w:val="clear" w:color="auto" w:fill="auto"/>
            <w:vAlign w:val="center"/>
          </w:tcPr>
          <w:p w14:paraId="5B1F42BF" w14:textId="0D95D8B5" w:rsidR="00F34DC6" w:rsidRPr="00907350" w:rsidRDefault="00F34DC6" w:rsidP="00F34DC6">
            <w:pPr>
              <w:spacing w:after="0" w:line="240" w:lineRule="auto"/>
              <w:jc w:val="right"/>
              <w:rPr>
                <w:rFonts w:eastAsia="Times New Roman" w:cs="Times New Roman"/>
                <w:b/>
                <w:color w:val="17365D"/>
                <w:sz w:val="18"/>
                <w:szCs w:val="18"/>
                <w:highlight w:val="yellow"/>
                <w:lang w:eastAsia="lv-LV"/>
              </w:rPr>
            </w:pPr>
            <w:r>
              <w:rPr>
                <w:b/>
                <w:bCs/>
                <w:color w:val="17365D"/>
                <w:sz w:val="18"/>
                <w:szCs w:val="18"/>
              </w:rPr>
              <w:t>6 309 364 404</w:t>
            </w:r>
          </w:p>
        </w:tc>
        <w:tc>
          <w:tcPr>
            <w:tcW w:w="733" w:type="pct"/>
            <w:tcBorders>
              <w:top w:val="single" w:sz="4" w:space="0" w:color="17365D"/>
              <w:left w:val="nil"/>
              <w:bottom w:val="single" w:sz="4" w:space="0" w:color="17365D"/>
              <w:right w:val="nil"/>
            </w:tcBorders>
            <w:shd w:val="clear" w:color="auto" w:fill="auto"/>
            <w:vAlign w:val="center"/>
          </w:tcPr>
          <w:p w14:paraId="5950722D" w14:textId="5382792D" w:rsidR="00F34DC6" w:rsidRPr="00907350" w:rsidRDefault="00F34DC6" w:rsidP="00F34DC6">
            <w:pPr>
              <w:spacing w:after="0" w:line="240" w:lineRule="auto"/>
              <w:jc w:val="right"/>
              <w:rPr>
                <w:rFonts w:eastAsia="Times New Roman" w:cs="Times New Roman"/>
                <w:b/>
                <w:color w:val="17365D"/>
                <w:sz w:val="18"/>
                <w:szCs w:val="18"/>
                <w:highlight w:val="yellow"/>
                <w:lang w:eastAsia="lv-LV"/>
              </w:rPr>
            </w:pPr>
            <w:r>
              <w:rPr>
                <w:b/>
                <w:bCs/>
                <w:color w:val="17365D"/>
                <w:sz w:val="18"/>
                <w:szCs w:val="18"/>
              </w:rPr>
              <w:t>5 406 530 226</w:t>
            </w:r>
          </w:p>
        </w:tc>
        <w:tc>
          <w:tcPr>
            <w:tcW w:w="833" w:type="pct"/>
            <w:tcBorders>
              <w:top w:val="single" w:sz="4" w:space="0" w:color="17365D"/>
              <w:left w:val="nil"/>
              <w:bottom w:val="single" w:sz="4" w:space="0" w:color="17365D"/>
              <w:right w:val="nil"/>
            </w:tcBorders>
            <w:shd w:val="clear" w:color="auto" w:fill="auto"/>
            <w:noWrap/>
            <w:vAlign w:val="center"/>
          </w:tcPr>
          <w:p w14:paraId="7E390B8D" w14:textId="067F70FE" w:rsidR="00F34DC6" w:rsidRPr="00907350" w:rsidRDefault="00F34DC6" w:rsidP="00F34DC6">
            <w:pPr>
              <w:spacing w:after="0" w:line="240" w:lineRule="auto"/>
              <w:jc w:val="right"/>
              <w:rPr>
                <w:rFonts w:eastAsia="Times New Roman" w:cs="Times New Roman"/>
                <w:b/>
                <w:color w:val="17365D"/>
                <w:sz w:val="18"/>
                <w:szCs w:val="18"/>
                <w:highlight w:val="yellow"/>
                <w:lang w:eastAsia="lv-LV"/>
              </w:rPr>
            </w:pPr>
            <w:r>
              <w:rPr>
                <w:b/>
                <w:bCs/>
                <w:color w:val="17365D"/>
                <w:sz w:val="18"/>
                <w:szCs w:val="18"/>
              </w:rPr>
              <w:t>902 834 178</w:t>
            </w:r>
          </w:p>
        </w:tc>
        <w:tc>
          <w:tcPr>
            <w:tcW w:w="646" w:type="pct"/>
            <w:tcBorders>
              <w:top w:val="single" w:sz="4" w:space="0" w:color="17365D"/>
              <w:left w:val="nil"/>
              <w:bottom w:val="single" w:sz="4" w:space="0" w:color="17365D"/>
              <w:right w:val="nil"/>
            </w:tcBorders>
            <w:shd w:val="clear" w:color="auto" w:fill="auto"/>
            <w:noWrap/>
            <w:vAlign w:val="center"/>
          </w:tcPr>
          <w:p w14:paraId="6D7D0CF1" w14:textId="43DB6EFA" w:rsidR="00F34DC6" w:rsidRPr="00907350" w:rsidRDefault="00F34DC6" w:rsidP="00F34DC6">
            <w:pPr>
              <w:spacing w:after="0" w:line="240" w:lineRule="auto"/>
              <w:jc w:val="right"/>
              <w:rPr>
                <w:rFonts w:eastAsia="Times New Roman" w:cs="Times New Roman"/>
                <w:b/>
                <w:color w:val="17365D"/>
                <w:sz w:val="18"/>
                <w:szCs w:val="18"/>
                <w:highlight w:val="yellow"/>
                <w:lang w:eastAsia="lv-LV"/>
              </w:rPr>
            </w:pPr>
            <w:r>
              <w:rPr>
                <w:b/>
                <w:bCs/>
                <w:color w:val="17365D"/>
                <w:sz w:val="18"/>
                <w:szCs w:val="18"/>
              </w:rPr>
              <w:t>16.70</w:t>
            </w:r>
          </w:p>
        </w:tc>
      </w:tr>
      <w:tr w:rsidR="00F34DC6" w:rsidRPr="00A27896" w14:paraId="606F14B6" w14:textId="77777777" w:rsidTr="00F04FAF">
        <w:trPr>
          <w:trHeight w:val="480"/>
        </w:trPr>
        <w:tc>
          <w:tcPr>
            <w:tcW w:w="1589" w:type="pct"/>
            <w:tcBorders>
              <w:top w:val="single" w:sz="4" w:space="0" w:color="17365D"/>
              <w:bottom w:val="single" w:sz="4" w:space="0" w:color="17365D"/>
            </w:tcBorders>
            <w:shd w:val="clear" w:color="auto" w:fill="auto"/>
            <w:vAlign w:val="center"/>
            <w:hideMark/>
          </w:tcPr>
          <w:p w14:paraId="00D5CFD5" w14:textId="5960654D"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aizņēmumi un ilgtermiņa aizņēmumu īstermiņa daļa</w:t>
            </w:r>
          </w:p>
        </w:tc>
        <w:tc>
          <w:tcPr>
            <w:tcW w:w="485" w:type="pct"/>
            <w:tcBorders>
              <w:top w:val="single" w:sz="4" w:space="0" w:color="17365D"/>
              <w:bottom w:val="single" w:sz="4" w:space="0" w:color="17365D"/>
            </w:tcBorders>
            <w:shd w:val="clear" w:color="auto" w:fill="auto"/>
            <w:noWrap/>
            <w:vAlign w:val="center"/>
            <w:hideMark/>
          </w:tcPr>
          <w:p w14:paraId="2592DAD9" w14:textId="73376309" w:rsidR="00F34DC6" w:rsidRPr="00A27896" w:rsidRDefault="00F34DC6" w:rsidP="00F34DC6">
            <w:pPr>
              <w:spacing w:after="0" w:line="240" w:lineRule="auto"/>
              <w:jc w:val="center"/>
              <w:rPr>
                <w:rFonts w:eastAsia="Times New Roman" w:cs="Times New Roman"/>
                <w:color w:val="17365D"/>
                <w:sz w:val="18"/>
                <w:szCs w:val="18"/>
                <w:lang w:eastAsia="lv-LV"/>
              </w:rPr>
            </w:pPr>
            <w:r>
              <w:rPr>
                <w:rFonts w:eastAsia="Times New Roman" w:cs="Times New Roman"/>
                <w:color w:val="17365D"/>
                <w:sz w:val="18"/>
                <w:szCs w:val="18"/>
                <w:lang w:eastAsia="lv-LV"/>
              </w:rPr>
              <w:t>KB.5.2.</w:t>
            </w:r>
          </w:p>
        </w:tc>
        <w:tc>
          <w:tcPr>
            <w:tcW w:w="714" w:type="pct"/>
            <w:tcBorders>
              <w:top w:val="single" w:sz="4" w:space="0" w:color="17365D"/>
              <w:left w:val="nil"/>
              <w:bottom w:val="single" w:sz="4" w:space="0" w:color="17365D"/>
              <w:right w:val="nil"/>
            </w:tcBorders>
            <w:shd w:val="clear" w:color="auto" w:fill="auto"/>
            <w:vAlign w:val="center"/>
          </w:tcPr>
          <w:p w14:paraId="0DE280B7" w14:textId="4C4B6465"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416 482 370</w:t>
            </w:r>
          </w:p>
        </w:tc>
        <w:tc>
          <w:tcPr>
            <w:tcW w:w="733" w:type="pct"/>
            <w:tcBorders>
              <w:top w:val="single" w:sz="4" w:space="0" w:color="17365D"/>
              <w:left w:val="nil"/>
              <w:bottom w:val="single" w:sz="4" w:space="0" w:color="17365D"/>
              <w:right w:val="nil"/>
            </w:tcBorders>
            <w:shd w:val="clear" w:color="auto" w:fill="auto"/>
            <w:vAlign w:val="center"/>
          </w:tcPr>
          <w:p w14:paraId="4570AF34" w14:textId="49ECA9BB"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219 449 693</w:t>
            </w:r>
          </w:p>
        </w:tc>
        <w:tc>
          <w:tcPr>
            <w:tcW w:w="833" w:type="pct"/>
            <w:tcBorders>
              <w:top w:val="single" w:sz="4" w:space="0" w:color="17365D"/>
              <w:left w:val="nil"/>
              <w:bottom w:val="single" w:sz="4" w:space="0" w:color="17365D"/>
              <w:right w:val="nil"/>
            </w:tcBorders>
            <w:shd w:val="clear" w:color="auto" w:fill="auto"/>
            <w:noWrap/>
            <w:vAlign w:val="center"/>
          </w:tcPr>
          <w:p w14:paraId="0EFE415C" w14:textId="645175FF"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197 032 677</w:t>
            </w:r>
          </w:p>
        </w:tc>
        <w:tc>
          <w:tcPr>
            <w:tcW w:w="646" w:type="pct"/>
            <w:tcBorders>
              <w:top w:val="single" w:sz="4" w:space="0" w:color="17365D"/>
              <w:left w:val="nil"/>
              <w:bottom w:val="single" w:sz="4" w:space="0" w:color="17365D"/>
              <w:right w:val="nil"/>
            </w:tcBorders>
            <w:shd w:val="clear" w:color="auto" w:fill="auto"/>
            <w:noWrap/>
            <w:vAlign w:val="center"/>
          </w:tcPr>
          <w:p w14:paraId="4B1E31F3" w14:textId="47109C93"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89.78</w:t>
            </w:r>
          </w:p>
        </w:tc>
      </w:tr>
      <w:tr w:rsidR="00F34DC6" w:rsidRPr="00A27896" w14:paraId="56135CD8" w14:textId="77777777" w:rsidTr="00F04FAF">
        <w:trPr>
          <w:trHeight w:val="54"/>
        </w:trPr>
        <w:tc>
          <w:tcPr>
            <w:tcW w:w="1589" w:type="pct"/>
            <w:tcBorders>
              <w:top w:val="single" w:sz="4" w:space="0" w:color="17365D"/>
              <w:bottom w:val="single" w:sz="4" w:space="0" w:color="17365D"/>
            </w:tcBorders>
            <w:shd w:val="clear" w:color="auto" w:fill="auto"/>
            <w:vAlign w:val="center"/>
            <w:hideMark/>
          </w:tcPr>
          <w:p w14:paraId="712EEE96" w14:textId="203D2262"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saistības pret piegādātājiem un darbuzņēmējiem</w:t>
            </w:r>
          </w:p>
        </w:tc>
        <w:tc>
          <w:tcPr>
            <w:tcW w:w="485" w:type="pct"/>
            <w:tcBorders>
              <w:top w:val="single" w:sz="4" w:space="0" w:color="17365D"/>
              <w:bottom w:val="single" w:sz="4" w:space="0" w:color="17365D"/>
            </w:tcBorders>
            <w:shd w:val="clear" w:color="auto" w:fill="auto"/>
            <w:noWrap/>
            <w:vAlign w:val="center"/>
          </w:tcPr>
          <w:p w14:paraId="3083D738" w14:textId="6EA1D645" w:rsidR="00F34DC6" w:rsidRPr="00A27896" w:rsidRDefault="00F34DC6" w:rsidP="00F34DC6">
            <w:pPr>
              <w:spacing w:after="0" w:line="240" w:lineRule="auto"/>
              <w:jc w:val="center"/>
              <w:rPr>
                <w:rFonts w:eastAsia="Times New Roman" w:cs="Times New Roman"/>
                <w:color w:val="17365D"/>
                <w:sz w:val="18"/>
                <w:szCs w:val="18"/>
                <w:lang w:eastAsia="lv-LV"/>
              </w:rPr>
            </w:pPr>
          </w:p>
        </w:tc>
        <w:tc>
          <w:tcPr>
            <w:tcW w:w="714" w:type="pct"/>
            <w:tcBorders>
              <w:top w:val="single" w:sz="4" w:space="0" w:color="17365D"/>
              <w:left w:val="nil"/>
              <w:bottom w:val="single" w:sz="4" w:space="0" w:color="17365D"/>
              <w:right w:val="nil"/>
            </w:tcBorders>
            <w:shd w:val="clear" w:color="auto" w:fill="auto"/>
            <w:vAlign w:val="center"/>
          </w:tcPr>
          <w:p w14:paraId="4CE45A62" w14:textId="15F4257E"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201 712 089</w:t>
            </w:r>
          </w:p>
        </w:tc>
        <w:tc>
          <w:tcPr>
            <w:tcW w:w="733" w:type="pct"/>
            <w:tcBorders>
              <w:top w:val="single" w:sz="4" w:space="0" w:color="17365D"/>
              <w:left w:val="nil"/>
              <w:bottom w:val="single" w:sz="4" w:space="0" w:color="17365D"/>
              <w:right w:val="nil"/>
            </w:tcBorders>
            <w:shd w:val="clear" w:color="auto" w:fill="auto"/>
            <w:vAlign w:val="center"/>
          </w:tcPr>
          <w:p w14:paraId="6F6C2FAD" w14:textId="3FB1F443"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190 860 771</w:t>
            </w:r>
          </w:p>
        </w:tc>
        <w:tc>
          <w:tcPr>
            <w:tcW w:w="833" w:type="pct"/>
            <w:tcBorders>
              <w:top w:val="single" w:sz="4" w:space="0" w:color="17365D"/>
              <w:left w:val="nil"/>
              <w:bottom w:val="single" w:sz="4" w:space="0" w:color="17365D"/>
              <w:right w:val="nil"/>
            </w:tcBorders>
            <w:shd w:val="clear" w:color="auto" w:fill="auto"/>
            <w:noWrap/>
            <w:vAlign w:val="center"/>
          </w:tcPr>
          <w:p w14:paraId="246DE407" w14:textId="493E5131"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10 851 318</w:t>
            </w:r>
          </w:p>
        </w:tc>
        <w:tc>
          <w:tcPr>
            <w:tcW w:w="646" w:type="pct"/>
            <w:tcBorders>
              <w:top w:val="single" w:sz="4" w:space="0" w:color="17365D"/>
              <w:left w:val="nil"/>
              <w:bottom w:val="single" w:sz="4" w:space="0" w:color="17365D"/>
              <w:right w:val="nil"/>
            </w:tcBorders>
            <w:shd w:val="clear" w:color="auto" w:fill="auto"/>
            <w:noWrap/>
            <w:vAlign w:val="center"/>
          </w:tcPr>
          <w:p w14:paraId="26D1B4D7" w14:textId="63A9C92E"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5.69</w:t>
            </w:r>
          </w:p>
        </w:tc>
      </w:tr>
      <w:tr w:rsidR="00F34DC6" w:rsidRPr="00A27896" w14:paraId="6C6E1EE3" w14:textId="77777777" w:rsidTr="00F04FAF">
        <w:trPr>
          <w:trHeight w:val="240"/>
        </w:trPr>
        <w:tc>
          <w:tcPr>
            <w:tcW w:w="1589" w:type="pct"/>
            <w:tcBorders>
              <w:top w:val="single" w:sz="4" w:space="0" w:color="17365D"/>
              <w:bottom w:val="single" w:sz="4" w:space="0" w:color="17365D"/>
            </w:tcBorders>
            <w:shd w:val="clear" w:color="auto" w:fill="auto"/>
            <w:vAlign w:val="center"/>
            <w:hideMark/>
          </w:tcPr>
          <w:p w14:paraId="3FDDA1E9" w14:textId="15E8238A"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uzkrātās saistības</w:t>
            </w:r>
          </w:p>
        </w:tc>
        <w:tc>
          <w:tcPr>
            <w:tcW w:w="485" w:type="pct"/>
            <w:tcBorders>
              <w:top w:val="single" w:sz="4" w:space="0" w:color="17365D"/>
              <w:bottom w:val="single" w:sz="4" w:space="0" w:color="17365D"/>
            </w:tcBorders>
            <w:shd w:val="clear" w:color="auto" w:fill="auto"/>
            <w:noWrap/>
            <w:vAlign w:val="center"/>
          </w:tcPr>
          <w:p w14:paraId="34994083" w14:textId="51A60FCC" w:rsidR="00F34DC6" w:rsidRPr="00A27896" w:rsidRDefault="00F34DC6" w:rsidP="00F34DC6">
            <w:pPr>
              <w:spacing w:after="0" w:line="240" w:lineRule="auto"/>
              <w:jc w:val="center"/>
              <w:rPr>
                <w:rFonts w:eastAsia="Times New Roman" w:cs="Times New Roman"/>
                <w:color w:val="17365D"/>
                <w:sz w:val="18"/>
                <w:szCs w:val="18"/>
                <w:lang w:eastAsia="lv-LV"/>
              </w:rPr>
            </w:pPr>
          </w:p>
        </w:tc>
        <w:tc>
          <w:tcPr>
            <w:tcW w:w="714" w:type="pct"/>
            <w:tcBorders>
              <w:top w:val="single" w:sz="4" w:space="0" w:color="17365D"/>
              <w:left w:val="nil"/>
              <w:bottom w:val="single" w:sz="4" w:space="0" w:color="17365D"/>
              <w:right w:val="nil"/>
            </w:tcBorders>
            <w:shd w:val="clear" w:color="auto" w:fill="auto"/>
            <w:vAlign w:val="center"/>
          </w:tcPr>
          <w:p w14:paraId="764CA566" w14:textId="71C837C9"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1 023 246 400</w:t>
            </w:r>
          </w:p>
        </w:tc>
        <w:tc>
          <w:tcPr>
            <w:tcW w:w="733" w:type="pct"/>
            <w:tcBorders>
              <w:top w:val="single" w:sz="4" w:space="0" w:color="17365D"/>
              <w:left w:val="nil"/>
              <w:bottom w:val="single" w:sz="4" w:space="0" w:color="17365D"/>
              <w:right w:val="nil"/>
            </w:tcBorders>
            <w:shd w:val="clear" w:color="auto" w:fill="auto"/>
            <w:vAlign w:val="center"/>
          </w:tcPr>
          <w:p w14:paraId="757222A7" w14:textId="0FDD11D2"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953 451 924</w:t>
            </w:r>
          </w:p>
        </w:tc>
        <w:tc>
          <w:tcPr>
            <w:tcW w:w="833" w:type="pct"/>
            <w:tcBorders>
              <w:top w:val="single" w:sz="4" w:space="0" w:color="17365D"/>
              <w:left w:val="nil"/>
              <w:bottom w:val="single" w:sz="4" w:space="0" w:color="17365D"/>
              <w:right w:val="nil"/>
            </w:tcBorders>
            <w:shd w:val="clear" w:color="auto" w:fill="auto"/>
            <w:noWrap/>
            <w:vAlign w:val="center"/>
          </w:tcPr>
          <w:p w14:paraId="36A85063" w14:textId="61808B55"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69 794 476</w:t>
            </w:r>
          </w:p>
        </w:tc>
        <w:tc>
          <w:tcPr>
            <w:tcW w:w="646" w:type="pct"/>
            <w:tcBorders>
              <w:top w:val="single" w:sz="4" w:space="0" w:color="17365D"/>
              <w:left w:val="nil"/>
              <w:bottom w:val="single" w:sz="4" w:space="0" w:color="17365D"/>
              <w:right w:val="nil"/>
            </w:tcBorders>
            <w:shd w:val="clear" w:color="auto" w:fill="auto"/>
            <w:noWrap/>
            <w:vAlign w:val="center"/>
          </w:tcPr>
          <w:p w14:paraId="7220B935" w14:textId="696F2393"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7.32</w:t>
            </w:r>
          </w:p>
        </w:tc>
      </w:tr>
      <w:tr w:rsidR="00F34DC6" w:rsidRPr="00A27896" w14:paraId="234D6C0F" w14:textId="77777777" w:rsidTr="00F04FAF">
        <w:trPr>
          <w:trHeight w:val="54"/>
        </w:trPr>
        <w:tc>
          <w:tcPr>
            <w:tcW w:w="1589" w:type="pct"/>
            <w:tcBorders>
              <w:top w:val="single" w:sz="4" w:space="0" w:color="17365D"/>
              <w:bottom w:val="single" w:sz="4" w:space="0" w:color="17365D"/>
            </w:tcBorders>
            <w:shd w:val="clear" w:color="auto" w:fill="auto"/>
            <w:vAlign w:val="center"/>
            <w:hideMark/>
          </w:tcPr>
          <w:p w14:paraId="0F26340F" w14:textId="38C0682F"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Valsts budžeta finanšu uzskaites īstermiņa saistības</w:t>
            </w:r>
          </w:p>
        </w:tc>
        <w:tc>
          <w:tcPr>
            <w:tcW w:w="485" w:type="pct"/>
            <w:tcBorders>
              <w:top w:val="single" w:sz="4" w:space="0" w:color="17365D"/>
              <w:bottom w:val="single" w:sz="4" w:space="0" w:color="17365D"/>
            </w:tcBorders>
            <w:shd w:val="clear" w:color="auto" w:fill="auto"/>
            <w:noWrap/>
            <w:vAlign w:val="center"/>
            <w:hideMark/>
          </w:tcPr>
          <w:p w14:paraId="47A7D19B" w14:textId="6E5C1DC6" w:rsidR="00F34DC6" w:rsidRPr="00A27896" w:rsidRDefault="00F34DC6" w:rsidP="00F34DC6">
            <w:pPr>
              <w:spacing w:after="0" w:line="240" w:lineRule="auto"/>
              <w:jc w:val="center"/>
              <w:rPr>
                <w:rFonts w:eastAsia="Times New Roman" w:cs="Times New Roman"/>
                <w:color w:val="17365D"/>
                <w:sz w:val="18"/>
                <w:szCs w:val="18"/>
                <w:lang w:eastAsia="lv-LV"/>
              </w:rPr>
            </w:pPr>
            <w:r>
              <w:rPr>
                <w:rFonts w:eastAsia="Times New Roman" w:cs="Times New Roman"/>
                <w:color w:val="17365D"/>
                <w:sz w:val="18"/>
                <w:szCs w:val="18"/>
                <w:lang w:eastAsia="lv-LV"/>
              </w:rPr>
              <w:t>KB.5.5.</w:t>
            </w:r>
          </w:p>
        </w:tc>
        <w:tc>
          <w:tcPr>
            <w:tcW w:w="714" w:type="pct"/>
            <w:tcBorders>
              <w:top w:val="single" w:sz="4" w:space="0" w:color="17365D"/>
              <w:left w:val="nil"/>
              <w:bottom w:val="single" w:sz="4" w:space="0" w:color="17365D"/>
              <w:right w:val="nil"/>
            </w:tcBorders>
            <w:shd w:val="clear" w:color="auto" w:fill="auto"/>
            <w:vAlign w:val="center"/>
          </w:tcPr>
          <w:p w14:paraId="0C20FCF5" w14:textId="186C1B3D"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2 013 348 466</w:t>
            </w:r>
          </w:p>
        </w:tc>
        <w:tc>
          <w:tcPr>
            <w:tcW w:w="733" w:type="pct"/>
            <w:tcBorders>
              <w:top w:val="single" w:sz="4" w:space="0" w:color="17365D"/>
              <w:left w:val="nil"/>
              <w:bottom w:val="single" w:sz="4" w:space="0" w:color="17365D"/>
              <w:right w:val="nil"/>
            </w:tcBorders>
            <w:shd w:val="clear" w:color="auto" w:fill="auto"/>
            <w:vAlign w:val="center"/>
          </w:tcPr>
          <w:p w14:paraId="6894E7B7" w14:textId="53471BF2"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1 704 361 477</w:t>
            </w:r>
          </w:p>
        </w:tc>
        <w:tc>
          <w:tcPr>
            <w:tcW w:w="833" w:type="pct"/>
            <w:tcBorders>
              <w:top w:val="single" w:sz="4" w:space="0" w:color="17365D"/>
              <w:left w:val="nil"/>
              <w:bottom w:val="single" w:sz="4" w:space="0" w:color="17365D"/>
              <w:right w:val="nil"/>
            </w:tcBorders>
            <w:shd w:val="clear" w:color="auto" w:fill="auto"/>
            <w:noWrap/>
            <w:vAlign w:val="center"/>
          </w:tcPr>
          <w:p w14:paraId="338A57D5" w14:textId="4C96DF58"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308 986 989</w:t>
            </w:r>
          </w:p>
        </w:tc>
        <w:tc>
          <w:tcPr>
            <w:tcW w:w="646" w:type="pct"/>
            <w:tcBorders>
              <w:top w:val="single" w:sz="4" w:space="0" w:color="17365D"/>
              <w:left w:val="nil"/>
              <w:bottom w:val="single" w:sz="4" w:space="0" w:color="17365D"/>
              <w:right w:val="nil"/>
            </w:tcBorders>
            <w:shd w:val="clear" w:color="auto" w:fill="auto"/>
            <w:noWrap/>
            <w:vAlign w:val="center"/>
          </w:tcPr>
          <w:p w14:paraId="5D5865FC" w14:textId="3A8D2AA7"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18.13</w:t>
            </w:r>
          </w:p>
        </w:tc>
      </w:tr>
      <w:tr w:rsidR="00F34DC6" w:rsidRPr="00A27896" w14:paraId="55B7FA0F" w14:textId="77777777" w:rsidTr="00F04FAF">
        <w:trPr>
          <w:trHeight w:val="54"/>
        </w:trPr>
        <w:tc>
          <w:tcPr>
            <w:tcW w:w="1589" w:type="pct"/>
            <w:tcBorders>
              <w:top w:val="single" w:sz="4" w:space="0" w:color="17365D"/>
              <w:bottom w:val="single" w:sz="4" w:space="0" w:color="17365D"/>
            </w:tcBorders>
            <w:shd w:val="clear" w:color="auto" w:fill="auto"/>
            <w:vAlign w:val="center"/>
            <w:hideMark/>
          </w:tcPr>
          <w:p w14:paraId="57A3D563" w14:textId="7C1FA64B"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Norēķini par darba samaksu un ieturējumiem (izņemot nodokļus)</w:t>
            </w:r>
          </w:p>
        </w:tc>
        <w:tc>
          <w:tcPr>
            <w:tcW w:w="485" w:type="pct"/>
            <w:tcBorders>
              <w:top w:val="single" w:sz="4" w:space="0" w:color="17365D"/>
              <w:bottom w:val="single" w:sz="4" w:space="0" w:color="17365D"/>
            </w:tcBorders>
            <w:shd w:val="clear" w:color="auto" w:fill="auto"/>
            <w:noWrap/>
            <w:vAlign w:val="center"/>
          </w:tcPr>
          <w:p w14:paraId="433E1899" w14:textId="34E310F5" w:rsidR="00F34DC6" w:rsidRPr="00A27896" w:rsidRDefault="00F34DC6" w:rsidP="00F34DC6">
            <w:pPr>
              <w:spacing w:after="0" w:line="240" w:lineRule="auto"/>
              <w:jc w:val="center"/>
              <w:rPr>
                <w:rFonts w:eastAsia="Times New Roman" w:cs="Times New Roman"/>
                <w:color w:val="17365D"/>
                <w:sz w:val="18"/>
                <w:szCs w:val="18"/>
                <w:lang w:eastAsia="lv-LV"/>
              </w:rPr>
            </w:pPr>
          </w:p>
        </w:tc>
        <w:tc>
          <w:tcPr>
            <w:tcW w:w="714" w:type="pct"/>
            <w:tcBorders>
              <w:top w:val="single" w:sz="4" w:space="0" w:color="17365D"/>
              <w:left w:val="nil"/>
              <w:bottom w:val="single" w:sz="4" w:space="0" w:color="17365D"/>
              <w:right w:val="nil"/>
            </w:tcBorders>
            <w:shd w:val="clear" w:color="auto" w:fill="auto"/>
            <w:vAlign w:val="center"/>
          </w:tcPr>
          <w:p w14:paraId="4042730F" w14:textId="1B90A2B5"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94 401 862</w:t>
            </w:r>
          </w:p>
        </w:tc>
        <w:tc>
          <w:tcPr>
            <w:tcW w:w="733" w:type="pct"/>
            <w:tcBorders>
              <w:top w:val="single" w:sz="4" w:space="0" w:color="17365D"/>
              <w:left w:val="nil"/>
              <w:bottom w:val="single" w:sz="4" w:space="0" w:color="17365D"/>
              <w:right w:val="nil"/>
            </w:tcBorders>
            <w:shd w:val="clear" w:color="auto" w:fill="auto"/>
            <w:vAlign w:val="center"/>
          </w:tcPr>
          <w:p w14:paraId="5044D93F" w14:textId="2C841C8C"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72 521 328</w:t>
            </w:r>
          </w:p>
        </w:tc>
        <w:tc>
          <w:tcPr>
            <w:tcW w:w="833" w:type="pct"/>
            <w:tcBorders>
              <w:top w:val="single" w:sz="4" w:space="0" w:color="17365D"/>
              <w:left w:val="nil"/>
              <w:bottom w:val="single" w:sz="4" w:space="0" w:color="17365D"/>
              <w:right w:val="nil"/>
            </w:tcBorders>
            <w:shd w:val="clear" w:color="auto" w:fill="auto"/>
            <w:noWrap/>
            <w:vAlign w:val="center"/>
          </w:tcPr>
          <w:p w14:paraId="7C4F14B5" w14:textId="58AF2E78"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21 880 534</w:t>
            </w:r>
          </w:p>
        </w:tc>
        <w:tc>
          <w:tcPr>
            <w:tcW w:w="646" w:type="pct"/>
            <w:tcBorders>
              <w:top w:val="single" w:sz="4" w:space="0" w:color="17365D"/>
              <w:left w:val="nil"/>
              <w:bottom w:val="single" w:sz="4" w:space="0" w:color="17365D"/>
              <w:right w:val="nil"/>
            </w:tcBorders>
            <w:shd w:val="clear" w:color="auto" w:fill="auto"/>
            <w:noWrap/>
            <w:vAlign w:val="center"/>
          </w:tcPr>
          <w:p w14:paraId="00DA6742" w14:textId="5560E59A" w:rsidR="00F34DC6" w:rsidRPr="00907350" w:rsidRDefault="00F34DC6" w:rsidP="00F34DC6">
            <w:pPr>
              <w:spacing w:after="0" w:line="240" w:lineRule="auto"/>
              <w:jc w:val="right"/>
              <w:rPr>
                <w:rFonts w:cs="Times New Roman"/>
                <w:color w:val="17365D"/>
                <w:sz w:val="18"/>
                <w:szCs w:val="18"/>
                <w:highlight w:val="yellow"/>
              </w:rPr>
            </w:pPr>
            <w:r>
              <w:rPr>
                <w:color w:val="17365D"/>
                <w:sz w:val="18"/>
                <w:szCs w:val="18"/>
              </w:rPr>
              <w:t>30.17</w:t>
            </w:r>
          </w:p>
        </w:tc>
      </w:tr>
      <w:tr w:rsidR="00F34DC6" w:rsidRPr="00A27896" w14:paraId="670C8238" w14:textId="77777777" w:rsidTr="00F04FAF">
        <w:trPr>
          <w:trHeight w:val="54"/>
        </w:trPr>
        <w:tc>
          <w:tcPr>
            <w:tcW w:w="1589" w:type="pct"/>
            <w:tcBorders>
              <w:top w:val="single" w:sz="4" w:space="0" w:color="17365D"/>
              <w:bottom w:val="single" w:sz="4" w:space="0" w:color="17365D"/>
            </w:tcBorders>
            <w:shd w:val="clear" w:color="auto" w:fill="auto"/>
            <w:vAlign w:val="center"/>
            <w:hideMark/>
          </w:tcPr>
          <w:p w14:paraId="0E00FC4D" w14:textId="1BB6884A"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Saistības par nodokļiem, nodevām un citiem maksājumiem</w:t>
            </w:r>
          </w:p>
        </w:tc>
        <w:tc>
          <w:tcPr>
            <w:tcW w:w="485" w:type="pct"/>
            <w:tcBorders>
              <w:top w:val="single" w:sz="4" w:space="0" w:color="17365D"/>
              <w:bottom w:val="single" w:sz="4" w:space="0" w:color="17365D"/>
            </w:tcBorders>
            <w:shd w:val="clear" w:color="auto" w:fill="auto"/>
            <w:noWrap/>
            <w:vAlign w:val="center"/>
          </w:tcPr>
          <w:p w14:paraId="56DBD5A9" w14:textId="060E55E8" w:rsidR="00F34DC6" w:rsidRPr="00A27896" w:rsidRDefault="000E4B02" w:rsidP="00F34DC6">
            <w:pPr>
              <w:spacing w:after="0" w:line="240" w:lineRule="auto"/>
              <w:jc w:val="center"/>
              <w:rPr>
                <w:rFonts w:eastAsia="Times New Roman" w:cs="Times New Roman"/>
                <w:color w:val="17365D"/>
                <w:sz w:val="18"/>
                <w:szCs w:val="18"/>
                <w:lang w:eastAsia="lv-LV"/>
              </w:rPr>
            </w:pPr>
            <w:r>
              <w:rPr>
                <w:rFonts w:eastAsia="Times New Roman" w:cs="Times New Roman"/>
                <w:color w:val="17365D"/>
                <w:sz w:val="18"/>
                <w:szCs w:val="18"/>
                <w:lang w:eastAsia="lv-LV"/>
              </w:rPr>
              <w:t>KB.5.7.</w:t>
            </w:r>
          </w:p>
        </w:tc>
        <w:tc>
          <w:tcPr>
            <w:tcW w:w="714" w:type="pct"/>
            <w:tcBorders>
              <w:top w:val="single" w:sz="4" w:space="0" w:color="17365D"/>
              <w:left w:val="nil"/>
              <w:bottom w:val="single" w:sz="4" w:space="0" w:color="17365D"/>
              <w:right w:val="nil"/>
            </w:tcBorders>
            <w:shd w:val="clear" w:color="auto" w:fill="auto"/>
            <w:vAlign w:val="center"/>
          </w:tcPr>
          <w:p w14:paraId="4AA09D5E" w14:textId="3B2BA3F1" w:rsidR="00F34DC6" w:rsidRPr="00907350" w:rsidRDefault="00F34DC6" w:rsidP="00F34DC6">
            <w:pPr>
              <w:spacing w:after="0" w:line="240" w:lineRule="auto"/>
              <w:jc w:val="right"/>
              <w:rPr>
                <w:color w:val="17365D"/>
                <w:sz w:val="18"/>
                <w:szCs w:val="18"/>
                <w:highlight w:val="yellow"/>
              </w:rPr>
            </w:pPr>
            <w:r>
              <w:rPr>
                <w:color w:val="17365D"/>
                <w:sz w:val="18"/>
                <w:szCs w:val="18"/>
              </w:rPr>
              <w:t>305 482 142</w:t>
            </w:r>
          </w:p>
        </w:tc>
        <w:tc>
          <w:tcPr>
            <w:tcW w:w="733" w:type="pct"/>
            <w:tcBorders>
              <w:top w:val="single" w:sz="4" w:space="0" w:color="17365D"/>
              <w:left w:val="nil"/>
              <w:bottom w:val="single" w:sz="4" w:space="0" w:color="17365D"/>
              <w:right w:val="nil"/>
            </w:tcBorders>
            <w:shd w:val="clear" w:color="auto" w:fill="auto"/>
            <w:vAlign w:val="center"/>
          </w:tcPr>
          <w:p w14:paraId="0EC20B59" w14:textId="06C85665" w:rsidR="00F34DC6" w:rsidRPr="00907350" w:rsidRDefault="00F34DC6" w:rsidP="00F34DC6">
            <w:pPr>
              <w:spacing w:after="0" w:line="240" w:lineRule="auto"/>
              <w:jc w:val="right"/>
              <w:rPr>
                <w:color w:val="17365D"/>
                <w:sz w:val="18"/>
                <w:szCs w:val="18"/>
                <w:highlight w:val="yellow"/>
              </w:rPr>
            </w:pPr>
            <w:r>
              <w:rPr>
                <w:color w:val="17365D"/>
                <w:sz w:val="18"/>
                <w:szCs w:val="18"/>
              </w:rPr>
              <w:t>177 767 405</w:t>
            </w:r>
          </w:p>
        </w:tc>
        <w:tc>
          <w:tcPr>
            <w:tcW w:w="833" w:type="pct"/>
            <w:tcBorders>
              <w:top w:val="single" w:sz="4" w:space="0" w:color="17365D"/>
              <w:left w:val="nil"/>
              <w:bottom w:val="single" w:sz="4" w:space="0" w:color="17365D"/>
              <w:right w:val="nil"/>
            </w:tcBorders>
            <w:shd w:val="clear" w:color="auto" w:fill="auto"/>
            <w:noWrap/>
            <w:vAlign w:val="center"/>
          </w:tcPr>
          <w:p w14:paraId="453A13E6" w14:textId="7B643FCA" w:rsidR="00F34DC6" w:rsidRPr="00907350" w:rsidRDefault="00F34DC6" w:rsidP="00F34DC6">
            <w:pPr>
              <w:spacing w:after="0" w:line="240" w:lineRule="auto"/>
              <w:jc w:val="right"/>
              <w:rPr>
                <w:color w:val="17365D"/>
                <w:sz w:val="18"/>
                <w:szCs w:val="18"/>
                <w:highlight w:val="yellow"/>
              </w:rPr>
            </w:pPr>
            <w:r>
              <w:rPr>
                <w:color w:val="17365D"/>
                <w:sz w:val="18"/>
                <w:szCs w:val="18"/>
              </w:rPr>
              <w:t>127 714 737</w:t>
            </w:r>
          </w:p>
        </w:tc>
        <w:tc>
          <w:tcPr>
            <w:tcW w:w="646" w:type="pct"/>
            <w:tcBorders>
              <w:top w:val="single" w:sz="4" w:space="0" w:color="17365D"/>
              <w:left w:val="nil"/>
              <w:bottom w:val="single" w:sz="4" w:space="0" w:color="17365D"/>
              <w:right w:val="nil"/>
            </w:tcBorders>
            <w:shd w:val="clear" w:color="auto" w:fill="auto"/>
            <w:noWrap/>
            <w:vAlign w:val="center"/>
          </w:tcPr>
          <w:p w14:paraId="601A2BBB" w14:textId="49ED6446" w:rsidR="00F34DC6" w:rsidRPr="00907350" w:rsidRDefault="00F34DC6" w:rsidP="00F34DC6">
            <w:pPr>
              <w:spacing w:after="0" w:line="240" w:lineRule="auto"/>
              <w:jc w:val="right"/>
              <w:rPr>
                <w:color w:val="17365D"/>
                <w:sz w:val="18"/>
                <w:szCs w:val="18"/>
                <w:highlight w:val="yellow"/>
              </w:rPr>
            </w:pPr>
            <w:r>
              <w:rPr>
                <w:color w:val="17365D"/>
                <w:sz w:val="18"/>
                <w:szCs w:val="18"/>
              </w:rPr>
              <w:t>71.84</w:t>
            </w:r>
          </w:p>
        </w:tc>
      </w:tr>
      <w:tr w:rsidR="00F34DC6" w:rsidRPr="00A27896" w14:paraId="2D2D2A01" w14:textId="77777777" w:rsidTr="00F04FAF">
        <w:trPr>
          <w:trHeight w:val="240"/>
        </w:trPr>
        <w:tc>
          <w:tcPr>
            <w:tcW w:w="1589" w:type="pct"/>
            <w:tcBorders>
              <w:top w:val="single" w:sz="4" w:space="0" w:color="17365D"/>
              <w:bottom w:val="single" w:sz="4" w:space="0" w:color="17365D"/>
            </w:tcBorders>
            <w:shd w:val="clear" w:color="auto" w:fill="auto"/>
            <w:vAlign w:val="center"/>
            <w:hideMark/>
          </w:tcPr>
          <w:p w14:paraId="65EC7DA7" w14:textId="694B2759"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Pārējās īstermiņa saistības</w:t>
            </w:r>
          </w:p>
        </w:tc>
        <w:tc>
          <w:tcPr>
            <w:tcW w:w="485" w:type="pct"/>
            <w:tcBorders>
              <w:top w:val="single" w:sz="4" w:space="0" w:color="17365D"/>
              <w:bottom w:val="single" w:sz="4" w:space="0" w:color="17365D"/>
            </w:tcBorders>
            <w:shd w:val="clear" w:color="auto" w:fill="auto"/>
            <w:noWrap/>
            <w:vAlign w:val="center"/>
          </w:tcPr>
          <w:p w14:paraId="3C9D4B4E" w14:textId="1F490315" w:rsidR="00F34DC6" w:rsidRPr="00A27896" w:rsidRDefault="00F34DC6" w:rsidP="00F34DC6">
            <w:pPr>
              <w:spacing w:after="0" w:line="240" w:lineRule="auto"/>
              <w:jc w:val="center"/>
              <w:rPr>
                <w:rFonts w:eastAsia="Times New Roman" w:cs="Times New Roman"/>
                <w:color w:val="17365D"/>
                <w:sz w:val="18"/>
                <w:szCs w:val="18"/>
                <w:lang w:eastAsia="lv-LV"/>
              </w:rPr>
            </w:pPr>
          </w:p>
        </w:tc>
        <w:tc>
          <w:tcPr>
            <w:tcW w:w="714" w:type="pct"/>
            <w:tcBorders>
              <w:top w:val="single" w:sz="4" w:space="0" w:color="17365D"/>
              <w:left w:val="nil"/>
              <w:bottom w:val="single" w:sz="4" w:space="0" w:color="17365D"/>
              <w:right w:val="nil"/>
            </w:tcBorders>
            <w:shd w:val="clear" w:color="auto" w:fill="auto"/>
            <w:vAlign w:val="center"/>
          </w:tcPr>
          <w:p w14:paraId="795ECECB" w14:textId="5684C747" w:rsidR="00F34DC6" w:rsidRPr="00907350" w:rsidRDefault="00F34DC6" w:rsidP="00F34DC6">
            <w:pPr>
              <w:spacing w:after="0" w:line="240" w:lineRule="auto"/>
              <w:jc w:val="right"/>
              <w:rPr>
                <w:color w:val="17365D"/>
                <w:sz w:val="18"/>
                <w:szCs w:val="18"/>
                <w:highlight w:val="yellow"/>
              </w:rPr>
            </w:pPr>
            <w:r>
              <w:rPr>
                <w:color w:val="17365D"/>
                <w:sz w:val="18"/>
                <w:szCs w:val="18"/>
              </w:rPr>
              <w:t>1 054 608 192</w:t>
            </w:r>
          </w:p>
        </w:tc>
        <w:tc>
          <w:tcPr>
            <w:tcW w:w="733" w:type="pct"/>
            <w:tcBorders>
              <w:top w:val="single" w:sz="4" w:space="0" w:color="17365D"/>
              <w:left w:val="nil"/>
              <w:bottom w:val="single" w:sz="4" w:space="0" w:color="17365D"/>
              <w:right w:val="nil"/>
            </w:tcBorders>
            <w:shd w:val="clear" w:color="auto" w:fill="auto"/>
            <w:vAlign w:val="center"/>
          </w:tcPr>
          <w:p w14:paraId="45302B52" w14:textId="5D8C1ED7" w:rsidR="00F34DC6" w:rsidRPr="00907350" w:rsidRDefault="00F34DC6" w:rsidP="00F34DC6">
            <w:pPr>
              <w:spacing w:after="0" w:line="240" w:lineRule="auto"/>
              <w:jc w:val="right"/>
              <w:rPr>
                <w:color w:val="17365D"/>
                <w:sz w:val="18"/>
                <w:szCs w:val="18"/>
                <w:highlight w:val="yellow"/>
              </w:rPr>
            </w:pPr>
            <w:r>
              <w:rPr>
                <w:color w:val="17365D"/>
                <w:sz w:val="18"/>
                <w:szCs w:val="18"/>
              </w:rPr>
              <w:t>1 042 017 501</w:t>
            </w:r>
          </w:p>
        </w:tc>
        <w:tc>
          <w:tcPr>
            <w:tcW w:w="833" w:type="pct"/>
            <w:tcBorders>
              <w:top w:val="single" w:sz="4" w:space="0" w:color="17365D"/>
              <w:left w:val="nil"/>
              <w:bottom w:val="single" w:sz="4" w:space="0" w:color="17365D"/>
              <w:right w:val="nil"/>
            </w:tcBorders>
            <w:shd w:val="clear" w:color="auto" w:fill="auto"/>
            <w:noWrap/>
            <w:vAlign w:val="center"/>
          </w:tcPr>
          <w:p w14:paraId="63FAC014" w14:textId="75A6C966" w:rsidR="00F34DC6" w:rsidRPr="00907350" w:rsidRDefault="00F34DC6" w:rsidP="00F34DC6">
            <w:pPr>
              <w:spacing w:after="0" w:line="240" w:lineRule="auto"/>
              <w:jc w:val="right"/>
              <w:rPr>
                <w:color w:val="17365D"/>
                <w:sz w:val="18"/>
                <w:szCs w:val="18"/>
                <w:highlight w:val="yellow"/>
              </w:rPr>
            </w:pPr>
            <w:r>
              <w:rPr>
                <w:color w:val="17365D"/>
                <w:sz w:val="18"/>
                <w:szCs w:val="18"/>
              </w:rPr>
              <w:t>12 590 691</w:t>
            </w:r>
          </w:p>
        </w:tc>
        <w:tc>
          <w:tcPr>
            <w:tcW w:w="646" w:type="pct"/>
            <w:tcBorders>
              <w:top w:val="single" w:sz="4" w:space="0" w:color="17365D"/>
              <w:left w:val="nil"/>
              <w:bottom w:val="single" w:sz="4" w:space="0" w:color="17365D"/>
              <w:right w:val="nil"/>
            </w:tcBorders>
            <w:shd w:val="clear" w:color="auto" w:fill="auto"/>
            <w:noWrap/>
            <w:vAlign w:val="center"/>
          </w:tcPr>
          <w:p w14:paraId="25A7B08F" w14:textId="1D5310C4" w:rsidR="00F34DC6" w:rsidRPr="00907350" w:rsidRDefault="00F34DC6" w:rsidP="00F34DC6">
            <w:pPr>
              <w:spacing w:after="0" w:line="240" w:lineRule="auto"/>
              <w:jc w:val="right"/>
              <w:rPr>
                <w:color w:val="17365D"/>
                <w:sz w:val="18"/>
                <w:szCs w:val="18"/>
                <w:highlight w:val="yellow"/>
              </w:rPr>
            </w:pPr>
            <w:r>
              <w:rPr>
                <w:color w:val="17365D"/>
                <w:sz w:val="18"/>
                <w:szCs w:val="18"/>
              </w:rPr>
              <w:t>1.21</w:t>
            </w:r>
          </w:p>
        </w:tc>
      </w:tr>
      <w:tr w:rsidR="00F34DC6" w:rsidRPr="00A27896" w14:paraId="4E98CD20" w14:textId="77777777" w:rsidTr="00F04FAF">
        <w:trPr>
          <w:trHeight w:val="435"/>
        </w:trPr>
        <w:tc>
          <w:tcPr>
            <w:tcW w:w="1589" w:type="pct"/>
            <w:tcBorders>
              <w:top w:val="single" w:sz="4" w:space="0" w:color="17365D"/>
              <w:bottom w:val="single" w:sz="4" w:space="0" w:color="17365D"/>
            </w:tcBorders>
            <w:shd w:val="clear" w:color="auto" w:fill="auto"/>
            <w:vAlign w:val="center"/>
            <w:hideMark/>
          </w:tcPr>
          <w:p w14:paraId="38B129DA" w14:textId="2E77E084" w:rsidR="00F34DC6" w:rsidRPr="00A27896" w:rsidRDefault="00F34DC6" w:rsidP="00F34DC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Nākamo periodu ieņēmumi, saņemtie avansa maksājumi un </w:t>
            </w:r>
            <w:proofErr w:type="spellStart"/>
            <w:r w:rsidRPr="00A27896">
              <w:rPr>
                <w:rFonts w:eastAsia="Times New Roman" w:cs="Times New Roman"/>
                <w:color w:val="17365D"/>
                <w:sz w:val="18"/>
                <w:szCs w:val="18"/>
                <w:lang w:eastAsia="lv-LV"/>
              </w:rPr>
              <w:t>transferti</w:t>
            </w:r>
            <w:proofErr w:type="spellEnd"/>
          </w:p>
        </w:tc>
        <w:tc>
          <w:tcPr>
            <w:tcW w:w="485" w:type="pct"/>
            <w:tcBorders>
              <w:top w:val="single" w:sz="4" w:space="0" w:color="17365D"/>
              <w:bottom w:val="single" w:sz="4" w:space="0" w:color="17365D"/>
            </w:tcBorders>
            <w:shd w:val="clear" w:color="auto" w:fill="auto"/>
            <w:noWrap/>
            <w:vAlign w:val="center"/>
          </w:tcPr>
          <w:p w14:paraId="7F9F6097" w14:textId="5BD2D8A8" w:rsidR="00F34DC6" w:rsidRPr="00A27896" w:rsidRDefault="000E4B02" w:rsidP="00F34DC6">
            <w:pPr>
              <w:spacing w:after="0" w:line="240" w:lineRule="auto"/>
              <w:jc w:val="center"/>
              <w:rPr>
                <w:rFonts w:eastAsia="Times New Roman" w:cs="Times New Roman"/>
                <w:color w:val="17365D"/>
                <w:sz w:val="18"/>
                <w:szCs w:val="18"/>
                <w:lang w:eastAsia="lv-LV"/>
              </w:rPr>
            </w:pPr>
            <w:r>
              <w:rPr>
                <w:rFonts w:eastAsia="Times New Roman" w:cs="Times New Roman"/>
                <w:color w:val="17365D"/>
                <w:sz w:val="18"/>
                <w:szCs w:val="18"/>
                <w:lang w:eastAsia="lv-LV"/>
              </w:rPr>
              <w:t>KB.5.9.</w:t>
            </w:r>
          </w:p>
        </w:tc>
        <w:tc>
          <w:tcPr>
            <w:tcW w:w="714" w:type="pct"/>
            <w:tcBorders>
              <w:top w:val="single" w:sz="4" w:space="0" w:color="17365D"/>
              <w:left w:val="nil"/>
              <w:bottom w:val="single" w:sz="4" w:space="0" w:color="17365D"/>
              <w:right w:val="nil"/>
            </w:tcBorders>
            <w:shd w:val="clear" w:color="auto" w:fill="auto"/>
            <w:vAlign w:val="center"/>
          </w:tcPr>
          <w:p w14:paraId="20497D3D" w14:textId="05D768B3" w:rsidR="00F34DC6" w:rsidRPr="00907350" w:rsidRDefault="00F34DC6" w:rsidP="00F34DC6">
            <w:pPr>
              <w:spacing w:after="0" w:line="240" w:lineRule="auto"/>
              <w:jc w:val="right"/>
              <w:rPr>
                <w:color w:val="17365D"/>
                <w:sz w:val="18"/>
                <w:szCs w:val="18"/>
                <w:highlight w:val="yellow"/>
              </w:rPr>
            </w:pPr>
            <w:r>
              <w:rPr>
                <w:color w:val="17365D"/>
                <w:sz w:val="18"/>
                <w:szCs w:val="18"/>
              </w:rPr>
              <w:t>1 200 082 883</w:t>
            </w:r>
          </w:p>
        </w:tc>
        <w:tc>
          <w:tcPr>
            <w:tcW w:w="733" w:type="pct"/>
            <w:tcBorders>
              <w:top w:val="single" w:sz="4" w:space="0" w:color="17365D"/>
              <w:left w:val="nil"/>
              <w:bottom w:val="single" w:sz="4" w:space="0" w:color="17365D"/>
              <w:right w:val="nil"/>
            </w:tcBorders>
            <w:shd w:val="clear" w:color="auto" w:fill="auto"/>
            <w:vAlign w:val="center"/>
          </w:tcPr>
          <w:p w14:paraId="3E5654B8" w14:textId="0C28DDF6" w:rsidR="00F34DC6" w:rsidRPr="00907350" w:rsidRDefault="00F34DC6" w:rsidP="00F34DC6">
            <w:pPr>
              <w:spacing w:after="0" w:line="240" w:lineRule="auto"/>
              <w:jc w:val="right"/>
              <w:rPr>
                <w:color w:val="17365D"/>
                <w:sz w:val="18"/>
                <w:szCs w:val="18"/>
                <w:highlight w:val="yellow"/>
              </w:rPr>
            </w:pPr>
            <w:r>
              <w:rPr>
                <w:color w:val="17365D"/>
                <w:sz w:val="18"/>
                <w:szCs w:val="18"/>
              </w:rPr>
              <w:t>1 046 100 127</w:t>
            </w:r>
          </w:p>
        </w:tc>
        <w:tc>
          <w:tcPr>
            <w:tcW w:w="833" w:type="pct"/>
            <w:tcBorders>
              <w:top w:val="single" w:sz="4" w:space="0" w:color="17365D"/>
              <w:left w:val="nil"/>
              <w:bottom w:val="single" w:sz="4" w:space="0" w:color="17365D"/>
              <w:right w:val="nil"/>
            </w:tcBorders>
            <w:shd w:val="clear" w:color="auto" w:fill="auto"/>
            <w:noWrap/>
            <w:vAlign w:val="center"/>
          </w:tcPr>
          <w:p w14:paraId="10FCDC3B" w14:textId="72C719E3" w:rsidR="00F34DC6" w:rsidRPr="00907350" w:rsidRDefault="00F34DC6" w:rsidP="00F34DC6">
            <w:pPr>
              <w:spacing w:after="0" w:line="240" w:lineRule="auto"/>
              <w:jc w:val="right"/>
              <w:rPr>
                <w:color w:val="17365D"/>
                <w:sz w:val="18"/>
                <w:szCs w:val="18"/>
                <w:highlight w:val="yellow"/>
              </w:rPr>
            </w:pPr>
            <w:r>
              <w:rPr>
                <w:color w:val="17365D"/>
                <w:sz w:val="18"/>
                <w:szCs w:val="18"/>
              </w:rPr>
              <w:t>153 982 756</w:t>
            </w:r>
          </w:p>
        </w:tc>
        <w:tc>
          <w:tcPr>
            <w:tcW w:w="646" w:type="pct"/>
            <w:tcBorders>
              <w:top w:val="single" w:sz="4" w:space="0" w:color="17365D"/>
              <w:left w:val="nil"/>
              <w:bottom w:val="single" w:sz="4" w:space="0" w:color="17365D"/>
              <w:right w:val="nil"/>
            </w:tcBorders>
            <w:shd w:val="clear" w:color="auto" w:fill="auto"/>
            <w:noWrap/>
            <w:vAlign w:val="center"/>
          </w:tcPr>
          <w:p w14:paraId="4F997E8D" w14:textId="368C7E76" w:rsidR="00F34DC6" w:rsidRPr="00907350" w:rsidRDefault="00F34DC6" w:rsidP="00F34DC6">
            <w:pPr>
              <w:spacing w:after="0" w:line="240" w:lineRule="auto"/>
              <w:jc w:val="right"/>
              <w:rPr>
                <w:color w:val="17365D"/>
                <w:sz w:val="18"/>
                <w:szCs w:val="18"/>
                <w:highlight w:val="yellow"/>
              </w:rPr>
            </w:pPr>
            <w:r>
              <w:rPr>
                <w:color w:val="17365D"/>
                <w:sz w:val="18"/>
                <w:szCs w:val="18"/>
              </w:rPr>
              <w:t>14.72</w:t>
            </w:r>
          </w:p>
        </w:tc>
      </w:tr>
      <w:tr w:rsidR="000C1009" w:rsidRPr="00A27896" w14:paraId="3CE7B457" w14:textId="77777777" w:rsidTr="00F04FAF">
        <w:trPr>
          <w:trHeight w:val="162"/>
        </w:trPr>
        <w:tc>
          <w:tcPr>
            <w:tcW w:w="1589" w:type="pct"/>
            <w:tcBorders>
              <w:top w:val="single" w:sz="4" w:space="0" w:color="17365D"/>
            </w:tcBorders>
            <w:shd w:val="clear" w:color="auto" w:fill="B9CDE5"/>
            <w:vAlign w:val="center"/>
          </w:tcPr>
          <w:p w14:paraId="57021FA9" w14:textId="77777777" w:rsidR="008E1DFC" w:rsidRPr="00A27896" w:rsidRDefault="008E1DFC" w:rsidP="008E1DFC">
            <w:pPr>
              <w:spacing w:after="0"/>
              <w:rPr>
                <w:rFonts w:eastAsia="Times New Roman" w:cs="Times New Roman"/>
                <w:color w:val="17365D"/>
                <w:sz w:val="18"/>
                <w:szCs w:val="18"/>
                <w:lang w:eastAsia="lv-LV"/>
              </w:rPr>
            </w:pPr>
          </w:p>
        </w:tc>
        <w:tc>
          <w:tcPr>
            <w:tcW w:w="485" w:type="pct"/>
            <w:tcBorders>
              <w:top w:val="single" w:sz="4" w:space="0" w:color="17365D"/>
            </w:tcBorders>
            <w:shd w:val="clear" w:color="auto" w:fill="B9CDE5"/>
            <w:noWrap/>
            <w:vAlign w:val="center"/>
          </w:tcPr>
          <w:p w14:paraId="07858AD6" w14:textId="77777777" w:rsidR="008E1DFC" w:rsidRPr="00A27896" w:rsidRDefault="008E1DFC" w:rsidP="008E1DFC">
            <w:pPr>
              <w:spacing w:after="0"/>
              <w:jc w:val="center"/>
              <w:rPr>
                <w:rFonts w:eastAsia="Times New Roman" w:cs="Times New Roman"/>
                <w:color w:val="17365D"/>
                <w:sz w:val="18"/>
                <w:szCs w:val="18"/>
                <w:lang w:eastAsia="lv-LV"/>
              </w:rPr>
            </w:pPr>
          </w:p>
        </w:tc>
        <w:tc>
          <w:tcPr>
            <w:tcW w:w="714" w:type="pct"/>
            <w:tcBorders>
              <w:top w:val="single" w:sz="4" w:space="0" w:color="17365D"/>
            </w:tcBorders>
            <w:shd w:val="clear" w:color="auto" w:fill="B9CDE5"/>
            <w:vAlign w:val="center"/>
          </w:tcPr>
          <w:p w14:paraId="292BF18F" w14:textId="77777777" w:rsidR="008E1DFC" w:rsidRPr="00A27896" w:rsidRDefault="008E1DFC" w:rsidP="008E1DFC">
            <w:pPr>
              <w:spacing w:after="0"/>
              <w:jc w:val="right"/>
              <w:rPr>
                <w:rFonts w:eastAsia="Times New Roman" w:cs="Times New Roman"/>
                <w:color w:val="17365D"/>
                <w:sz w:val="18"/>
                <w:szCs w:val="18"/>
                <w:lang w:eastAsia="lv-LV"/>
              </w:rPr>
            </w:pPr>
          </w:p>
        </w:tc>
        <w:tc>
          <w:tcPr>
            <w:tcW w:w="733" w:type="pct"/>
            <w:tcBorders>
              <w:top w:val="single" w:sz="4" w:space="0" w:color="17365D"/>
            </w:tcBorders>
            <w:shd w:val="clear" w:color="auto" w:fill="B9CDE5"/>
            <w:vAlign w:val="center"/>
          </w:tcPr>
          <w:p w14:paraId="15DECF2C" w14:textId="77777777" w:rsidR="008E1DFC" w:rsidRPr="00A27896" w:rsidRDefault="008E1DFC" w:rsidP="008E1DFC">
            <w:pPr>
              <w:spacing w:after="0"/>
              <w:jc w:val="right"/>
              <w:rPr>
                <w:rFonts w:eastAsia="Times New Roman" w:cs="Times New Roman"/>
                <w:color w:val="17365D"/>
                <w:sz w:val="18"/>
                <w:szCs w:val="18"/>
                <w:lang w:eastAsia="lv-LV"/>
              </w:rPr>
            </w:pPr>
          </w:p>
        </w:tc>
        <w:tc>
          <w:tcPr>
            <w:tcW w:w="833" w:type="pct"/>
            <w:tcBorders>
              <w:top w:val="single" w:sz="4" w:space="0" w:color="17365D"/>
            </w:tcBorders>
            <w:shd w:val="clear" w:color="auto" w:fill="B9CDE5"/>
            <w:noWrap/>
            <w:vAlign w:val="center"/>
          </w:tcPr>
          <w:p w14:paraId="1FBE84C2" w14:textId="77777777" w:rsidR="008E1DFC" w:rsidRPr="00A27896" w:rsidRDefault="008E1DFC" w:rsidP="008E1DFC">
            <w:pPr>
              <w:spacing w:after="0"/>
              <w:jc w:val="right"/>
              <w:rPr>
                <w:rFonts w:eastAsia="Times New Roman" w:cs="Times New Roman"/>
                <w:color w:val="17365D"/>
                <w:sz w:val="18"/>
                <w:szCs w:val="18"/>
                <w:lang w:eastAsia="lv-LV"/>
              </w:rPr>
            </w:pPr>
          </w:p>
        </w:tc>
        <w:tc>
          <w:tcPr>
            <w:tcW w:w="646" w:type="pct"/>
            <w:tcBorders>
              <w:top w:val="single" w:sz="4" w:space="0" w:color="17365D"/>
            </w:tcBorders>
            <w:shd w:val="clear" w:color="auto" w:fill="B9CDE5"/>
            <w:noWrap/>
            <w:vAlign w:val="center"/>
          </w:tcPr>
          <w:p w14:paraId="6AF7BBAC" w14:textId="77777777" w:rsidR="008E1DFC" w:rsidRPr="00A27896" w:rsidRDefault="008E1DFC" w:rsidP="008E1DFC">
            <w:pPr>
              <w:spacing w:after="0"/>
              <w:jc w:val="right"/>
              <w:rPr>
                <w:rFonts w:eastAsia="Times New Roman" w:cs="Times New Roman"/>
                <w:b/>
                <w:bCs/>
                <w:color w:val="17365D"/>
                <w:sz w:val="18"/>
                <w:szCs w:val="18"/>
                <w:lang w:eastAsia="lv-LV"/>
              </w:rPr>
            </w:pPr>
          </w:p>
        </w:tc>
      </w:tr>
    </w:tbl>
    <w:p w14:paraId="2B1E64E3" w14:textId="7C013B0B" w:rsidR="00F34DC6" w:rsidRPr="00105F05" w:rsidRDefault="00F34DC6" w:rsidP="00F34DC6">
      <w:pPr>
        <w:pStyle w:val="Heading5"/>
      </w:pPr>
      <w:r w:rsidRPr="00105F05">
        <w:t>Piezīme Nr. KB.5.</w:t>
      </w:r>
      <w:r>
        <w:t>2</w:t>
      </w:r>
      <w:r w:rsidRPr="00105F05">
        <w:t xml:space="preserve">. </w:t>
      </w:r>
      <w:r w:rsidRPr="00F34DC6">
        <w:t>Īstermiņa aizņēmumi un ilgtermiņa aizņēmumu īstermiņa daļa</w:t>
      </w:r>
    </w:p>
    <w:p w14:paraId="48111BC0" w14:textId="46BC1799" w:rsidR="00F34DC6" w:rsidRPr="00FC1395" w:rsidRDefault="00F34DC6" w:rsidP="00F34DC6">
      <w:pPr>
        <w:pStyle w:val="Pamatteksts1"/>
      </w:pPr>
      <w:r w:rsidRPr="00FC1395">
        <w:t>Bilances posteņa būtiskas izmaiņas veido</w:t>
      </w:r>
      <w:r>
        <w:t xml:space="preserve"> </w:t>
      </w:r>
      <w:r w:rsidRPr="00F34DC6">
        <w:t xml:space="preserve">ilgtermiņa aizņēmumu īstermiņa daļas </w:t>
      </w:r>
      <w:proofErr w:type="spellStart"/>
      <w:r w:rsidR="00DE0377">
        <w:t>pār</w:t>
      </w:r>
      <w:r w:rsidRPr="00F34DC6">
        <w:t>klasifikācijas</w:t>
      </w:r>
      <w:proofErr w:type="spellEnd"/>
      <w:r w:rsidRPr="00F34DC6">
        <w:t xml:space="preserve"> izmaiņas</w:t>
      </w:r>
      <w:r>
        <w:t xml:space="preserve"> </w:t>
      </w:r>
      <w:r w:rsidRPr="00F34DC6">
        <w:t>valsts budžeta finanšu uzskaitē, tai skaitā uz īstermiņu pārklasificētā ilgtermiņa aizņēmumu daļa no Eiropas Komisijas 280</w:t>
      </w:r>
      <w:r>
        <w:t>,</w:t>
      </w:r>
      <w:r w:rsidRPr="00F34DC6">
        <w:t>0</w:t>
      </w:r>
      <w:r>
        <w:t xml:space="preserve"> </w:t>
      </w:r>
      <w:r w:rsidRPr="00FC1395">
        <w:t xml:space="preserve">milj. </w:t>
      </w:r>
      <w:r w:rsidRPr="00FC1395">
        <w:rPr>
          <w:i/>
        </w:rPr>
        <w:t>euro</w:t>
      </w:r>
      <w:r w:rsidRPr="00FC1395">
        <w:t xml:space="preserve"> </w:t>
      </w:r>
      <w:r w:rsidRPr="00F34DC6">
        <w:t>apmērā un no Eiropas Investīciju bankas 75</w:t>
      </w:r>
      <w:r>
        <w:t>,</w:t>
      </w:r>
      <w:r w:rsidRPr="00F34DC6">
        <w:t>0</w:t>
      </w:r>
      <w:r>
        <w:t xml:space="preserve"> </w:t>
      </w:r>
      <w:r w:rsidRPr="00FC1395">
        <w:t xml:space="preserve">milj. </w:t>
      </w:r>
      <w:r w:rsidRPr="00FC1395">
        <w:rPr>
          <w:i/>
        </w:rPr>
        <w:t>euro</w:t>
      </w:r>
      <w:r w:rsidRPr="00F34DC6">
        <w:t xml:space="preserve"> apmērā</w:t>
      </w:r>
    </w:p>
    <w:p w14:paraId="18A24359" w14:textId="44397915" w:rsidR="00F34DC6" w:rsidRPr="00105F05" w:rsidRDefault="00F34DC6" w:rsidP="00F34DC6">
      <w:pPr>
        <w:pStyle w:val="Heading5"/>
      </w:pPr>
      <w:r w:rsidRPr="00105F05">
        <w:t>Piezīme Nr. KB.5.</w:t>
      </w:r>
      <w:r w:rsidR="000E4B02">
        <w:t>5</w:t>
      </w:r>
      <w:r w:rsidRPr="00105F05">
        <w:t xml:space="preserve">. </w:t>
      </w:r>
      <w:r w:rsidR="000E4B02" w:rsidRPr="000E4B02">
        <w:t>Valsts budžeta finanšu uzskaites īstermiņa saistības</w:t>
      </w:r>
    </w:p>
    <w:p w14:paraId="23FE7770" w14:textId="706D19A6" w:rsidR="00F34DC6" w:rsidRDefault="00F34DC6" w:rsidP="00F34DC6">
      <w:pPr>
        <w:pStyle w:val="Pamatteksts1"/>
      </w:pPr>
      <w:r w:rsidRPr="00FC1395">
        <w:t>Bilances posteņa būtiskas izmaiņas veido</w:t>
      </w:r>
      <w:r>
        <w:t xml:space="preserve"> </w:t>
      </w:r>
      <w:r w:rsidR="000E4B02" w:rsidRPr="000E4B02">
        <w:t>uz īstermiņu pārklasificētā vidēja un ilgtermiņa parāda vērtspapīru daļa ārvalstu finanšu tirgos (eiroobligācijas)</w:t>
      </w:r>
      <w:r w:rsidR="000E4B02">
        <w:t xml:space="preserve"> 1 110,0 </w:t>
      </w:r>
      <w:r w:rsidR="000E4B02" w:rsidRPr="00FC1395">
        <w:t xml:space="preserve">milj. </w:t>
      </w:r>
      <w:r w:rsidR="000E4B02" w:rsidRPr="00FC1395">
        <w:rPr>
          <w:i/>
        </w:rPr>
        <w:t>euro</w:t>
      </w:r>
      <w:r w:rsidR="000E4B02" w:rsidRPr="00FC1395">
        <w:t xml:space="preserve"> </w:t>
      </w:r>
      <w:r w:rsidR="000E4B02" w:rsidRPr="00F34DC6">
        <w:t>apmērā</w:t>
      </w:r>
      <w:r w:rsidR="000E4B02">
        <w:t xml:space="preserve">, </w:t>
      </w:r>
      <w:r w:rsidR="000E4B02" w:rsidRPr="000E4B02">
        <w:t>vidēja un ilgtermiņa parāda vērtspapīru daļa iekšzemes finanšu tirgos</w:t>
      </w:r>
      <w:r w:rsidR="000E4B02">
        <w:t xml:space="preserve"> 390,0 </w:t>
      </w:r>
      <w:r w:rsidR="000E4B02" w:rsidRPr="00FC1395">
        <w:t xml:space="preserve">milj. </w:t>
      </w:r>
      <w:r w:rsidR="000E4B02" w:rsidRPr="00FC1395">
        <w:rPr>
          <w:i/>
        </w:rPr>
        <w:t>euro</w:t>
      </w:r>
      <w:r w:rsidR="000E4B02" w:rsidRPr="00FC1395">
        <w:t xml:space="preserve"> </w:t>
      </w:r>
      <w:r w:rsidR="000E4B02" w:rsidRPr="00F34DC6">
        <w:t>apmērā</w:t>
      </w:r>
      <w:r w:rsidR="000E4B02">
        <w:t xml:space="preserve"> un </w:t>
      </w:r>
      <w:r w:rsidR="000E4B02" w:rsidRPr="000E4B02">
        <w:t>vidēja un ilgtermiņa parāda eiroobligāciju dzēšana</w:t>
      </w:r>
      <w:r w:rsidR="000E4B02">
        <w:t xml:space="preserve"> (1 320,0) </w:t>
      </w:r>
      <w:r w:rsidR="000E4B02" w:rsidRPr="00FC1395">
        <w:t xml:space="preserve">milj. </w:t>
      </w:r>
      <w:r w:rsidR="000E4B02" w:rsidRPr="00FC1395">
        <w:rPr>
          <w:i/>
        </w:rPr>
        <w:t>euro</w:t>
      </w:r>
      <w:r w:rsidR="000E4B02" w:rsidRPr="00FC1395">
        <w:t xml:space="preserve"> </w:t>
      </w:r>
      <w:r w:rsidR="000E4B02" w:rsidRPr="00F34DC6">
        <w:t>apmērā</w:t>
      </w:r>
      <w:r w:rsidR="000E4B02">
        <w:t>.</w:t>
      </w:r>
    </w:p>
    <w:p w14:paraId="1E6ACE5A" w14:textId="6B2E7E54" w:rsidR="000E4B02" w:rsidRPr="00105F05" w:rsidRDefault="000E4B02" w:rsidP="000E4B02">
      <w:pPr>
        <w:pStyle w:val="Heading5"/>
      </w:pPr>
      <w:r w:rsidRPr="00105F05">
        <w:t>Piezīme Nr. KB.5.</w:t>
      </w:r>
      <w:r>
        <w:t>7</w:t>
      </w:r>
      <w:r w:rsidRPr="00105F05">
        <w:t xml:space="preserve">. </w:t>
      </w:r>
      <w:r w:rsidRPr="000E4B02">
        <w:t>Saistības par nodokļiem, nodevām un citiem maksājumiem</w:t>
      </w:r>
    </w:p>
    <w:p w14:paraId="7C76470D" w14:textId="77777777" w:rsidR="000E4B02" w:rsidRDefault="000E4B02" w:rsidP="000E4B02">
      <w:pPr>
        <w:spacing w:after="120" w:line="240" w:lineRule="auto"/>
        <w:ind w:firstLine="567"/>
        <w:jc w:val="both"/>
        <w:rPr>
          <w:rFonts w:cs="Times New Roman"/>
          <w:color w:val="17365D"/>
        </w:rPr>
      </w:pPr>
      <w:r w:rsidRPr="000E4B02">
        <w:rPr>
          <w:rFonts w:cs="Times New Roman"/>
          <w:color w:val="17365D"/>
        </w:rPr>
        <w:t>Šī bilances posteņa lielāko palielinājumu veido saistību par VID administrētiem valsts budžeta ieņēmumiem pieaugums</w:t>
      </w:r>
      <w:r>
        <w:rPr>
          <w:rFonts w:cs="Times New Roman"/>
          <w:color w:val="17365D"/>
        </w:rPr>
        <w:t>:</w:t>
      </w:r>
    </w:p>
    <w:p w14:paraId="62771517" w14:textId="77777777" w:rsidR="000E4B02" w:rsidRPr="000E4B02" w:rsidRDefault="000E4B02" w:rsidP="002A2F6E">
      <w:pPr>
        <w:pStyle w:val="Bullets"/>
      </w:pPr>
      <w:r w:rsidRPr="000E4B02">
        <w:t xml:space="preserve">par iekšzemē iekasēto pievienotās vērtības nodokli 113,9 milj. </w:t>
      </w:r>
      <w:r w:rsidRPr="000E4B02">
        <w:rPr>
          <w:i/>
          <w:iCs/>
        </w:rPr>
        <w:t>euro</w:t>
      </w:r>
      <w:r w:rsidRPr="000E4B02">
        <w:t xml:space="preserve"> apmērā; </w:t>
      </w:r>
    </w:p>
    <w:p w14:paraId="6CDD5A99" w14:textId="3ADE1DB6" w:rsidR="000E4B02" w:rsidRPr="000E4B02" w:rsidRDefault="000E4B02" w:rsidP="002A2F6E">
      <w:pPr>
        <w:pStyle w:val="Bullets"/>
      </w:pPr>
      <w:r w:rsidRPr="000E4B02">
        <w:t xml:space="preserve">par iedzīvotāju ienākuma nodokli 3,5 milj. </w:t>
      </w:r>
      <w:r w:rsidRPr="000E4B02">
        <w:rPr>
          <w:i/>
          <w:iCs/>
        </w:rPr>
        <w:t>euro</w:t>
      </w:r>
      <w:r w:rsidRPr="000E4B02">
        <w:t xml:space="preserve"> apmērā; </w:t>
      </w:r>
    </w:p>
    <w:p w14:paraId="0843F1AC" w14:textId="4087D379" w:rsidR="000E4B02" w:rsidRPr="009470D1" w:rsidRDefault="000E4B02" w:rsidP="002A2F6E">
      <w:pPr>
        <w:pStyle w:val="Bullets"/>
      </w:pPr>
      <w:r w:rsidRPr="000E4B02">
        <w:t xml:space="preserve">par uzņēmumu ienākuma nodokli 2,2 milj. </w:t>
      </w:r>
      <w:r w:rsidRPr="000E4B02">
        <w:rPr>
          <w:i/>
          <w:iCs/>
        </w:rPr>
        <w:t>euro</w:t>
      </w:r>
      <w:r w:rsidRPr="000E4B02">
        <w:t xml:space="preserve"> apmērā.</w:t>
      </w:r>
    </w:p>
    <w:p w14:paraId="4EBFE7FB" w14:textId="21DD2229" w:rsidR="000E4B02" w:rsidRPr="00105F05" w:rsidRDefault="000E4B02" w:rsidP="000E4B02">
      <w:pPr>
        <w:pStyle w:val="Heading5"/>
      </w:pPr>
      <w:r w:rsidRPr="00105F05">
        <w:lastRenderedPageBreak/>
        <w:t>Piezīme Nr. KB.5.</w:t>
      </w:r>
      <w:r>
        <w:t>9</w:t>
      </w:r>
      <w:r w:rsidRPr="00105F05">
        <w:t xml:space="preserve">. </w:t>
      </w:r>
      <w:r w:rsidRPr="000E4B02">
        <w:t xml:space="preserve">Nākamo periodu ieņēmumi, saņemtie avansa maksājumi un </w:t>
      </w:r>
      <w:proofErr w:type="spellStart"/>
      <w:r w:rsidRPr="000E4B02">
        <w:t>transferti</w:t>
      </w:r>
      <w:proofErr w:type="spellEnd"/>
    </w:p>
    <w:p w14:paraId="0C5E0F28" w14:textId="33901B50" w:rsidR="000E4B02" w:rsidRDefault="000E4B02" w:rsidP="000E4B02">
      <w:pPr>
        <w:pStyle w:val="Pamatteksts1"/>
      </w:pPr>
      <w:r w:rsidRPr="00FC1395">
        <w:t>Bilances posteņa būtiskas izmaiņas</w:t>
      </w:r>
      <w:r w:rsidR="009470D1">
        <w:t>:</w:t>
      </w:r>
    </w:p>
    <w:p w14:paraId="4D0F1750" w14:textId="5CDCCA52" w:rsidR="000E4B02" w:rsidRDefault="000E4B02" w:rsidP="002A2F6E">
      <w:pPr>
        <w:pStyle w:val="Bullets"/>
      </w:pPr>
      <w:r w:rsidRPr="000E4B02">
        <w:t>Finanšu ministrijai palielinājums saistībā ar Eiropas Savienības programmu finansējumu Eiropas Savienības dalībvalstu sadarbībai 8</w:t>
      </w:r>
      <w:r w:rsidR="009470D1">
        <w:t>,</w:t>
      </w:r>
      <w:r w:rsidRPr="000E4B02">
        <w:t>0</w:t>
      </w:r>
      <w:r w:rsidR="009470D1">
        <w:t xml:space="preserve"> milj.</w:t>
      </w:r>
      <w:r w:rsidRPr="000E4B02">
        <w:t xml:space="preserve"> </w:t>
      </w:r>
      <w:r w:rsidRPr="009470D1">
        <w:rPr>
          <w:i/>
          <w:iCs/>
        </w:rPr>
        <w:t>euro</w:t>
      </w:r>
      <w:r w:rsidRPr="000E4B02">
        <w:t xml:space="preserve"> apmērā</w:t>
      </w:r>
      <w:r w:rsidR="009470D1">
        <w:t xml:space="preserve"> un</w:t>
      </w:r>
      <w:r w:rsidRPr="000E4B02">
        <w:t xml:space="preserve"> saistībā ar muitas kontroles iekārtu </w:t>
      </w:r>
      <w:proofErr w:type="spellStart"/>
      <w:r w:rsidRPr="000E4B02">
        <w:t>robežšķērsošanas</w:t>
      </w:r>
      <w:proofErr w:type="spellEnd"/>
      <w:r w:rsidRPr="000E4B02">
        <w:t xml:space="preserve"> vietās pilnveidošanu un rentgena iekārtu uzlabošanu efektīvai muitas kontrolei dzelzceļa robežkontroles punktā 5</w:t>
      </w:r>
      <w:r w:rsidR="009470D1">
        <w:t>,9 milj.</w:t>
      </w:r>
      <w:r w:rsidRPr="000E4B02">
        <w:t xml:space="preserve"> </w:t>
      </w:r>
      <w:r w:rsidRPr="009470D1">
        <w:rPr>
          <w:i/>
          <w:iCs/>
        </w:rPr>
        <w:t>euro</w:t>
      </w:r>
      <w:r w:rsidRPr="000E4B02">
        <w:t xml:space="preserve"> apmērā</w:t>
      </w:r>
      <w:r w:rsidR="009470D1">
        <w:t>;</w:t>
      </w:r>
    </w:p>
    <w:p w14:paraId="4E63944D" w14:textId="2B677E7C" w:rsidR="002776C2" w:rsidRPr="009470D1" w:rsidRDefault="000E4B02" w:rsidP="002A2F6E">
      <w:pPr>
        <w:pStyle w:val="Bullets"/>
      </w:pPr>
      <w:r w:rsidRPr="000E4B02">
        <w:t xml:space="preserve">Satiksmes ministrijai palielinājums saistīts ar </w:t>
      </w:r>
      <w:r w:rsidRPr="009470D1">
        <w:rPr>
          <w:i/>
          <w:iCs/>
        </w:rPr>
        <w:t xml:space="preserve">Rail </w:t>
      </w:r>
      <w:proofErr w:type="spellStart"/>
      <w:r w:rsidRPr="009470D1">
        <w:rPr>
          <w:i/>
          <w:iCs/>
        </w:rPr>
        <w:t>Baltic</w:t>
      </w:r>
      <w:r w:rsidR="009470D1" w:rsidRPr="009470D1">
        <w:rPr>
          <w:i/>
          <w:iCs/>
        </w:rPr>
        <w:t>a</w:t>
      </w:r>
      <w:proofErr w:type="spellEnd"/>
      <w:r w:rsidRPr="000E4B02">
        <w:t xml:space="preserve"> projekta ietvaros saņemto ārvalstu finanšu palīdzību no</w:t>
      </w:r>
      <w:r w:rsidR="009470D1">
        <w:t xml:space="preserve"> AS “</w:t>
      </w:r>
      <w:r w:rsidRPr="000E4B02">
        <w:t>RB Rail</w:t>
      </w:r>
      <w:r w:rsidR="009470D1">
        <w:t>”</w:t>
      </w:r>
      <w:r>
        <w:t xml:space="preserve"> </w:t>
      </w:r>
      <w:r w:rsidRPr="000E4B02">
        <w:t>83</w:t>
      </w:r>
      <w:r w:rsidR="009470D1">
        <w:t>,1 milj.</w:t>
      </w:r>
      <w:r w:rsidR="009470D1" w:rsidRPr="000E4B02">
        <w:t xml:space="preserve"> </w:t>
      </w:r>
      <w:r w:rsidR="009470D1" w:rsidRPr="009470D1">
        <w:rPr>
          <w:i/>
          <w:iCs/>
        </w:rPr>
        <w:t>euro</w:t>
      </w:r>
      <w:r w:rsidR="009470D1" w:rsidRPr="000E4B02">
        <w:t xml:space="preserve"> apmērā</w:t>
      </w:r>
      <w:r w:rsidR="009470D1">
        <w:t>.</w:t>
      </w:r>
      <w:r w:rsidRPr="009470D1">
        <w:tab/>
      </w:r>
    </w:p>
    <w:p w14:paraId="433F1BA8" w14:textId="204C42DA" w:rsidR="004726F6" w:rsidRPr="00A27896" w:rsidRDefault="004726F6" w:rsidP="008515BB">
      <w:pPr>
        <w:pStyle w:val="Heading3"/>
      </w:pPr>
      <w:r w:rsidRPr="00A27896">
        <w:t>Zembilan</w:t>
      </w:r>
      <w:r w:rsidR="00D5669D" w:rsidRPr="00A27896">
        <w:t>ce</w:t>
      </w:r>
    </w:p>
    <w:p w14:paraId="6A1479B7" w14:textId="4072C69E" w:rsidR="00A7434F" w:rsidRPr="00A27896" w:rsidRDefault="0064183C" w:rsidP="005A3758">
      <w:pPr>
        <w:pStyle w:val="Heading4"/>
        <w:rPr>
          <w:rFonts w:cs="Times New Roman"/>
        </w:rPr>
      </w:pPr>
      <w:r w:rsidRPr="00A27896">
        <w:rPr>
          <w:rFonts w:cs="Times New Roman"/>
        </w:rPr>
        <w:t xml:space="preserve">Piezīme Nr. </w:t>
      </w:r>
      <w:r w:rsidR="005F1199" w:rsidRPr="00A27896">
        <w:rPr>
          <w:rFonts w:cs="Times New Roman"/>
        </w:rPr>
        <w:t>KB.</w:t>
      </w:r>
      <w:r w:rsidR="00FB303F" w:rsidRPr="00A27896">
        <w:rPr>
          <w:rFonts w:cs="Times New Roman"/>
        </w:rPr>
        <w:t>9.1</w:t>
      </w:r>
      <w:r w:rsidR="004726F6" w:rsidRPr="00A27896">
        <w:rPr>
          <w:rFonts w:cs="Times New Roman"/>
        </w:rPr>
        <w:t>. Zembilances aktīvi</w:t>
      </w:r>
    </w:p>
    <w:p w14:paraId="2E8E4510" w14:textId="44D585A3" w:rsidR="00B96DDE" w:rsidRPr="00E72168" w:rsidRDefault="004105BE" w:rsidP="0064183C">
      <w:pPr>
        <w:pStyle w:val="Tabulasnosaukums1"/>
        <w:rPr>
          <w:rFonts w:cs="Times New Roman"/>
          <w:i/>
          <w:color w:val="17365D"/>
        </w:rPr>
      </w:pPr>
      <w:r>
        <w:rPr>
          <w:rFonts w:cs="Times New Roman"/>
          <w:i/>
          <w:color w:val="17365D"/>
        </w:rPr>
        <w:t>1.</w:t>
      </w:r>
      <w:r w:rsidR="003777C5" w:rsidRPr="00E72168">
        <w:rPr>
          <w:rFonts w:cs="Times New Roman"/>
          <w:i/>
          <w:color w:val="17365D"/>
        </w:rPr>
        <w:t>2</w:t>
      </w:r>
      <w:r w:rsidR="00F128AB">
        <w:rPr>
          <w:rFonts w:cs="Times New Roman"/>
          <w:i/>
          <w:color w:val="17365D"/>
        </w:rPr>
        <w:t>2</w:t>
      </w:r>
      <w:r w:rsidR="00B96DDE" w:rsidRPr="00E72168">
        <w:rPr>
          <w:rFonts w:cs="Times New Roman"/>
          <w:i/>
          <w:color w:val="17365D"/>
        </w:rPr>
        <w:t>. tabula</w:t>
      </w:r>
      <w:r w:rsidR="0064183C" w:rsidRPr="00E72168">
        <w:rPr>
          <w:rFonts w:cs="Times New Roman"/>
          <w:i/>
          <w:color w:val="17365D"/>
        </w:rPr>
        <w:t xml:space="preserve">. </w:t>
      </w:r>
      <w:r w:rsidR="0064183C" w:rsidRPr="000B1CEC">
        <w:rPr>
          <w:rFonts w:cs="Times New Roman"/>
          <w:i/>
          <w:color w:val="17365D"/>
        </w:rPr>
        <w:t>Zembilances aktīvi (</w:t>
      </w:r>
      <w:r w:rsidR="00966B1D" w:rsidRPr="000B1CEC">
        <w:rPr>
          <w:rFonts w:cs="Times New Roman"/>
          <w:i/>
          <w:color w:val="17365D"/>
        </w:rPr>
        <w:t>euro</w:t>
      </w:r>
      <w:r w:rsidR="0064183C" w:rsidRPr="000B1CEC">
        <w:rPr>
          <w:rFonts w:cs="Times New Roman"/>
          <w:i/>
          <w:color w:val="17365D"/>
        </w:rPr>
        <w:t>)</w:t>
      </w:r>
    </w:p>
    <w:tbl>
      <w:tblPr>
        <w:tblW w:w="4999" w:type="pct"/>
        <w:tblLayout w:type="fixed"/>
        <w:tblLook w:val="04A0" w:firstRow="1" w:lastRow="0" w:firstColumn="1" w:lastColumn="0" w:noHBand="0" w:noVBand="1"/>
      </w:tblPr>
      <w:tblGrid>
        <w:gridCol w:w="2834"/>
        <w:gridCol w:w="1135"/>
        <w:gridCol w:w="1418"/>
        <w:gridCol w:w="1558"/>
        <w:gridCol w:w="1191"/>
        <w:gridCol w:w="1216"/>
      </w:tblGrid>
      <w:tr w:rsidR="000C1009" w:rsidRPr="00E72168" w14:paraId="78DF2922" w14:textId="77777777" w:rsidTr="009A4177">
        <w:trPr>
          <w:trHeight w:val="684"/>
          <w:tblHeader/>
        </w:trPr>
        <w:tc>
          <w:tcPr>
            <w:tcW w:w="1515" w:type="pct"/>
            <w:tcBorders>
              <w:bottom w:val="single" w:sz="4" w:space="0" w:color="17365D"/>
            </w:tcBorders>
            <w:shd w:val="clear" w:color="auto" w:fill="B9CDE5"/>
            <w:vAlign w:val="center"/>
            <w:hideMark/>
          </w:tcPr>
          <w:p w14:paraId="22FC39A7" w14:textId="4F0D9A40" w:rsidR="0004095E" w:rsidRPr="00E72168" w:rsidRDefault="007611AA" w:rsidP="0004095E">
            <w:pPr>
              <w:spacing w:after="0"/>
              <w:jc w:val="center"/>
              <w:rPr>
                <w:rFonts w:eastAsia="Times New Roman" w:cs="Times New Roman"/>
                <w:b/>
                <w:bCs/>
                <w:color w:val="17365D"/>
                <w:sz w:val="18"/>
                <w:szCs w:val="18"/>
                <w:lang w:eastAsia="lv-LV"/>
              </w:rPr>
            </w:pPr>
            <w:r>
              <w:rPr>
                <w:rFonts w:eastAsia="Times New Roman" w:cs="Times New Roman"/>
                <w:b/>
                <w:color w:val="17365D"/>
                <w:sz w:val="18"/>
                <w:szCs w:val="18"/>
                <w:lang w:eastAsia="lv-LV"/>
              </w:rPr>
              <w:t>Posteņa nosaukums</w:t>
            </w:r>
          </w:p>
        </w:tc>
        <w:tc>
          <w:tcPr>
            <w:tcW w:w="607" w:type="pct"/>
            <w:tcBorders>
              <w:bottom w:val="single" w:sz="4" w:space="0" w:color="17365D"/>
            </w:tcBorders>
            <w:shd w:val="clear" w:color="auto" w:fill="B9CDE5"/>
            <w:vAlign w:val="center"/>
            <w:hideMark/>
          </w:tcPr>
          <w:p w14:paraId="413C700B"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Piezīmes</w:t>
            </w:r>
            <w:r w:rsidRPr="00E72168">
              <w:rPr>
                <w:rFonts w:eastAsia="Times New Roman" w:cs="Times New Roman"/>
                <w:b/>
                <w:bCs/>
                <w:color w:val="17365D"/>
                <w:sz w:val="18"/>
                <w:szCs w:val="18"/>
                <w:lang w:eastAsia="lv-LV"/>
              </w:rPr>
              <w:br/>
              <w:t>Nr.</w:t>
            </w:r>
          </w:p>
        </w:tc>
        <w:tc>
          <w:tcPr>
            <w:tcW w:w="758" w:type="pct"/>
            <w:tcBorders>
              <w:bottom w:val="single" w:sz="4" w:space="0" w:color="17365D"/>
            </w:tcBorders>
            <w:shd w:val="clear" w:color="auto" w:fill="B9CDE5"/>
            <w:vAlign w:val="center"/>
            <w:hideMark/>
          </w:tcPr>
          <w:p w14:paraId="46A32E90"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Pārskata perioda beigās</w:t>
            </w:r>
          </w:p>
        </w:tc>
        <w:tc>
          <w:tcPr>
            <w:tcW w:w="833" w:type="pct"/>
            <w:tcBorders>
              <w:bottom w:val="single" w:sz="4" w:space="0" w:color="17365D"/>
            </w:tcBorders>
            <w:shd w:val="clear" w:color="auto" w:fill="B9CDE5"/>
            <w:vAlign w:val="center"/>
            <w:hideMark/>
          </w:tcPr>
          <w:p w14:paraId="7D3E189C"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Pārskata perioda sākumā</w:t>
            </w:r>
          </w:p>
        </w:tc>
        <w:tc>
          <w:tcPr>
            <w:tcW w:w="637" w:type="pct"/>
            <w:tcBorders>
              <w:bottom w:val="single" w:sz="4" w:space="0" w:color="17365D"/>
            </w:tcBorders>
            <w:shd w:val="clear" w:color="auto" w:fill="B9CDE5"/>
            <w:vAlign w:val="center"/>
            <w:hideMark/>
          </w:tcPr>
          <w:p w14:paraId="524311C1" w14:textId="17CDBCD3"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 xml:space="preserve">Izmaiņas </w:t>
            </w:r>
            <w:r w:rsidRPr="00E72168">
              <w:rPr>
                <w:rFonts w:eastAsia="Times New Roman" w:cs="Times New Roman"/>
                <w:b/>
                <w:bCs/>
                <w:color w:val="17365D"/>
                <w:sz w:val="18"/>
                <w:szCs w:val="18"/>
                <w:lang w:eastAsia="lv-LV"/>
              </w:rPr>
              <w:br/>
              <w:t>(+,</w:t>
            </w:r>
            <w:r w:rsidR="002B1B27" w:rsidRPr="00E72168">
              <w:rPr>
                <w:rFonts w:eastAsia="Times New Roman" w:cs="Times New Roman"/>
                <w:b/>
                <w:bCs/>
                <w:color w:val="17365D"/>
                <w:sz w:val="18"/>
                <w:szCs w:val="18"/>
                <w:lang w:eastAsia="lv-LV"/>
              </w:rPr>
              <w:t xml:space="preserve"> </w:t>
            </w:r>
            <w:r w:rsidR="00402C3D">
              <w:rPr>
                <w:rFonts w:eastAsia="Times New Roman" w:cs="Times New Roman"/>
                <w:b/>
                <w:bCs/>
                <w:color w:val="17365D"/>
                <w:sz w:val="18"/>
                <w:szCs w:val="18"/>
                <w:lang w:eastAsia="lv-LV"/>
              </w:rPr>
              <w:t>–)</w:t>
            </w:r>
          </w:p>
        </w:tc>
        <w:tc>
          <w:tcPr>
            <w:tcW w:w="650" w:type="pct"/>
            <w:tcBorders>
              <w:bottom w:val="single" w:sz="4" w:space="0" w:color="17365D"/>
            </w:tcBorders>
            <w:shd w:val="clear" w:color="auto" w:fill="B9CDE5"/>
            <w:vAlign w:val="center"/>
            <w:hideMark/>
          </w:tcPr>
          <w:p w14:paraId="720D0754"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Procentuālās izmaiņas (3./2.*100)</w:t>
            </w:r>
          </w:p>
        </w:tc>
      </w:tr>
      <w:tr w:rsidR="000C1009" w:rsidRPr="00E72168" w14:paraId="39455C1A" w14:textId="77777777" w:rsidTr="00F04FAF">
        <w:trPr>
          <w:trHeight w:val="240"/>
          <w:tblHeader/>
        </w:trPr>
        <w:tc>
          <w:tcPr>
            <w:tcW w:w="1515" w:type="pct"/>
            <w:tcBorders>
              <w:top w:val="single" w:sz="4" w:space="0" w:color="17365D"/>
              <w:bottom w:val="single" w:sz="4" w:space="0" w:color="17365D"/>
            </w:tcBorders>
            <w:shd w:val="clear" w:color="auto" w:fill="auto"/>
            <w:vAlign w:val="center"/>
            <w:hideMark/>
          </w:tcPr>
          <w:p w14:paraId="2439F4DD" w14:textId="77777777" w:rsidR="0004095E" w:rsidRPr="00E72168" w:rsidRDefault="0004095E" w:rsidP="0004095E">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A</w:t>
            </w:r>
          </w:p>
        </w:tc>
        <w:tc>
          <w:tcPr>
            <w:tcW w:w="607" w:type="pct"/>
            <w:tcBorders>
              <w:top w:val="single" w:sz="4" w:space="0" w:color="17365D"/>
              <w:bottom w:val="single" w:sz="4" w:space="0" w:color="17365D"/>
            </w:tcBorders>
            <w:shd w:val="clear" w:color="auto" w:fill="auto"/>
            <w:vAlign w:val="center"/>
            <w:hideMark/>
          </w:tcPr>
          <w:p w14:paraId="5E739155"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B</w:t>
            </w:r>
          </w:p>
        </w:tc>
        <w:tc>
          <w:tcPr>
            <w:tcW w:w="758" w:type="pct"/>
            <w:tcBorders>
              <w:top w:val="single" w:sz="4" w:space="0" w:color="17365D"/>
              <w:bottom w:val="single" w:sz="4" w:space="0" w:color="17365D"/>
            </w:tcBorders>
            <w:shd w:val="clear" w:color="auto" w:fill="auto"/>
            <w:vAlign w:val="center"/>
            <w:hideMark/>
          </w:tcPr>
          <w:p w14:paraId="129B5BEC"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1</w:t>
            </w:r>
          </w:p>
        </w:tc>
        <w:tc>
          <w:tcPr>
            <w:tcW w:w="833" w:type="pct"/>
            <w:tcBorders>
              <w:top w:val="single" w:sz="4" w:space="0" w:color="17365D"/>
              <w:bottom w:val="single" w:sz="4" w:space="0" w:color="17365D"/>
            </w:tcBorders>
            <w:shd w:val="clear" w:color="auto" w:fill="auto"/>
            <w:vAlign w:val="center"/>
            <w:hideMark/>
          </w:tcPr>
          <w:p w14:paraId="6D2231BE"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2</w:t>
            </w:r>
          </w:p>
        </w:tc>
        <w:tc>
          <w:tcPr>
            <w:tcW w:w="637" w:type="pct"/>
            <w:tcBorders>
              <w:top w:val="single" w:sz="4" w:space="0" w:color="17365D"/>
              <w:bottom w:val="single" w:sz="4" w:space="0" w:color="17365D"/>
            </w:tcBorders>
            <w:shd w:val="clear" w:color="auto" w:fill="auto"/>
            <w:vAlign w:val="center"/>
            <w:hideMark/>
          </w:tcPr>
          <w:p w14:paraId="53DB2B07"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3</w:t>
            </w:r>
          </w:p>
        </w:tc>
        <w:tc>
          <w:tcPr>
            <w:tcW w:w="650" w:type="pct"/>
            <w:tcBorders>
              <w:top w:val="single" w:sz="4" w:space="0" w:color="17365D"/>
              <w:bottom w:val="single" w:sz="4" w:space="0" w:color="17365D"/>
            </w:tcBorders>
            <w:shd w:val="clear" w:color="auto" w:fill="auto"/>
            <w:vAlign w:val="center"/>
            <w:hideMark/>
          </w:tcPr>
          <w:p w14:paraId="1A0E7FB1"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4</w:t>
            </w:r>
          </w:p>
        </w:tc>
      </w:tr>
      <w:tr w:rsidR="009470D1" w:rsidRPr="00E72168" w14:paraId="13351E6D" w14:textId="77777777" w:rsidTr="00F04FAF">
        <w:trPr>
          <w:trHeight w:val="240"/>
        </w:trPr>
        <w:tc>
          <w:tcPr>
            <w:tcW w:w="1515" w:type="pct"/>
            <w:tcBorders>
              <w:top w:val="single" w:sz="4" w:space="0" w:color="17365D"/>
              <w:bottom w:val="single" w:sz="4" w:space="0" w:color="17365D"/>
            </w:tcBorders>
            <w:shd w:val="clear" w:color="auto" w:fill="auto"/>
            <w:vAlign w:val="center"/>
            <w:hideMark/>
          </w:tcPr>
          <w:p w14:paraId="34EB3121" w14:textId="77777777" w:rsidR="009470D1" w:rsidRPr="00E72168" w:rsidRDefault="009470D1" w:rsidP="009470D1">
            <w:pPr>
              <w:spacing w:after="0" w:line="240" w:lineRule="auto"/>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 xml:space="preserve">Zembilances aktīvi </w:t>
            </w:r>
          </w:p>
        </w:tc>
        <w:tc>
          <w:tcPr>
            <w:tcW w:w="607" w:type="pct"/>
            <w:tcBorders>
              <w:top w:val="single" w:sz="4" w:space="0" w:color="17365D"/>
              <w:bottom w:val="single" w:sz="4" w:space="0" w:color="17365D"/>
            </w:tcBorders>
            <w:shd w:val="clear" w:color="auto" w:fill="auto"/>
            <w:vAlign w:val="center"/>
            <w:hideMark/>
          </w:tcPr>
          <w:p w14:paraId="3DC8971B" w14:textId="54DD509F" w:rsidR="009470D1" w:rsidRPr="00E72168" w:rsidRDefault="009470D1" w:rsidP="009470D1">
            <w:pPr>
              <w:spacing w:after="0" w:line="240" w:lineRule="auto"/>
              <w:jc w:val="center"/>
              <w:rPr>
                <w:rFonts w:eastAsia="Times New Roman" w:cs="Times New Roman"/>
                <w:b/>
                <w:bCs/>
                <w:color w:val="17365D"/>
                <w:sz w:val="18"/>
                <w:szCs w:val="18"/>
                <w:lang w:eastAsia="lv-LV"/>
              </w:rPr>
            </w:pPr>
            <w:r w:rsidRPr="00E72168">
              <w:rPr>
                <w:rFonts w:cs="Times New Roman"/>
                <w:b/>
                <w:color w:val="17365D"/>
                <w:sz w:val="18"/>
                <w:szCs w:val="18"/>
              </w:rPr>
              <w:t>KB.9.1.</w:t>
            </w:r>
          </w:p>
        </w:tc>
        <w:tc>
          <w:tcPr>
            <w:tcW w:w="758" w:type="pct"/>
            <w:tcBorders>
              <w:top w:val="single" w:sz="4" w:space="0" w:color="17365D"/>
              <w:left w:val="nil"/>
              <w:bottom w:val="single" w:sz="4" w:space="0" w:color="17365D"/>
              <w:right w:val="nil"/>
            </w:tcBorders>
            <w:shd w:val="clear" w:color="auto" w:fill="auto"/>
            <w:noWrap/>
            <w:vAlign w:val="center"/>
          </w:tcPr>
          <w:p w14:paraId="5359B1A9" w14:textId="00D057EA" w:rsidR="009470D1" w:rsidRPr="00E72168"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849 385 774</w:t>
            </w:r>
          </w:p>
        </w:tc>
        <w:tc>
          <w:tcPr>
            <w:tcW w:w="833" w:type="pct"/>
            <w:tcBorders>
              <w:top w:val="single" w:sz="4" w:space="0" w:color="17365D"/>
              <w:left w:val="nil"/>
              <w:bottom w:val="single" w:sz="4" w:space="0" w:color="17365D"/>
              <w:right w:val="nil"/>
            </w:tcBorders>
            <w:shd w:val="clear" w:color="auto" w:fill="auto"/>
            <w:noWrap/>
            <w:vAlign w:val="center"/>
          </w:tcPr>
          <w:p w14:paraId="33018BD8" w14:textId="6DA63DA2" w:rsidR="009470D1" w:rsidRPr="00E72168"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919 382 364</w:t>
            </w:r>
          </w:p>
        </w:tc>
        <w:tc>
          <w:tcPr>
            <w:tcW w:w="637" w:type="pct"/>
            <w:tcBorders>
              <w:top w:val="single" w:sz="4" w:space="0" w:color="17365D"/>
              <w:left w:val="nil"/>
              <w:bottom w:val="single" w:sz="4" w:space="0" w:color="17365D"/>
              <w:right w:val="nil"/>
            </w:tcBorders>
            <w:shd w:val="clear" w:color="auto" w:fill="auto"/>
            <w:noWrap/>
            <w:vAlign w:val="center"/>
          </w:tcPr>
          <w:p w14:paraId="5D5EA313" w14:textId="54B88602" w:rsidR="009470D1" w:rsidRPr="00E72168"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-69 996 590</w:t>
            </w:r>
          </w:p>
        </w:tc>
        <w:tc>
          <w:tcPr>
            <w:tcW w:w="650" w:type="pct"/>
            <w:tcBorders>
              <w:top w:val="single" w:sz="4" w:space="0" w:color="17365D"/>
              <w:left w:val="nil"/>
              <w:bottom w:val="single" w:sz="4" w:space="0" w:color="17365D"/>
              <w:right w:val="nil"/>
            </w:tcBorders>
            <w:shd w:val="clear" w:color="auto" w:fill="auto"/>
            <w:noWrap/>
            <w:vAlign w:val="center"/>
          </w:tcPr>
          <w:p w14:paraId="12A3064B" w14:textId="1E481A3C" w:rsidR="009470D1" w:rsidRPr="00E72168"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-7.61</w:t>
            </w:r>
          </w:p>
        </w:tc>
      </w:tr>
      <w:tr w:rsidR="009470D1" w:rsidRPr="00E72168" w14:paraId="2CF53D76" w14:textId="77777777" w:rsidTr="00F04FAF">
        <w:trPr>
          <w:trHeight w:val="240"/>
        </w:trPr>
        <w:tc>
          <w:tcPr>
            <w:tcW w:w="1515" w:type="pct"/>
            <w:tcBorders>
              <w:top w:val="single" w:sz="4" w:space="0" w:color="17365D"/>
              <w:bottom w:val="single" w:sz="4" w:space="0" w:color="17365D"/>
            </w:tcBorders>
            <w:shd w:val="clear" w:color="auto" w:fill="auto"/>
            <w:vAlign w:val="center"/>
            <w:hideMark/>
          </w:tcPr>
          <w:p w14:paraId="77DCF165" w14:textId="77777777" w:rsidR="009470D1" w:rsidRPr="00E72168" w:rsidRDefault="009470D1" w:rsidP="009470D1">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Iespējamie aktīvi</w:t>
            </w:r>
          </w:p>
        </w:tc>
        <w:tc>
          <w:tcPr>
            <w:tcW w:w="607" w:type="pct"/>
            <w:tcBorders>
              <w:top w:val="single" w:sz="4" w:space="0" w:color="17365D"/>
              <w:bottom w:val="single" w:sz="4" w:space="0" w:color="17365D"/>
            </w:tcBorders>
            <w:shd w:val="clear" w:color="auto" w:fill="auto"/>
            <w:noWrap/>
            <w:vAlign w:val="center"/>
            <w:hideMark/>
          </w:tcPr>
          <w:p w14:paraId="72259990" w14:textId="3FD1A904" w:rsidR="009470D1" w:rsidRPr="00E72168" w:rsidRDefault="009470D1" w:rsidP="009470D1">
            <w:pPr>
              <w:spacing w:after="0" w:line="240" w:lineRule="auto"/>
              <w:jc w:val="center"/>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right w:val="nil"/>
            </w:tcBorders>
            <w:shd w:val="clear" w:color="auto" w:fill="auto"/>
            <w:noWrap/>
            <w:vAlign w:val="center"/>
          </w:tcPr>
          <w:p w14:paraId="27811C7B" w14:textId="159C3D1C"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123 514 623</w:t>
            </w:r>
          </w:p>
        </w:tc>
        <w:tc>
          <w:tcPr>
            <w:tcW w:w="833" w:type="pct"/>
            <w:tcBorders>
              <w:top w:val="single" w:sz="4" w:space="0" w:color="17365D"/>
              <w:left w:val="nil"/>
              <w:bottom w:val="single" w:sz="4" w:space="0" w:color="17365D"/>
              <w:right w:val="nil"/>
            </w:tcBorders>
            <w:shd w:val="clear" w:color="auto" w:fill="auto"/>
            <w:noWrap/>
            <w:vAlign w:val="center"/>
          </w:tcPr>
          <w:p w14:paraId="1F2E5534" w14:textId="459CEC3F"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75 845 070</w:t>
            </w:r>
          </w:p>
        </w:tc>
        <w:tc>
          <w:tcPr>
            <w:tcW w:w="637" w:type="pct"/>
            <w:tcBorders>
              <w:top w:val="single" w:sz="4" w:space="0" w:color="17365D"/>
              <w:left w:val="nil"/>
              <w:bottom w:val="single" w:sz="4" w:space="0" w:color="17365D"/>
              <w:right w:val="nil"/>
            </w:tcBorders>
            <w:shd w:val="clear" w:color="auto" w:fill="auto"/>
            <w:noWrap/>
            <w:vAlign w:val="center"/>
          </w:tcPr>
          <w:p w14:paraId="4F878069" w14:textId="54FFDE26"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47 669 553</w:t>
            </w:r>
          </w:p>
        </w:tc>
        <w:tc>
          <w:tcPr>
            <w:tcW w:w="650" w:type="pct"/>
            <w:tcBorders>
              <w:top w:val="single" w:sz="4" w:space="0" w:color="17365D"/>
              <w:left w:val="nil"/>
              <w:bottom w:val="single" w:sz="4" w:space="0" w:color="17365D"/>
              <w:right w:val="nil"/>
            </w:tcBorders>
            <w:shd w:val="clear" w:color="auto" w:fill="auto"/>
            <w:noWrap/>
            <w:vAlign w:val="center"/>
          </w:tcPr>
          <w:p w14:paraId="1C5611CA" w14:textId="7B1DCCC5"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62.85</w:t>
            </w:r>
          </w:p>
        </w:tc>
      </w:tr>
      <w:tr w:rsidR="009470D1" w:rsidRPr="00E72168" w14:paraId="3704F33B" w14:textId="77777777" w:rsidTr="00F04FAF">
        <w:trPr>
          <w:trHeight w:val="160"/>
        </w:trPr>
        <w:tc>
          <w:tcPr>
            <w:tcW w:w="1515" w:type="pct"/>
            <w:tcBorders>
              <w:top w:val="single" w:sz="4" w:space="0" w:color="17365D"/>
              <w:bottom w:val="single" w:sz="4" w:space="0" w:color="17365D"/>
            </w:tcBorders>
            <w:shd w:val="clear" w:color="auto" w:fill="auto"/>
            <w:vAlign w:val="center"/>
            <w:hideMark/>
          </w:tcPr>
          <w:p w14:paraId="5743B1DB" w14:textId="54E3CFD6" w:rsidR="009470D1" w:rsidRPr="00E72168" w:rsidRDefault="009470D1" w:rsidP="009470D1">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Paziņotās dividendes un saņemamie maksājumi par kapitāla daļu izmantošanu</w:t>
            </w:r>
          </w:p>
        </w:tc>
        <w:tc>
          <w:tcPr>
            <w:tcW w:w="607" w:type="pct"/>
            <w:tcBorders>
              <w:top w:val="single" w:sz="4" w:space="0" w:color="17365D"/>
              <w:bottom w:val="single" w:sz="4" w:space="0" w:color="17365D"/>
            </w:tcBorders>
            <w:shd w:val="clear" w:color="auto" w:fill="auto"/>
            <w:noWrap/>
            <w:vAlign w:val="center"/>
          </w:tcPr>
          <w:p w14:paraId="5B0AFE2A" w14:textId="694DD0B9" w:rsidR="009470D1" w:rsidRPr="00E72168" w:rsidRDefault="009470D1" w:rsidP="009470D1">
            <w:pPr>
              <w:spacing w:after="0" w:line="240" w:lineRule="auto"/>
              <w:jc w:val="center"/>
              <w:rPr>
                <w:rFonts w:eastAsia="Times New Roman" w:cs="Times New Roman"/>
                <w:color w:val="17365D"/>
                <w:sz w:val="18"/>
                <w:szCs w:val="18"/>
                <w:lang w:eastAsia="lv-LV"/>
              </w:rPr>
            </w:pPr>
            <w:r w:rsidRPr="00E72168">
              <w:rPr>
                <w:rFonts w:cs="Times New Roman"/>
                <w:color w:val="17365D"/>
                <w:sz w:val="18"/>
                <w:szCs w:val="18"/>
              </w:rPr>
              <w:t>KB.9.1.1.</w:t>
            </w:r>
          </w:p>
        </w:tc>
        <w:tc>
          <w:tcPr>
            <w:tcW w:w="758" w:type="pct"/>
            <w:tcBorders>
              <w:top w:val="single" w:sz="4" w:space="0" w:color="17365D"/>
              <w:left w:val="nil"/>
              <w:bottom w:val="single" w:sz="4" w:space="0" w:color="17365D"/>
              <w:right w:val="nil"/>
            </w:tcBorders>
            <w:shd w:val="clear" w:color="auto" w:fill="auto"/>
            <w:noWrap/>
            <w:vAlign w:val="center"/>
          </w:tcPr>
          <w:p w14:paraId="4FC588C5" w14:textId="24E93082"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199 249 132</w:t>
            </w:r>
          </w:p>
        </w:tc>
        <w:tc>
          <w:tcPr>
            <w:tcW w:w="833" w:type="pct"/>
            <w:tcBorders>
              <w:top w:val="single" w:sz="4" w:space="0" w:color="17365D"/>
              <w:left w:val="nil"/>
              <w:bottom w:val="single" w:sz="4" w:space="0" w:color="17365D"/>
              <w:right w:val="nil"/>
            </w:tcBorders>
            <w:shd w:val="clear" w:color="auto" w:fill="auto"/>
            <w:noWrap/>
            <w:vAlign w:val="center"/>
          </w:tcPr>
          <w:p w14:paraId="681CBC8A" w14:textId="33946A23"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318 297 226</w:t>
            </w:r>
          </w:p>
        </w:tc>
        <w:tc>
          <w:tcPr>
            <w:tcW w:w="637" w:type="pct"/>
            <w:tcBorders>
              <w:top w:val="single" w:sz="4" w:space="0" w:color="17365D"/>
              <w:left w:val="nil"/>
              <w:bottom w:val="single" w:sz="4" w:space="0" w:color="17365D"/>
              <w:right w:val="nil"/>
            </w:tcBorders>
            <w:shd w:val="clear" w:color="auto" w:fill="auto"/>
            <w:noWrap/>
            <w:vAlign w:val="center"/>
          </w:tcPr>
          <w:p w14:paraId="3179E535" w14:textId="46114226"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-119 048 094</w:t>
            </w:r>
          </w:p>
        </w:tc>
        <w:tc>
          <w:tcPr>
            <w:tcW w:w="650" w:type="pct"/>
            <w:tcBorders>
              <w:top w:val="single" w:sz="4" w:space="0" w:color="17365D"/>
              <w:left w:val="nil"/>
              <w:bottom w:val="single" w:sz="4" w:space="0" w:color="17365D"/>
              <w:right w:val="nil"/>
            </w:tcBorders>
            <w:shd w:val="clear" w:color="auto" w:fill="auto"/>
            <w:noWrap/>
            <w:vAlign w:val="center"/>
          </w:tcPr>
          <w:p w14:paraId="2C5AEB63" w14:textId="30CDBC7C"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-37.40</w:t>
            </w:r>
          </w:p>
        </w:tc>
      </w:tr>
      <w:tr w:rsidR="009470D1" w:rsidRPr="00E72168" w14:paraId="59A9CC7E" w14:textId="77777777" w:rsidTr="00F04FAF">
        <w:trPr>
          <w:trHeight w:val="240"/>
        </w:trPr>
        <w:tc>
          <w:tcPr>
            <w:tcW w:w="1515" w:type="pct"/>
            <w:tcBorders>
              <w:top w:val="single" w:sz="4" w:space="0" w:color="17365D"/>
              <w:bottom w:val="single" w:sz="4" w:space="0" w:color="17365D"/>
            </w:tcBorders>
            <w:shd w:val="clear" w:color="auto" w:fill="auto"/>
            <w:vAlign w:val="center"/>
            <w:hideMark/>
          </w:tcPr>
          <w:p w14:paraId="53F3F619" w14:textId="4A72151A" w:rsidR="009470D1" w:rsidRPr="00E72168" w:rsidRDefault="009470D1" w:rsidP="009470D1">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Aprēķinātie līgumsodi, naudas sodi, soda naudas un kavējuma naudas</w:t>
            </w:r>
          </w:p>
        </w:tc>
        <w:tc>
          <w:tcPr>
            <w:tcW w:w="607" w:type="pct"/>
            <w:tcBorders>
              <w:top w:val="single" w:sz="4" w:space="0" w:color="17365D"/>
              <w:bottom w:val="single" w:sz="4" w:space="0" w:color="17365D"/>
            </w:tcBorders>
            <w:shd w:val="clear" w:color="auto" w:fill="auto"/>
            <w:noWrap/>
            <w:vAlign w:val="center"/>
          </w:tcPr>
          <w:p w14:paraId="51350ADA" w14:textId="7535BAB5" w:rsidR="009470D1" w:rsidRPr="00E72168" w:rsidRDefault="009470D1" w:rsidP="009470D1">
            <w:pPr>
              <w:spacing w:after="0" w:line="240" w:lineRule="auto"/>
              <w:jc w:val="right"/>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right w:val="nil"/>
            </w:tcBorders>
            <w:shd w:val="clear" w:color="auto" w:fill="auto"/>
            <w:noWrap/>
            <w:vAlign w:val="center"/>
          </w:tcPr>
          <w:p w14:paraId="7AEE2B01" w14:textId="18931007"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253 003 228</w:t>
            </w:r>
          </w:p>
        </w:tc>
        <w:tc>
          <w:tcPr>
            <w:tcW w:w="833" w:type="pct"/>
            <w:tcBorders>
              <w:top w:val="single" w:sz="4" w:space="0" w:color="17365D"/>
              <w:left w:val="nil"/>
              <w:bottom w:val="single" w:sz="4" w:space="0" w:color="17365D"/>
              <w:right w:val="nil"/>
            </w:tcBorders>
            <w:shd w:val="clear" w:color="auto" w:fill="auto"/>
            <w:noWrap/>
            <w:vAlign w:val="center"/>
          </w:tcPr>
          <w:p w14:paraId="1DF4AF17" w14:textId="4AF01DAA"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278 248 328</w:t>
            </w:r>
          </w:p>
        </w:tc>
        <w:tc>
          <w:tcPr>
            <w:tcW w:w="637" w:type="pct"/>
            <w:tcBorders>
              <w:top w:val="single" w:sz="4" w:space="0" w:color="17365D"/>
              <w:left w:val="nil"/>
              <w:bottom w:val="single" w:sz="4" w:space="0" w:color="17365D"/>
              <w:right w:val="nil"/>
            </w:tcBorders>
            <w:shd w:val="clear" w:color="auto" w:fill="auto"/>
            <w:noWrap/>
            <w:vAlign w:val="center"/>
          </w:tcPr>
          <w:p w14:paraId="4EEDC438" w14:textId="68A7BBDD"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-25 245 100</w:t>
            </w:r>
          </w:p>
        </w:tc>
        <w:tc>
          <w:tcPr>
            <w:tcW w:w="650" w:type="pct"/>
            <w:tcBorders>
              <w:top w:val="single" w:sz="4" w:space="0" w:color="17365D"/>
              <w:left w:val="nil"/>
              <w:bottom w:val="single" w:sz="4" w:space="0" w:color="17365D"/>
              <w:right w:val="nil"/>
            </w:tcBorders>
            <w:shd w:val="clear" w:color="auto" w:fill="auto"/>
            <w:noWrap/>
            <w:vAlign w:val="center"/>
          </w:tcPr>
          <w:p w14:paraId="128D8165" w14:textId="54863A96"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-9.07</w:t>
            </w:r>
          </w:p>
        </w:tc>
      </w:tr>
      <w:tr w:rsidR="009470D1" w:rsidRPr="00E72168" w14:paraId="265874F2" w14:textId="77777777" w:rsidTr="00F04FAF">
        <w:trPr>
          <w:trHeight w:val="480"/>
        </w:trPr>
        <w:tc>
          <w:tcPr>
            <w:tcW w:w="1515" w:type="pct"/>
            <w:tcBorders>
              <w:top w:val="single" w:sz="4" w:space="0" w:color="17365D"/>
              <w:bottom w:val="single" w:sz="4" w:space="0" w:color="17365D"/>
            </w:tcBorders>
            <w:shd w:val="clear" w:color="auto" w:fill="auto"/>
            <w:vAlign w:val="center"/>
            <w:hideMark/>
          </w:tcPr>
          <w:p w14:paraId="6216DE94" w14:textId="3F619509" w:rsidR="009470D1" w:rsidRPr="00E72168" w:rsidRDefault="009470D1" w:rsidP="009470D1">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Prasības par prettiesiski atsavinātiem aktīviem</w:t>
            </w:r>
          </w:p>
        </w:tc>
        <w:tc>
          <w:tcPr>
            <w:tcW w:w="607" w:type="pct"/>
            <w:tcBorders>
              <w:top w:val="single" w:sz="4" w:space="0" w:color="17365D"/>
              <w:bottom w:val="single" w:sz="4" w:space="0" w:color="17365D"/>
            </w:tcBorders>
            <w:shd w:val="clear" w:color="auto" w:fill="auto"/>
            <w:noWrap/>
            <w:vAlign w:val="center"/>
          </w:tcPr>
          <w:p w14:paraId="2265C7AF" w14:textId="2217995E" w:rsidR="009470D1" w:rsidRPr="00E72168" w:rsidRDefault="009470D1" w:rsidP="009470D1">
            <w:pPr>
              <w:spacing w:after="0" w:line="240" w:lineRule="auto"/>
              <w:jc w:val="right"/>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right w:val="nil"/>
            </w:tcBorders>
            <w:shd w:val="clear" w:color="auto" w:fill="auto"/>
            <w:noWrap/>
            <w:vAlign w:val="center"/>
          </w:tcPr>
          <w:p w14:paraId="35AA37FA" w14:textId="7511F4B7"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1 918 172</w:t>
            </w:r>
          </w:p>
        </w:tc>
        <w:tc>
          <w:tcPr>
            <w:tcW w:w="833" w:type="pct"/>
            <w:tcBorders>
              <w:top w:val="single" w:sz="4" w:space="0" w:color="17365D"/>
              <w:left w:val="nil"/>
              <w:bottom w:val="single" w:sz="4" w:space="0" w:color="17365D"/>
              <w:right w:val="nil"/>
            </w:tcBorders>
            <w:shd w:val="clear" w:color="auto" w:fill="auto"/>
            <w:noWrap/>
            <w:vAlign w:val="center"/>
          </w:tcPr>
          <w:p w14:paraId="5E323C86" w14:textId="308B21CA"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2 090 269</w:t>
            </w:r>
          </w:p>
        </w:tc>
        <w:tc>
          <w:tcPr>
            <w:tcW w:w="637" w:type="pct"/>
            <w:tcBorders>
              <w:top w:val="single" w:sz="4" w:space="0" w:color="17365D"/>
              <w:left w:val="nil"/>
              <w:bottom w:val="single" w:sz="4" w:space="0" w:color="17365D"/>
              <w:right w:val="nil"/>
            </w:tcBorders>
            <w:shd w:val="clear" w:color="auto" w:fill="auto"/>
            <w:noWrap/>
            <w:vAlign w:val="center"/>
          </w:tcPr>
          <w:p w14:paraId="4848BE31" w14:textId="515006C5"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-172 097</w:t>
            </w:r>
          </w:p>
        </w:tc>
        <w:tc>
          <w:tcPr>
            <w:tcW w:w="650" w:type="pct"/>
            <w:tcBorders>
              <w:top w:val="single" w:sz="4" w:space="0" w:color="17365D"/>
              <w:left w:val="nil"/>
              <w:bottom w:val="single" w:sz="4" w:space="0" w:color="17365D"/>
              <w:right w:val="nil"/>
            </w:tcBorders>
            <w:shd w:val="clear" w:color="auto" w:fill="auto"/>
            <w:noWrap/>
            <w:vAlign w:val="center"/>
          </w:tcPr>
          <w:p w14:paraId="29B52BA7" w14:textId="2B33B111"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-8.23</w:t>
            </w:r>
          </w:p>
        </w:tc>
      </w:tr>
      <w:tr w:rsidR="009470D1" w:rsidRPr="00E72168" w14:paraId="09E982EA" w14:textId="77777777" w:rsidTr="00F04FAF">
        <w:trPr>
          <w:trHeight w:val="240"/>
        </w:trPr>
        <w:tc>
          <w:tcPr>
            <w:tcW w:w="1515" w:type="pct"/>
            <w:tcBorders>
              <w:top w:val="single" w:sz="4" w:space="0" w:color="17365D"/>
              <w:bottom w:val="single" w:sz="4" w:space="0" w:color="17365D"/>
            </w:tcBorders>
            <w:shd w:val="clear" w:color="auto" w:fill="auto"/>
            <w:vAlign w:val="center"/>
            <w:hideMark/>
          </w:tcPr>
          <w:p w14:paraId="2A8B2223" w14:textId="77777777" w:rsidR="009470D1" w:rsidRPr="00E72168" w:rsidRDefault="009470D1" w:rsidP="009470D1">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Citi zembilances aktīvi</w:t>
            </w:r>
          </w:p>
        </w:tc>
        <w:tc>
          <w:tcPr>
            <w:tcW w:w="607" w:type="pct"/>
            <w:tcBorders>
              <w:top w:val="single" w:sz="4" w:space="0" w:color="17365D"/>
              <w:bottom w:val="single" w:sz="4" w:space="0" w:color="17365D"/>
            </w:tcBorders>
            <w:shd w:val="clear" w:color="auto" w:fill="auto"/>
            <w:noWrap/>
            <w:vAlign w:val="center"/>
          </w:tcPr>
          <w:p w14:paraId="36A9515D" w14:textId="29489902" w:rsidR="009470D1" w:rsidRPr="00E72168" w:rsidRDefault="009470D1" w:rsidP="009470D1">
            <w:pPr>
              <w:spacing w:after="0" w:line="240" w:lineRule="auto"/>
              <w:jc w:val="right"/>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right w:val="nil"/>
            </w:tcBorders>
            <w:shd w:val="clear" w:color="auto" w:fill="auto"/>
            <w:noWrap/>
            <w:vAlign w:val="center"/>
          </w:tcPr>
          <w:p w14:paraId="18A31C8D" w14:textId="587A86C2"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271 700 619</w:t>
            </w:r>
          </w:p>
        </w:tc>
        <w:tc>
          <w:tcPr>
            <w:tcW w:w="833" w:type="pct"/>
            <w:tcBorders>
              <w:top w:val="single" w:sz="4" w:space="0" w:color="17365D"/>
              <w:left w:val="nil"/>
              <w:bottom w:val="single" w:sz="4" w:space="0" w:color="17365D"/>
              <w:right w:val="nil"/>
            </w:tcBorders>
            <w:shd w:val="clear" w:color="auto" w:fill="auto"/>
            <w:noWrap/>
            <w:vAlign w:val="center"/>
          </w:tcPr>
          <w:p w14:paraId="448B16CD" w14:textId="1D933807"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244 901 471</w:t>
            </w:r>
          </w:p>
        </w:tc>
        <w:tc>
          <w:tcPr>
            <w:tcW w:w="637" w:type="pct"/>
            <w:tcBorders>
              <w:top w:val="single" w:sz="4" w:space="0" w:color="17365D"/>
              <w:left w:val="nil"/>
              <w:bottom w:val="single" w:sz="4" w:space="0" w:color="17365D"/>
              <w:right w:val="nil"/>
            </w:tcBorders>
            <w:shd w:val="clear" w:color="auto" w:fill="auto"/>
            <w:noWrap/>
            <w:vAlign w:val="center"/>
          </w:tcPr>
          <w:p w14:paraId="26F69E8D" w14:textId="29DA50BB"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26 799 148</w:t>
            </w:r>
          </w:p>
        </w:tc>
        <w:tc>
          <w:tcPr>
            <w:tcW w:w="650" w:type="pct"/>
            <w:tcBorders>
              <w:top w:val="single" w:sz="4" w:space="0" w:color="17365D"/>
              <w:left w:val="nil"/>
              <w:bottom w:val="single" w:sz="4" w:space="0" w:color="17365D"/>
              <w:right w:val="nil"/>
            </w:tcBorders>
            <w:shd w:val="clear" w:color="auto" w:fill="auto"/>
            <w:noWrap/>
            <w:vAlign w:val="center"/>
          </w:tcPr>
          <w:p w14:paraId="5E2D4629" w14:textId="439C1058" w:rsidR="009470D1" w:rsidRPr="00E72168" w:rsidRDefault="009470D1" w:rsidP="009470D1">
            <w:pPr>
              <w:spacing w:after="0"/>
              <w:ind w:left="-113"/>
              <w:jc w:val="right"/>
              <w:rPr>
                <w:rFonts w:eastAsia="Times New Roman" w:cs="Times New Roman"/>
                <w:color w:val="17365D"/>
                <w:sz w:val="18"/>
                <w:szCs w:val="18"/>
                <w:lang w:eastAsia="lv-LV"/>
              </w:rPr>
            </w:pPr>
            <w:r>
              <w:rPr>
                <w:color w:val="17365D"/>
                <w:sz w:val="18"/>
                <w:szCs w:val="18"/>
              </w:rPr>
              <w:t>10.94</w:t>
            </w:r>
          </w:p>
        </w:tc>
      </w:tr>
      <w:tr w:rsidR="000229AE" w:rsidRPr="00E72168" w14:paraId="58CCA512" w14:textId="77777777" w:rsidTr="00F04FAF">
        <w:trPr>
          <w:trHeight w:val="240"/>
        </w:trPr>
        <w:tc>
          <w:tcPr>
            <w:tcW w:w="1515" w:type="pct"/>
            <w:tcBorders>
              <w:top w:val="single" w:sz="4" w:space="0" w:color="17365D"/>
            </w:tcBorders>
            <w:shd w:val="clear" w:color="auto" w:fill="B9CDE5"/>
            <w:vAlign w:val="center"/>
          </w:tcPr>
          <w:p w14:paraId="5A5C7AD1" w14:textId="77777777" w:rsidR="000229AE" w:rsidRPr="00E72168" w:rsidRDefault="000229AE" w:rsidP="000229AE">
            <w:pPr>
              <w:spacing w:after="0"/>
              <w:rPr>
                <w:rFonts w:eastAsia="Times New Roman" w:cs="Times New Roman"/>
                <w:color w:val="17365D"/>
                <w:sz w:val="18"/>
                <w:szCs w:val="18"/>
                <w:lang w:eastAsia="lv-LV"/>
              </w:rPr>
            </w:pPr>
          </w:p>
        </w:tc>
        <w:tc>
          <w:tcPr>
            <w:tcW w:w="607" w:type="pct"/>
            <w:tcBorders>
              <w:top w:val="single" w:sz="4" w:space="0" w:color="17365D"/>
            </w:tcBorders>
            <w:shd w:val="clear" w:color="auto" w:fill="B9CDE5"/>
            <w:noWrap/>
          </w:tcPr>
          <w:p w14:paraId="28E07945" w14:textId="0225DE15" w:rsidR="000229AE" w:rsidRPr="00E72168" w:rsidRDefault="000229AE" w:rsidP="000229AE">
            <w:pPr>
              <w:spacing w:after="0"/>
              <w:jc w:val="center"/>
              <w:rPr>
                <w:rFonts w:eastAsia="Times New Roman" w:cs="Times New Roman"/>
                <w:color w:val="17365D"/>
                <w:sz w:val="18"/>
                <w:szCs w:val="18"/>
                <w:lang w:eastAsia="lv-LV"/>
              </w:rPr>
            </w:pPr>
          </w:p>
        </w:tc>
        <w:tc>
          <w:tcPr>
            <w:tcW w:w="758" w:type="pct"/>
            <w:tcBorders>
              <w:top w:val="single" w:sz="4" w:space="0" w:color="17365D"/>
            </w:tcBorders>
            <w:shd w:val="clear" w:color="auto" w:fill="B9CDE5"/>
            <w:noWrap/>
          </w:tcPr>
          <w:p w14:paraId="469921A2" w14:textId="48766C4F" w:rsidR="000229AE" w:rsidRPr="00E72168" w:rsidRDefault="000229AE" w:rsidP="000229AE">
            <w:pPr>
              <w:spacing w:after="0"/>
              <w:jc w:val="right"/>
              <w:rPr>
                <w:rFonts w:eastAsia="Times New Roman" w:cs="Times New Roman"/>
                <w:color w:val="17365D"/>
                <w:sz w:val="18"/>
                <w:szCs w:val="18"/>
                <w:lang w:eastAsia="lv-LV"/>
              </w:rPr>
            </w:pPr>
          </w:p>
        </w:tc>
        <w:tc>
          <w:tcPr>
            <w:tcW w:w="833" w:type="pct"/>
            <w:tcBorders>
              <w:top w:val="single" w:sz="4" w:space="0" w:color="17365D"/>
            </w:tcBorders>
            <w:shd w:val="clear" w:color="auto" w:fill="B9CDE5"/>
            <w:noWrap/>
          </w:tcPr>
          <w:p w14:paraId="7BAC2E52" w14:textId="332FB66E" w:rsidR="000229AE" w:rsidRPr="00E72168" w:rsidRDefault="000229AE" w:rsidP="000229AE">
            <w:pPr>
              <w:spacing w:after="0"/>
              <w:jc w:val="right"/>
              <w:rPr>
                <w:rFonts w:eastAsia="Times New Roman" w:cs="Times New Roman"/>
                <w:color w:val="17365D"/>
                <w:sz w:val="18"/>
                <w:szCs w:val="18"/>
                <w:lang w:eastAsia="lv-LV"/>
              </w:rPr>
            </w:pPr>
          </w:p>
        </w:tc>
        <w:tc>
          <w:tcPr>
            <w:tcW w:w="637" w:type="pct"/>
            <w:tcBorders>
              <w:top w:val="single" w:sz="4" w:space="0" w:color="17365D"/>
            </w:tcBorders>
            <w:shd w:val="clear" w:color="auto" w:fill="B9CDE5"/>
            <w:noWrap/>
          </w:tcPr>
          <w:p w14:paraId="177A0444" w14:textId="7DA80E0B" w:rsidR="000229AE" w:rsidRPr="00E72168" w:rsidRDefault="000229AE" w:rsidP="000229AE">
            <w:pPr>
              <w:spacing w:after="0"/>
              <w:jc w:val="right"/>
              <w:rPr>
                <w:rFonts w:eastAsia="Times New Roman" w:cs="Times New Roman"/>
                <w:color w:val="17365D"/>
                <w:sz w:val="18"/>
                <w:szCs w:val="18"/>
                <w:lang w:eastAsia="lv-LV"/>
              </w:rPr>
            </w:pPr>
          </w:p>
        </w:tc>
        <w:tc>
          <w:tcPr>
            <w:tcW w:w="650" w:type="pct"/>
            <w:tcBorders>
              <w:top w:val="single" w:sz="4" w:space="0" w:color="17365D"/>
            </w:tcBorders>
            <w:shd w:val="clear" w:color="auto" w:fill="B9CDE5"/>
            <w:noWrap/>
          </w:tcPr>
          <w:p w14:paraId="3F025D93" w14:textId="516DD598" w:rsidR="000229AE" w:rsidRPr="00E72168" w:rsidRDefault="000229AE" w:rsidP="000229AE">
            <w:pPr>
              <w:spacing w:after="0"/>
              <w:jc w:val="right"/>
              <w:rPr>
                <w:rFonts w:eastAsia="Times New Roman" w:cs="Times New Roman"/>
                <w:color w:val="17365D"/>
                <w:sz w:val="18"/>
                <w:szCs w:val="18"/>
                <w:lang w:eastAsia="lv-LV"/>
              </w:rPr>
            </w:pPr>
          </w:p>
        </w:tc>
      </w:tr>
    </w:tbl>
    <w:p w14:paraId="2FA2E1CF" w14:textId="2F1FA998" w:rsidR="00950697" w:rsidRPr="00E72168" w:rsidRDefault="00950697" w:rsidP="0033592B">
      <w:pPr>
        <w:pStyle w:val="Heading5"/>
      </w:pPr>
      <w:r w:rsidRPr="00E72168">
        <w:t>Piezīme Nr. KB.</w:t>
      </w:r>
      <w:r w:rsidR="00163199" w:rsidRPr="00E72168">
        <w:t>9.1.</w:t>
      </w:r>
      <w:r w:rsidR="009470D1">
        <w:t>1</w:t>
      </w:r>
      <w:r w:rsidRPr="00E72168">
        <w:t xml:space="preserve">. </w:t>
      </w:r>
      <w:r w:rsidR="00163199" w:rsidRPr="00E72168">
        <w:t>Paziņotās dividendes un saņemamie maksājumi par kapitāla daļu izmantošanu</w:t>
      </w:r>
    </w:p>
    <w:p w14:paraId="78433A72" w14:textId="6F649D10" w:rsidR="00673435" w:rsidRPr="00BF4C61" w:rsidRDefault="00996C40" w:rsidP="00F53AD9">
      <w:pPr>
        <w:pStyle w:val="Pamatteksts1"/>
      </w:pPr>
      <w:r w:rsidRPr="00BF4C61">
        <w:t xml:space="preserve">Lielākās izmaiņas </w:t>
      </w:r>
      <w:r w:rsidR="00DA25C4" w:rsidRPr="00BF4C61">
        <w:t xml:space="preserve">šī </w:t>
      </w:r>
      <w:r w:rsidRPr="00BF4C61">
        <w:t xml:space="preserve">zembilances posteņa vērtībā saistītas ar </w:t>
      </w:r>
      <w:r w:rsidR="00502C44">
        <w:t>samazinājumu</w:t>
      </w:r>
      <w:r w:rsidR="00DA25C4" w:rsidRPr="00BF4C61">
        <w:t xml:space="preserve"> </w:t>
      </w:r>
      <w:r w:rsidR="00A81A5D" w:rsidRPr="00BF4C61">
        <w:t>Ekon</w:t>
      </w:r>
      <w:r w:rsidRPr="00BF4C61">
        <w:t>omikas ministrija</w:t>
      </w:r>
      <w:r w:rsidR="00DA25C4" w:rsidRPr="00BF4C61">
        <w:t>i</w:t>
      </w:r>
      <w:r w:rsidRPr="00BF4C61">
        <w:t xml:space="preserve"> </w:t>
      </w:r>
      <w:r w:rsidR="00A81A5D" w:rsidRPr="00BF4C61">
        <w:t xml:space="preserve">par paredzamām dividenžu iemaksām valsts budžetā </w:t>
      </w:r>
      <w:r w:rsidR="00502C44">
        <w:t>(119,0) milj.</w:t>
      </w:r>
      <w:r w:rsidR="00BF4C61">
        <w:t> </w:t>
      </w:r>
      <w:r w:rsidR="00A81A5D" w:rsidRPr="00BF4C61">
        <w:rPr>
          <w:i/>
        </w:rPr>
        <w:t>euro</w:t>
      </w:r>
      <w:r w:rsidRPr="00BF4C61">
        <w:t xml:space="preserve"> vērtībā</w:t>
      </w:r>
      <w:r w:rsidR="00A81A5D" w:rsidRPr="00BF4C61">
        <w:t>.</w:t>
      </w:r>
    </w:p>
    <w:p w14:paraId="54F22116" w14:textId="50EE8796" w:rsidR="005E5801" w:rsidRPr="00A27896" w:rsidRDefault="0064183C" w:rsidP="005A3758">
      <w:pPr>
        <w:pStyle w:val="Heading4"/>
        <w:rPr>
          <w:rFonts w:cs="Times New Roman"/>
        </w:rPr>
      </w:pPr>
      <w:r w:rsidRPr="00A27896">
        <w:rPr>
          <w:rFonts w:cs="Times New Roman"/>
        </w:rPr>
        <w:t xml:space="preserve">Piezīme Nr. </w:t>
      </w:r>
      <w:r w:rsidR="001C6E01" w:rsidRPr="00A27896">
        <w:rPr>
          <w:rFonts w:cs="Times New Roman"/>
        </w:rPr>
        <w:t>KB.</w:t>
      </w:r>
      <w:r w:rsidR="00A36FE8" w:rsidRPr="00A27896">
        <w:rPr>
          <w:rFonts w:cs="Times New Roman"/>
        </w:rPr>
        <w:t>9.5</w:t>
      </w:r>
      <w:r w:rsidR="001C6E01" w:rsidRPr="00A27896">
        <w:rPr>
          <w:rFonts w:cs="Times New Roman"/>
        </w:rPr>
        <w:t>. Zembilances pasīvi</w:t>
      </w:r>
    </w:p>
    <w:p w14:paraId="67EC265A" w14:textId="32320B7A" w:rsidR="00A87549" w:rsidRPr="00A27896" w:rsidRDefault="001231AF" w:rsidP="00E0533C">
      <w:pPr>
        <w:pStyle w:val="Tabulasnosaukums1"/>
        <w:spacing w:before="0" w:line="240" w:lineRule="auto"/>
        <w:rPr>
          <w:rFonts w:cs="Times New Roman"/>
          <w:i/>
          <w:color w:val="17365D"/>
        </w:rPr>
      </w:pPr>
      <w:r>
        <w:rPr>
          <w:rFonts w:cs="Times New Roman"/>
          <w:i/>
          <w:color w:val="17365D"/>
        </w:rPr>
        <w:t>1.</w:t>
      </w:r>
      <w:r w:rsidR="001C6E01" w:rsidRPr="00A27896">
        <w:rPr>
          <w:rFonts w:cs="Times New Roman"/>
          <w:i/>
          <w:color w:val="17365D"/>
        </w:rPr>
        <w:t>2</w:t>
      </w:r>
      <w:r w:rsidR="00F128AB">
        <w:rPr>
          <w:rFonts w:cs="Times New Roman"/>
          <w:i/>
          <w:color w:val="17365D"/>
        </w:rPr>
        <w:t>3</w:t>
      </w:r>
      <w:r w:rsidR="001C6E01" w:rsidRPr="00A27896">
        <w:rPr>
          <w:rFonts w:cs="Times New Roman"/>
          <w:i/>
          <w:color w:val="17365D"/>
        </w:rPr>
        <w:t>. tabula</w:t>
      </w:r>
      <w:r w:rsidR="00A87549" w:rsidRPr="00A27896">
        <w:rPr>
          <w:rFonts w:cs="Times New Roman"/>
          <w:i/>
          <w:color w:val="17365D"/>
        </w:rPr>
        <w:t xml:space="preserve">. </w:t>
      </w:r>
      <w:r w:rsidR="00A87549" w:rsidRPr="000B1CEC">
        <w:rPr>
          <w:rFonts w:cs="Times New Roman"/>
          <w:i/>
          <w:color w:val="17365D"/>
        </w:rPr>
        <w:t>Zembilances pasīvi (</w:t>
      </w:r>
      <w:r w:rsidR="00B06962" w:rsidRPr="000B1CEC">
        <w:rPr>
          <w:rFonts w:cs="Times New Roman"/>
          <w:i/>
          <w:color w:val="17365D"/>
        </w:rPr>
        <w:t>euro</w:t>
      </w:r>
      <w:r w:rsidR="00A87549" w:rsidRPr="000B1CEC">
        <w:rPr>
          <w:rFonts w:cs="Times New Roman"/>
          <w:i/>
          <w:color w:val="17365D"/>
        </w:rPr>
        <w:t>)</w:t>
      </w:r>
      <w:r w:rsidR="001C6E01" w:rsidRPr="00A27896">
        <w:rPr>
          <w:rFonts w:cs="Times New Roman"/>
          <w:i/>
          <w:color w:val="17365D"/>
        </w:rPr>
        <w:t xml:space="preserve"> </w:t>
      </w:r>
    </w:p>
    <w:tbl>
      <w:tblPr>
        <w:tblW w:w="4987" w:type="pct"/>
        <w:tblLayout w:type="fixed"/>
        <w:tblLook w:val="04A0" w:firstRow="1" w:lastRow="0" w:firstColumn="1" w:lastColumn="0" w:noHBand="0" w:noVBand="1"/>
      </w:tblPr>
      <w:tblGrid>
        <w:gridCol w:w="3261"/>
        <w:gridCol w:w="980"/>
        <w:gridCol w:w="1396"/>
        <w:gridCol w:w="1252"/>
        <w:gridCol w:w="1198"/>
        <w:gridCol w:w="1243"/>
      </w:tblGrid>
      <w:tr w:rsidR="001F7CCC" w:rsidRPr="00A27896" w14:paraId="0E726323" w14:textId="77777777" w:rsidTr="009A4177">
        <w:trPr>
          <w:trHeight w:val="684"/>
          <w:tblHeader/>
        </w:trPr>
        <w:tc>
          <w:tcPr>
            <w:tcW w:w="1748" w:type="pct"/>
            <w:tcBorders>
              <w:bottom w:val="single" w:sz="4" w:space="0" w:color="17365D"/>
            </w:tcBorders>
            <w:shd w:val="clear" w:color="auto" w:fill="B9CDE5"/>
            <w:vAlign w:val="center"/>
            <w:hideMark/>
          </w:tcPr>
          <w:p w14:paraId="698830F8" w14:textId="4E39B6B8" w:rsidR="00443E95" w:rsidRPr="00A27896" w:rsidRDefault="007611AA" w:rsidP="00443E95">
            <w:pPr>
              <w:spacing w:after="0"/>
              <w:jc w:val="center"/>
              <w:rPr>
                <w:rFonts w:eastAsia="Times New Roman" w:cs="Times New Roman"/>
                <w:b/>
                <w:bCs/>
                <w:color w:val="17365D"/>
                <w:sz w:val="18"/>
                <w:szCs w:val="18"/>
                <w:lang w:eastAsia="lv-LV"/>
              </w:rPr>
            </w:pPr>
            <w:r>
              <w:rPr>
                <w:rFonts w:eastAsia="Times New Roman" w:cs="Times New Roman"/>
                <w:b/>
                <w:color w:val="17365D"/>
                <w:sz w:val="18"/>
                <w:szCs w:val="18"/>
                <w:lang w:eastAsia="lv-LV"/>
              </w:rPr>
              <w:t>Posteņa nosaukums</w:t>
            </w:r>
          </w:p>
        </w:tc>
        <w:tc>
          <w:tcPr>
            <w:tcW w:w="525" w:type="pct"/>
            <w:tcBorders>
              <w:bottom w:val="single" w:sz="4" w:space="0" w:color="17365D"/>
            </w:tcBorders>
            <w:shd w:val="clear" w:color="auto" w:fill="B9CDE5"/>
            <w:vAlign w:val="center"/>
            <w:hideMark/>
          </w:tcPr>
          <w:p w14:paraId="28CB97FA"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Piezīmes</w:t>
            </w:r>
            <w:r w:rsidRPr="00A27896">
              <w:rPr>
                <w:rFonts w:eastAsia="Times New Roman" w:cs="Times New Roman"/>
                <w:b/>
                <w:bCs/>
                <w:color w:val="17365D"/>
                <w:sz w:val="18"/>
                <w:szCs w:val="18"/>
                <w:lang w:eastAsia="lv-LV"/>
              </w:rPr>
              <w:br/>
              <w:t>Nr.</w:t>
            </w:r>
          </w:p>
        </w:tc>
        <w:tc>
          <w:tcPr>
            <w:tcW w:w="748" w:type="pct"/>
            <w:tcBorders>
              <w:bottom w:val="single" w:sz="4" w:space="0" w:color="17365D"/>
            </w:tcBorders>
            <w:shd w:val="clear" w:color="auto" w:fill="B9CDE5"/>
            <w:vAlign w:val="center"/>
            <w:hideMark/>
          </w:tcPr>
          <w:p w14:paraId="25920B4B"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671" w:type="pct"/>
            <w:tcBorders>
              <w:bottom w:val="single" w:sz="4" w:space="0" w:color="17365D"/>
            </w:tcBorders>
            <w:shd w:val="clear" w:color="auto" w:fill="B9CDE5"/>
            <w:vAlign w:val="center"/>
            <w:hideMark/>
          </w:tcPr>
          <w:p w14:paraId="6EC7FBEF"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642" w:type="pct"/>
            <w:tcBorders>
              <w:bottom w:val="single" w:sz="4" w:space="0" w:color="17365D"/>
            </w:tcBorders>
            <w:shd w:val="clear" w:color="auto" w:fill="B9CDE5"/>
            <w:vAlign w:val="center"/>
            <w:hideMark/>
          </w:tcPr>
          <w:p w14:paraId="0918E8CD" w14:textId="6907CE80"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Izmaiņas </w:t>
            </w:r>
            <w:r w:rsidRPr="00A27896">
              <w:rPr>
                <w:rFonts w:eastAsia="Times New Roman" w:cs="Times New Roman"/>
                <w:b/>
                <w:bCs/>
                <w:color w:val="17365D"/>
                <w:sz w:val="18"/>
                <w:szCs w:val="18"/>
                <w:lang w:eastAsia="lv-LV"/>
              </w:rPr>
              <w:br/>
              <w:t>(+,</w:t>
            </w:r>
            <w:r w:rsidR="002B1B27" w:rsidRPr="00A27896">
              <w:rPr>
                <w:rFonts w:eastAsia="Times New Roman" w:cs="Times New Roman"/>
                <w:b/>
                <w:bCs/>
                <w:color w:val="17365D"/>
                <w:sz w:val="18"/>
                <w:szCs w:val="18"/>
                <w:lang w:eastAsia="lv-LV"/>
              </w:rPr>
              <w:t xml:space="preserve"> </w:t>
            </w:r>
            <w:r w:rsidR="00402C3D">
              <w:rPr>
                <w:rFonts w:eastAsia="Times New Roman" w:cs="Times New Roman"/>
                <w:b/>
                <w:bCs/>
                <w:color w:val="17365D"/>
                <w:sz w:val="18"/>
                <w:szCs w:val="18"/>
                <w:lang w:eastAsia="lv-LV"/>
              </w:rPr>
              <w:t>–)</w:t>
            </w:r>
          </w:p>
        </w:tc>
        <w:tc>
          <w:tcPr>
            <w:tcW w:w="666" w:type="pct"/>
            <w:tcBorders>
              <w:bottom w:val="single" w:sz="4" w:space="0" w:color="17365D"/>
            </w:tcBorders>
            <w:shd w:val="clear" w:color="auto" w:fill="B9CDE5"/>
            <w:vAlign w:val="center"/>
            <w:hideMark/>
          </w:tcPr>
          <w:p w14:paraId="1BA7C662" w14:textId="77777777" w:rsidR="00443E95" w:rsidRPr="00A27896" w:rsidRDefault="00443E95" w:rsidP="001F7CCC">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Procentuālās izmaiņas (3./2.*100)</w:t>
            </w:r>
          </w:p>
        </w:tc>
      </w:tr>
      <w:tr w:rsidR="001F7CCC" w:rsidRPr="00A27896" w14:paraId="3817CA84" w14:textId="77777777" w:rsidTr="008F6207">
        <w:trPr>
          <w:trHeight w:val="240"/>
          <w:tblHeader/>
        </w:trPr>
        <w:tc>
          <w:tcPr>
            <w:tcW w:w="1748" w:type="pct"/>
            <w:tcBorders>
              <w:top w:val="single" w:sz="4" w:space="0" w:color="17365D"/>
              <w:bottom w:val="single" w:sz="4" w:space="0" w:color="17365D"/>
            </w:tcBorders>
            <w:shd w:val="clear" w:color="auto" w:fill="auto"/>
            <w:vAlign w:val="center"/>
            <w:hideMark/>
          </w:tcPr>
          <w:p w14:paraId="5551FEC5"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525" w:type="pct"/>
            <w:tcBorders>
              <w:top w:val="single" w:sz="4" w:space="0" w:color="17365D"/>
              <w:bottom w:val="single" w:sz="4" w:space="0" w:color="17365D"/>
            </w:tcBorders>
            <w:shd w:val="clear" w:color="auto" w:fill="auto"/>
            <w:vAlign w:val="center"/>
            <w:hideMark/>
          </w:tcPr>
          <w:p w14:paraId="45A7A93A"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B</w:t>
            </w:r>
          </w:p>
        </w:tc>
        <w:tc>
          <w:tcPr>
            <w:tcW w:w="748" w:type="pct"/>
            <w:tcBorders>
              <w:top w:val="single" w:sz="4" w:space="0" w:color="17365D"/>
              <w:bottom w:val="single" w:sz="4" w:space="0" w:color="17365D"/>
            </w:tcBorders>
            <w:shd w:val="clear" w:color="auto" w:fill="auto"/>
            <w:vAlign w:val="center"/>
            <w:hideMark/>
          </w:tcPr>
          <w:p w14:paraId="4C13F1DB"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671" w:type="pct"/>
            <w:tcBorders>
              <w:top w:val="single" w:sz="4" w:space="0" w:color="17365D"/>
              <w:bottom w:val="single" w:sz="4" w:space="0" w:color="17365D"/>
            </w:tcBorders>
            <w:shd w:val="clear" w:color="auto" w:fill="auto"/>
            <w:vAlign w:val="center"/>
            <w:hideMark/>
          </w:tcPr>
          <w:p w14:paraId="34324BF4"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642" w:type="pct"/>
            <w:tcBorders>
              <w:top w:val="single" w:sz="4" w:space="0" w:color="17365D"/>
              <w:bottom w:val="single" w:sz="4" w:space="0" w:color="17365D"/>
            </w:tcBorders>
            <w:shd w:val="clear" w:color="auto" w:fill="auto"/>
            <w:vAlign w:val="center"/>
            <w:hideMark/>
          </w:tcPr>
          <w:p w14:paraId="0898B0FA"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666" w:type="pct"/>
            <w:tcBorders>
              <w:top w:val="single" w:sz="4" w:space="0" w:color="17365D"/>
              <w:bottom w:val="single" w:sz="4" w:space="0" w:color="17365D"/>
            </w:tcBorders>
            <w:shd w:val="clear" w:color="auto" w:fill="auto"/>
            <w:vAlign w:val="center"/>
            <w:hideMark/>
          </w:tcPr>
          <w:p w14:paraId="64CA186C"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r>
      <w:tr w:rsidR="001F7CCC" w:rsidRPr="00A27896" w14:paraId="4EAEFD5A" w14:textId="77777777" w:rsidTr="008F6207">
        <w:trPr>
          <w:trHeight w:val="240"/>
        </w:trPr>
        <w:tc>
          <w:tcPr>
            <w:tcW w:w="1748" w:type="pct"/>
            <w:tcBorders>
              <w:top w:val="single" w:sz="4" w:space="0" w:color="17365D"/>
              <w:bottom w:val="single" w:sz="4" w:space="0" w:color="17365D"/>
            </w:tcBorders>
            <w:shd w:val="clear" w:color="auto" w:fill="auto"/>
            <w:vAlign w:val="center"/>
            <w:hideMark/>
          </w:tcPr>
          <w:p w14:paraId="03C0F748" w14:textId="77777777" w:rsidR="009470D1" w:rsidRPr="00A27896" w:rsidRDefault="009470D1" w:rsidP="009470D1">
            <w:pPr>
              <w:spacing w:after="0"/>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Zembilances pasīvi</w:t>
            </w:r>
          </w:p>
        </w:tc>
        <w:tc>
          <w:tcPr>
            <w:tcW w:w="525" w:type="pct"/>
            <w:tcBorders>
              <w:top w:val="single" w:sz="4" w:space="0" w:color="17365D"/>
              <w:bottom w:val="single" w:sz="4" w:space="0" w:color="17365D"/>
            </w:tcBorders>
            <w:shd w:val="clear" w:color="auto" w:fill="auto"/>
            <w:vAlign w:val="center"/>
            <w:hideMark/>
          </w:tcPr>
          <w:p w14:paraId="1CDB4A05" w14:textId="1114C877" w:rsidR="009470D1" w:rsidRPr="00A27896" w:rsidRDefault="009470D1" w:rsidP="009470D1">
            <w:pPr>
              <w:spacing w:after="0" w:line="240" w:lineRule="auto"/>
              <w:ind w:left="-57"/>
              <w:jc w:val="center"/>
              <w:rPr>
                <w:rFonts w:cs="Times New Roman"/>
                <w:b/>
                <w:color w:val="17365D"/>
                <w:sz w:val="18"/>
                <w:szCs w:val="18"/>
              </w:rPr>
            </w:pPr>
            <w:r w:rsidRPr="00A27896">
              <w:rPr>
                <w:rFonts w:cs="Times New Roman"/>
                <w:b/>
                <w:color w:val="17365D"/>
                <w:sz w:val="18"/>
                <w:szCs w:val="18"/>
              </w:rPr>
              <w:t>KB.9.5.</w:t>
            </w:r>
          </w:p>
        </w:tc>
        <w:tc>
          <w:tcPr>
            <w:tcW w:w="748" w:type="pct"/>
            <w:tcBorders>
              <w:top w:val="single" w:sz="4" w:space="0" w:color="17365D"/>
              <w:left w:val="nil"/>
              <w:bottom w:val="single" w:sz="4" w:space="0" w:color="17365D"/>
              <w:right w:val="nil"/>
            </w:tcBorders>
            <w:shd w:val="clear" w:color="auto" w:fill="auto"/>
            <w:noWrap/>
            <w:vAlign w:val="center"/>
          </w:tcPr>
          <w:p w14:paraId="23B35286" w14:textId="3C8B24D3" w:rsidR="009470D1" w:rsidRPr="00A27896"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7 820 620 100</w:t>
            </w:r>
          </w:p>
        </w:tc>
        <w:tc>
          <w:tcPr>
            <w:tcW w:w="671" w:type="pct"/>
            <w:tcBorders>
              <w:top w:val="single" w:sz="4" w:space="0" w:color="17365D"/>
              <w:left w:val="nil"/>
              <w:bottom w:val="single" w:sz="4" w:space="0" w:color="17365D"/>
              <w:right w:val="nil"/>
            </w:tcBorders>
            <w:shd w:val="clear" w:color="auto" w:fill="auto"/>
            <w:noWrap/>
            <w:vAlign w:val="center"/>
          </w:tcPr>
          <w:p w14:paraId="317194B4" w14:textId="324F566E" w:rsidR="009470D1" w:rsidRPr="00A27896"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7 067 306 944</w:t>
            </w:r>
          </w:p>
        </w:tc>
        <w:tc>
          <w:tcPr>
            <w:tcW w:w="642" w:type="pct"/>
            <w:tcBorders>
              <w:top w:val="single" w:sz="4" w:space="0" w:color="17365D"/>
              <w:left w:val="nil"/>
              <w:bottom w:val="single" w:sz="4" w:space="0" w:color="17365D"/>
              <w:right w:val="nil"/>
            </w:tcBorders>
            <w:shd w:val="clear" w:color="auto" w:fill="auto"/>
            <w:noWrap/>
            <w:vAlign w:val="center"/>
          </w:tcPr>
          <w:p w14:paraId="6D6295CE" w14:textId="0B037F1E" w:rsidR="009470D1" w:rsidRPr="00A27896"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753 313 156</w:t>
            </w:r>
          </w:p>
        </w:tc>
        <w:tc>
          <w:tcPr>
            <w:tcW w:w="666" w:type="pct"/>
            <w:tcBorders>
              <w:top w:val="single" w:sz="4" w:space="0" w:color="17365D"/>
              <w:left w:val="nil"/>
              <w:bottom w:val="single" w:sz="4" w:space="0" w:color="17365D"/>
              <w:right w:val="nil"/>
            </w:tcBorders>
            <w:shd w:val="clear" w:color="auto" w:fill="auto"/>
            <w:noWrap/>
            <w:vAlign w:val="center"/>
          </w:tcPr>
          <w:p w14:paraId="7A19E68F" w14:textId="76EC70B4" w:rsidR="009470D1" w:rsidRPr="00A27896" w:rsidRDefault="009470D1" w:rsidP="009470D1">
            <w:pPr>
              <w:spacing w:after="0" w:line="240" w:lineRule="auto"/>
              <w:ind w:left="-57"/>
              <w:jc w:val="right"/>
              <w:rPr>
                <w:rFonts w:eastAsia="Times New Roman" w:cs="Times New Roman"/>
                <w:b/>
                <w:color w:val="17365D"/>
                <w:sz w:val="18"/>
                <w:szCs w:val="18"/>
                <w:lang w:eastAsia="lv-LV"/>
              </w:rPr>
            </w:pPr>
            <w:r>
              <w:rPr>
                <w:b/>
                <w:bCs/>
                <w:color w:val="17365D"/>
                <w:sz w:val="18"/>
                <w:szCs w:val="18"/>
              </w:rPr>
              <w:t>10.66</w:t>
            </w:r>
          </w:p>
        </w:tc>
      </w:tr>
      <w:tr w:rsidR="001F7CCC" w:rsidRPr="00A27896" w14:paraId="4CAD5466" w14:textId="77777777" w:rsidTr="008F6207">
        <w:trPr>
          <w:trHeight w:val="172"/>
        </w:trPr>
        <w:tc>
          <w:tcPr>
            <w:tcW w:w="1748" w:type="pct"/>
            <w:tcBorders>
              <w:top w:val="single" w:sz="4" w:space="0" w:color="17365D"/>
              <w:bottom w:val="single" w:sz="4" w:space="0" w:color="17365D"/>
            </w:tcBorders>
            <w:shd w:val="clear" w:color="auto" w:fill="auto"/>
            <w:vAlign w:val="center"/>
            <w:hideMark/>
          </w:tcPr>
          <w:p w14:paraId="2A3A33D9" w14:textId="7FF93999" w:rsidR="009470D1" w:rsidRPr="00A27896" w:rsidRDefault="009470D1" w:rsidP="009470D1">
            <w:pPr>
              <w:spacing w:after="0" w:line="240" w:lineRule="auto"/>
              <w:rPr>
                <w:rFonts w:eastAsia="Times New Roman" w:cs="Times New Roman"/>
                <w:color w:val="17365D"/>
                <w:sz w:val="18"/>
                <w:szCs w:val="18"/>
                <w:lang w:eastAsia="lv-LV"/>
              </w:rPr>
            </w:pPr>
            <w:r w:rsidRPr="009A4FC0">
              <w:rPr>
                <w:rFonts w:eastAsia="Times New Roman" w:cs="Times New Roman"/>
                <w:color w:val="17365D"/>
                <w:sz w:val="18"/>
                <w:szCs w:val="18"/>
                <w:lang w:eastAsia="lv-LV"/>
              </w:rPr>
              <w:t>Nākotnes saistības saskaņā ar līgumiem, kas noslēgti par ārvalstu finanšu palīdzības un Eiropas Savienības politiku instrumentu finansētajiem projektiem</w:t>
            </w:r>
          </w:p>
        </w:tc>
        <w:tc>
          <w:tcPr>
            <w:tcW w:w="525" w:type="pct"/>
            <w:tcBorders>
              <w:top w:val="single" w:sz="4" w:space="0" w:color="17365D"/>
              <w:bottom w:val="single" w:sz="4" w:space="0" w:color="17365D"/>
            </w:tcBorders>
            <w:shd w:val="clear" w:color="auto" w:fill="auto"/>
            <w:noWrap/>
            <w:vAlign w:val="center"/>
            <w:hideMark/>
          </w:tcPr>
          <w:p w14:paraId="15E3D09E" w14:textId="655B31AE" w:rsidR="009470D1" w:rsidRPr="00A27896" w:rsidRDefault="009470D1" w:rsidP="009470D1">
            <w:pPr>
              <w:spacing w:after="0"/>
              <w:jc w:val="center"/>
              <w:rPr>
                <w:rFonts w:eastAsia="Times New Roman" w:cs="Times New Roman"/>
                <w:color w:val="17365D"/>
                <w:sz w:val="18"/>
                <w:szCs w:val="18"/>
                <w:lang w:eastAsia="lv-LV"/>
              </w:rPr>
            </w:pPr>
            <w:r w:rsidRPr="00A27896">
              <w:rPr>
                <w:rFonts w:cs="Times New Roman"/>
                <w:color w:val="17365D"/>
                <w:sz w:val="18"/>
                <w:szCs w:val="18"/>
              </w:rPr>
              <w:t>KB.9.5.1.</w:t>
            </w:r>
          </w:p>
        </w:tc>
        <w:tc>
          <w:tcPr>
            <w:tcW w:w="748" w:type="pct"/>
            <w:tcBorders>
              <w:top w:val="single" w:sz="4" w:space="0" w:color="17365D"/>
              <w:left w:val="nil"/>
              <w:bottom w:val="single" w:sz="4" w:space="0" w:color="17365D"/>
              <w:right w:val="nil"/>
            </w:tcBorders>
            <w:shd w:val="clear" w:color="auto" w:fill="auto"/>
            <w:noWrap/>
            <w:vAlign w:val="center"/>
          </w:tcPr>
          <w:p w14:paraId="5FC70D7F" w14:textId="63581BF8" w:rsidR="009470D1" w:rsidRPr="00A27896" w:rsidRDefault="009470D1" w:rsidP="009470D1">
            <w:pPr>
              <w:spacing w:after="0"/>
              <w:ind w:left="-113"/>
              <w:jc w:val="right"/>
              <w:rPr>
                <w:rFonts w:eastAsia="Times New Roman" w:cs="Times New Roman"/>
                <w:color w:val="17365D"/>
                <w:sz w:val="18"/>
                <w:szCs w:val="18"/>
                <w:lang w:eastAsia="lv-LV"/>
              </w:rPr>
            </w:pPr>
            <w:r>
              <w:rPr>
                <w:color w:val="17365D"/>
                <w:sz w:val="18"/>
                <w:szCs w:val="18"/>
              </w:rPr>
              <w:t>3 352 842 850</w:t>
            </w:r>
          </w:p>
        </w:tc>
        <w:tc>
          <w:tcPr>
            <w:tcW w:w="671" w:type="pct"/>
            <w:tcBorders>
              <w:top w:val="single" w:sz="4" w:space="0" w:color="17365D"/>
              <w:left w:val="nil"/>
              <w:bottom w:val="single" w:sz="4" w:space="0" w:color="17365D"/>
              <w:right w:val="nil"/>
            </w:tcBorders>
            <w:shd w:val="clear" w:color="auto" w:fill="auto"/>
            <w:noWrap/>
            <w:vAlign w:val="center"/>
          </w:tcPr>
          <w:p w14:paraId="725DA1A4" w14:textId="1A71066C" w:rsidR="009470D1" w:rsidRPr="00A27896" w:rsidRDefault="009470D1" w:rsidP="009470D1">
            <w:pPr>
              <w:spacing w:after="0"/>
              <w:ind w:left="-113"/>
              <w:jc w:val="right"/>
              <w:rPr>
                <w:rFonts w:eastAsia="Times New Roman" w:cs="Times New Roman"/>
                <w:color w:val="17365D"/>
                <w:sz w:val="18"/>
                <w:szCs w:val="18"/>
                <w:lang w:eastAsia="lv-LV"/>
              </w:rPr>
            </w:pPr>
            <w:r>
              <w:rPr>
                <w:color w:val="17365D"/>
                <w:sz w:val="18"/>
                <w:szCs w:val="18"/>
              </w:rPr>
              <w:t>2 565 398 365</w:t>
            </w:r>
          </w:p>
        </w:tc>
        <w:tc>
          <w:tcPr>
            <w:tcW w:w="642" w:type="pct"/>
            <w:tcBorders>
              <w:top w:val="single" w:sz="4" w:space="0" w:color="17365D"/>
              <w:left w:val="nil"/>
              <w:bottom w:val="single" w:sz="4" w:space="0" w:color="17365D"/>
              <w:right w:val="nil"/>
            </w:tcBorders>
            <w:shd w:val="clear" w:color="auto" w:fill="auto"/>
            <w:noWrap/>
            <w:vAlign w:val="center"/>
          </w:tcPr>
          <w:p w14:paraId="0D0F0EFC" w14:textId="6C04CBCC" w:rsidR="009470D1" w:rsidRPr="00A27896" w:rsidRDefault="009470D1" w:rsidP="009470D1">
            <w:pPr>
              <w:spacing w:after="0"/>
              <w:ind w:left="-113"/>
              <w:jc w:val="right"/>
              <w:rPr>
                <w:rFonts w:eastAsia="Times New Roman" w:cs="Times New Roman"/>
                <w:color w:val="17365D"/>
                <w:sz w:val="18"/>
                <w:szCs w:val="18"/>
                <w:lang w:eastAsia="lv-LV"/>
              </w:rPr>
            </w:pPr>
            <w:r>
              <w:rPr>
                <w:color w:val="17365D"/>
                <w:sz w:val="18"/>
                <w:szCs w:val="18"/>
              </w:rPr>
              <w:t>787 444 485</w:t>
            </w:r>
          </w:p>
        </w:tc>
        <w:tc>
          <w:tcPr>
            <w:tcW w:w="666" w:type="pct"/>
            <w:tcBorders>
              <w:top w:val="single" w:sz="4" w:space="0" w:color="17365D"/>
              <w:left w:val="nil"/>
              <w:bottom w:val="single" w:sz="4" w:space="0" w:color="17365D"/>
              <w:right w:val="nil"/>
            </w:tcBorders>
            <w:shd w:val="clear" w:color="auto" w:fill="auto"/>
            <w:noWrap/>
            <w:vAlign w:val="center"/>
          </w:tcPr>
          <w:p w14:paraId="15BE9D82" w14:textId="3C52E8D1" w:rsidR="009470D1" w:rsidRPr="00A27896" w:rsidRDefault="009470D1" w:rsidP="009470D1">
            <w:pPr>
              <w:spacing w:after="0"/>
              <w:ind w:left="-113"/>
              <w:jc w:val="right"/>
              <w:rPr>
                <w:rFonts w:eastAsia="Times New Roman" w:cs="Times New Roman"/>
                <w:color w:val="17365D"/>
                <w:sz w:val="18"/>
                <w:szCs w:val="18"/>
                <w:lang w:eastAsia="lv-LV"/>
              </w:rPr>
            </w:pPr>
            <w:r>
              <w:rPr>
                <w:color w:val="17365D"/>
                <w:sz w:val="18"/>
                <w:szCs w:val="18"/>
              </w:rPr>
              <w:t>30.69</w:t>
            </w:r>
          </w:p>
        </w:tc>
      </w:tr>
      <w:tr w:rsidR="001F7CCC" w:rsidRPr="00A27896" w14:paraId="045CBAF8" w14:textId="77777777" w:rsidTr="008F6207">
        <w:trPr>
          <w:trHeight w:val="979"/>
        </w:trPr>
        <w:tc>
          <w:tcPr>
            <w:tcW w:w="1748" w:type="pct"/>
            <w:tcBorders>
              <w:top w:val="single" w:sz="4" w:space="0" w:color="17365D"/>
              <w:bottom w:val="single" w:sz="4" w:space="0" w:color="17365D"/>
            </w:tcBorders>
            <w:shd w:val="clear" w:color="auto" w:fill="auto"/>
            <w:vAlign w:val="center"/>
            <w:hideMark/>
          </w:tcPr>
          <w:p w14:paraId="308BB488" w14:textId="5B9A4527" w:rsidR="009470D1" w:rsidRPr="00A27896" w:rsidRDefault="009470D1" w:rsidP="009470D1">
            <w:pPr>
              <w:spacing w:after="0" w:line="240" w:lineRule="auto"/>
              <w:rPr>
                <w:rFonts w:eastAsia="Times New Roman" w:cs="Times New Roman"/>
                <w:color w:val="17365D"/>
                <w:sz w:val="18"/>
                <w:szCs w:val="18"/>
                <w:lang w:eastAsia="lv-LV"/>
              </w:rPr>
            </w:pPr>
            <w:r w:rsidRPr="001C3A6E">
              <w:rPr>
                <w:rFonts w:eastAsia="Times New Roman" w:cs="Times New Roman"/>
                <w:color w:val="17365D"/>
                <w:sz w:val="18"/>
                <w:szCs w:val="18"/>
                <w:lang w:eastAsia="lv-LV"/>
              </w:rPr>
              <w:t>Nākotnes saistības saskaņā ar līgumiem un vadības lēmumiem par ilgtermiņa ieguldījumu iegādi un izveidošanu, izņemot tos, kas noslēgti par ārvalstu finanšu palīdzības un Eiropas Savienības politiku instrumentu finansētajiem projektiem</w:t>
            </w:r>
          </w:p>
        </w:tc>
        <w:tc>
          <w:tcPr>
            <w:tcW w:w="525" w:type="pct"/>
            <w:tcBorders>
              <w:top w:val="single" w:sz="4" w:space="0" w:color="17365D"/>
              <w:bottom w:val="single" w:sz="4" w:space="0" w:color="17365D"/>
            </w:tcBorders>
            <w:shd w:val="clear" w:color="auto" w:fill="auto"/>
            <w:noWrap/>
            <w:vAlign w:val="center"/>
            <w:hideMark/>
          </w:tcPr>
          <w:p w14:paraId="7A999953" w14:textId="485BDB0F" w:rsidR="009470D1" w:rsidRPr="00A27896" w:rsidRDefault="009470D1" w:rsidP="009470D1">
            <w:pPr>
              <w:spacing w:after="0"/>
              <w:jc w:val="right"/>
              <w:rPr>
                <w:rFonts w:eastAsia="Times New Roman" w:cs="Times New Roman"/>
                <w:color w:val="17365D"/>
                <w:sz w:val="18"/>
                <w:szCs w:val="18"/>
                <w:lang w:eastAsia="lv-LV"/>
              </w:rPr>
            </w:pPr>
            <w:r>
              <w:rPr>
                <w:rFonts w:eastAsia="Times New Roman" w:cs="Times New Roman"/>
                <w:color w:val="17365D"/>
                <w:sz w:val="18"/>
                <w:szCs w:val="18"/>
                <w:lang w:eastAsia="lv-LV"/>
              </w:rPr>
              <w:t>KB.9.5.2</w:t>
            </w:r>
            <w:r w:rsidRPr="003F7EA2">
              <w:rPr>
                <w:rFonts w:eastAsia="Times New Roman" w:cs="Times New Roman"/>
                <w:color w:val="17365D"/>
                <w:sz w:val="18"/>
                <w:szCs w:val="18"/>
                <w:lang w:eastAsia="lv-LV"/>
              </w:rPr>
              <w:t>.</w:t>
            </w:r>
          </w:p>
        </w:tc>
        <w:tc>
          <w:tcPr>
            <w:tcW w:w="748" w:type="pct"/>
            <w:tcBorders>
              <w:top w:val="single" w:sz="4" w:space="0" w:color="17365D"/>
              <w:left w:val="nil"/>
              <w:bottom w:val="single" w:sz="4" w:space="0" w:color="17365D"/>
              <w:right w:val="nil"/>
            </w:tcBorders>
            <w:shd w:val="clear" w:color="FFFFFF" w:fill="FFFFFF"/>
            <w:noWrap/>
            <w:vAlign w:val="center"/>
          </w:tcPr>
          <w:p w14:paraId="719BEFC6" w14:textId="3065B57E"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1 279 488 398</w:t>
            </w:r>
          </w:p>
        </w:tc>
        <w:tc>
          <w:tcPr>
            <w:tcW w:w="671" w:type="pct"/>
            <w:tcBorders>
              <w:top w:val="single" w:sz="4" w:space="0" w:color="17365D"/>
              <w:left w:val="nil"/>
              <w:bottom w:val="single" w:sz="4" w:space="0" w:color="17365D"/>
              <w:right w:val="nil"/>
            </w:tcBorders>
            <w:shd w:val="clear" w:color="FFFFFF" w:fill="FFFFFF"/>
            <w:noWrap/>
            <w:vAlign w:val="center"/>
          </w:tcPr>
          <w:p w14:paraId="064A6B0E" w14:textId="4A8ADFFF"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1 465 377 885</w:t>
            </w:r>
          </w:p>
        </w:tc>
        <w:tc>
          <w:tcPr>
            <w:tcW w:w="642" w:type="pct"/>
            <w:tcBorders>
              <w:top w:val="single" w:sz="4" w:space="0" w:color="17365D"/>
              <w:left w:val="nil"/>
              <w:bottom w:val="single" w:sz="4" w:space="0" w:color="17365D"/>
              <w:right w:val="nil"/>
            </w:tcBorders>
            <w:shd w:val="clear" w:color="auto" w:fill="auto"/>
            <w:noWrap/>
            <w:vAlign w:val="center"/>
          </w:tcPr>
          <w:p w14:paraId="6FF9AFC1" w14:textId="7DBB37E1"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-185 889 487</w:t>
            </w:r>
          </w:p>
        </w:tc>
        <w:tc>
          <w:tcPr>
            <w:tcW w:w="666" w:type="pct"/>
            <w:tcBorders>
              <w:top w:val="single" w:sz="4" w:space="0" w:color="17365D"/>
              <w:left w:val="nil"/>
              <w:bottom w:val="single" w:sz="4" w:space="0" w:color="17365D"/>
              <w:right w:val="nil"/>
            </w:tcBorders>
            <w:shd w:val="clear" w:color="auto" w:fill="auto"/>
            <w:noWrap/>
            <w:vAlign w:val="center"/>
          </w:tcPr>
          <w:p w14:paraId="58D87DBE" w14:textId="62EF7917"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-12.69</w:t>
            </w:r>
          </w:p>
        </w:tc>
      </w:tr>
      <w:tr w:rsidR="001F7CCC" w:rsidRPr="00A27896" w14:paraId="28E985D4" w14:textId="77777777" w:rsidTr="008F6207">
        <w:trPr>
          <w:trHeight w:val="449"/>
        </w:trPr>
        <w:tc>
          <w:tcPr>
            <w:tcW w:w="1748" w:type="pct"/>
            <w:tcBorders>
              <w:top w:val="single" w:sz="4" w:space="0" w:color="17365D"/>
              <w:bottom w:val="single" w:sz="4" w:space="0" w:color="17365D"/>
            </w:tcBorders>
            <w:shd w:val="clear" w:color="auto" w:fill="auto"/>
            <w:vAlign w:val="center"/>
            <w:hideMark/>
          </w:tcPr>
          <w:p w14:paraId="747D6082" w14:textId="30368709" w:rsidR="009470D1" w:rsidRPr="00A27896" w:rsidRDefault="009470D1" w:rsidP="009470D1">
            <w:pPr>
              <w:spacing w:after="0" w:line="240" w:lineRule="auto"/>
              <w:rPr>
                <w:rFonts w:eastAsia="Times New Roman" w:cs="Times New Roman"/>
                <w:color w:val="17365D"/>
                <w:sz w:val="18"/>
                <w:szCs w:val="18"/>
                <w:lang w:eastAsia="lv-LV"/>
              </w:rPr>
            </w:pPr>
            <w:r w:rsidRPr="003F7EA2">
              <w:rPr>
                <w:rFonts w:eastAsia="Times New Roman" w:cs="Times New Roman"/>
                <w:color w:val="17365D"/>
                <w:sz w:val="18"/>
                <w:szCs w:val="18"/>
                <w:lang w:eastAsia="lv-LV"/>
              </w:rPr>
              <w:t xml:space="preserve">Nākotnes saistības saskaņā ar līgumiem un vadības lēmumiem par preču un pakalpojumu iegādi, izņemot tos, kas noslēgti par ārvalstu finanšu palīdzības un </w:t>
            </w:r>
            <w:r w:rsidRPr="003F7EA2">
              <w:rPr>
                <w:rFonts w:eastAsia="Times New Roman" w:cs="Times New Roman"/>
                <w:color w:val="17365D"/>
                <w:sz w:val="18"/>
                <w:szCs w:val="18"/>
                <w:lang w:eastAsia="lv-LV"/>
              </w:rPr>
              <w:lastRenderedPageBreak/>
              <w:t>Eiropas Savienības politiku instrumentu finansētajiem projektiem un nomu</w:t>
            </w:r>
          </w:p>
        </w:tc>
        <w:tc>
          <w:tcPr>
            <w:tcW w:w="525" w:type="pct"/>
            <w:tcBorders>
              <w:top w:val="single" w:sz="4" w:space="0" w:color="17365D"/>
              <w:bottom w:val="single" w:sz="4" w:space="0" w:color="17365D"/>
            </w:tcBorders>
            <w:shd w:val="clear" w:color="auto" w:fill="auto"/>
            <w:noWrap/>
            <w:vAlign w:val="center"/>
          </w:tcPr>
          <w:p w14:paraId="08EC3FB6" w14:textId="2CB6E2E5" w:rsidR="009470D1" w:rsidRPr="00A27896" w:rsidRDefault="009470D1" w:rsidP="009470D1">
            <w:pPr>
              <w:spacing w:after="0"/>
              <w:jc w:val="center"/>
              <w:rPr>
                <w:rFonts w:eastAsia="Times New Roman" w:cs="Times New Roman"/>
                <w:color w:val="17365D"/>
                <w:sz w:val="18"/>
                <w:szCs w:val="18"/>
                <w:lang w:eastAsia="lv-LV"/>
              </w:rPr>
            </w:pPr>
          </w:p>
        </w:tc>
        <w:tc>
          <w:tcPr>
            <w:tcW w:w="748" w:type="pct"/>
            <w:tcBorders>
              <w:top w:val="single" w:sz="4" w:space="0" w:color="17365D"/>
              <w:left w:val="nil"/>
              <w:bottom w:val="single" w:sz="4" w:space="0" w:color="17365D"/>
              <w:right w:val="nil"/>
            </w:tcBorders>
            <w:shd w:val="clear" w:color="FFFFFF" w:fill="FFFFFF"/>
            <w:noWrap/>
            <w:vAlign w:val="center"/>
          </w:tcPr>
          <w:p w14:paraId="6A54CC8E" w14:textId="27C39BAC"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106 679 733</w:t>
            </w:r>
          </w:p>
        </w:tc>
        <w:tc>
          <w:tcPr>
            <w:tcW w:w="671" w:type="pct"/>
            <w:tcBorders>
              <w:top w:val="single" w:sz="4" w:space="0" w:color="17365D"/>
              <w:left w:val="nil"/>
              <w:bottom w:val="single" w:sz="4" w:space="0" w:color="17365D"/>
              <w:right w:val="nil"/>
            </w:tcBorders>
            <w:shd w:val="clear" w:color="FFFFFF" w:fill="FFFFFF"/>
            <w:noWrap/>
            <w:vAlign w:val="center"/>
          </w:tcPr>
          <w:p w14:paraId="52386091" w14:textId="4CDDDD06"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97 514 381</w:t>
            </w:r>
          </w:p>
        </w:tc>
        <w:tc>
          <w:tcPr>
            <w:tcW w:w="642" w:type="pct"/>
            <w:tcBorders>
              <w:top w:val="single" w:sz="4" w:space="0" w:color="17365D"/>
              <w:left w:val="nil"/>
              <w:bottom w:val="single" w:sz="4" w:space="0" w:color="17365D"/>
              <w:right w:val="nil"/>
            </w:tcBorders>
            <w:shd w:val="clear" w:color="auto" w:fill="auto"/>
            <w:noWrap/>
            <w:vAlign w:val="center"/>
          </w:tcPr>
          <w:p w14:paraId="57DD739D" w14:textId="0440C6F9"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9 165 352</w:t>
            </w:r>
          </w:p>
        </w:tc>
        <w:tc>
          <w:tcPr>
            <w:tcW w:w="666" w:type="pct"/>
            <w:tcBorders>
              <w:top w:val="single" w:sz="4" w:space="0" w:color="17365D"/>
              <w:left w:val="nil"/>
              <w:bottom w:val="single" w:sz="4" w:space="0" w:color="17365D"/>
              <w:right w:val="nil"/>
            </w:tcBorders>
            <w:shd w:val="clear" w:color="auto" w:fill="auto"/>
            <w:noWrap/>
            <w:vAlign w:val="center"/>
          </w:tcPr>
          <w:p w14:paraId="65A93F2D" w14:textId="4C6CA8C5"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9.40</w:t>
            </w:r>
          </w:p>
        </w:tc>
      </w:tr>
      <w:tr w:rsidR="001F7CCC" w:rsidRPr="00A27896" w14:paraId="2CCD036D" w14:textId="77777777" w:rsidTr="008F6207">
        <w:trPr>
          <w:trHeight w:val="480"/>
        </w:trPr>
        <w:tc>
          <w:tcPr>
            <w:tcW w:w="1748" w:type="pct"/>
            <w:tcBorders>
              <w:top w:val="single" w:sz="4" w:space="0" w:color="17365D"/>
              <w:bottom w:val="single" w:sz="4" w:space="0" w:color="17365D"/>
            </w:tcBorders>
            <w:shd w:val="clear" w:color="auto" w:fill="auto"/>
            <w:vAlign w:val="center"/>
            <w:hideMark/>
          </w:tcPr>
          <w:p w14:paraId="21BFDFBF" w14:textId="77777777" w:rsidR="009470D1" w:rsidRPr="00A27896" w:rsidRDefault="009470D1" w:rsidP="009470D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Saņemtie, bet neapmaksātie avansa attaisnojuma dokumenti</w:t>
            </w:r>
          </w:p>
        </w:tc>
        <w:tc>
          <w:tcPr>
            <w:tcW w:w="525" w:type="pct"/>
            <w:tcBorders>
              <w:top w:val="single" w:sz="4" w:space="0" w:color="17365D"/>
              <w:bottom w:val="single" w:sz="4" w:space="0" w:color="17365D"/>
            </w:tcBorders>
            <w:shd w:val="clear" w:color="auto" w:fill="auto"/>
            <w:noWrap/>
            <w:vAlign w:val="center"/>
          </w:tcPr>
          <w:p w14:paraId="58F77209" w14:textId="3366AA0B" w:rsidR="009470D1" w:rsidRPr="00A27896" w:rsidRDefault="009470D1" w:rsidP="009470D1">
            <w:pPr>
              <w:spacing w:after="0"/>
              <w:jc w:val="center"/>
              <w:rPr>
                <w:rFonts w:eastAsia="Times New Roman" w:cs="Times New Roman"/>
                <w:color w:val="17365D"/>
                <w:sz w:val="18"/>
                <w:szCs w:val="18"/>
                <w:lang w:eastAsia="lv-LV"/>
              </w:rPr>
            </w:pPr>
          </w:p>
        </w:tc>
        <w:tc>
          <w:tcPr>
            <w:tcW w:w="748" w:type="pct"/>
            <w:tcBorders>
              <w:top w:val="single" w:sz="4" w:space="0" w:color="17365D"/>
              <w:left w:val="nil"/>
              <w:bottom w:val="single" w:sz="4" w:space="0" w:color="17365D"/>
              <w:right w:val="nil"/>
            </w:tcBorders>
            <w:shd w:val="clear" w:color="FFFFFF" w:fill="FFFFFF"/>
            <w:noWrap/>
            <w:vAlign w:val="center"/>
          </w:tcPr>
          <w:p w14:paraId="27DEA055" w14:textId="5742F7D0"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10 085 470</w:t>
            </w:r>
          </w:p>
        </w:tc>
        <w:tc>
          <w:tcPr>
            <w:tcW w:w="671" w:type="pct"/>
            <w:tcBorders>
              <w:top w:val="single" w:sz="4" w:space="0" w:color="17365D"/>
              <w:left w:val="nil"/>
              <w:bottom w:val="single" w:sz="4" w:space="0" w:color="17365D"/>
              <w:right w:val="nil"/>
            </w:tcBorders>
            <w:shd w:val="clear" w:color="FFFFFF" w:fill="FFFFFF"/>
            <w:noWrap/>
            <w:vAlign w:val="center"/>
          </w:tcPr>
          <w:p w14:paraId="22B9A749" w14:textId="3EF80A67"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22 087 873</w:t>
            </w:r>
          </w:p>
        </w:tc>
        <w:tc>
          <w:tcPr>
            <w:tcW w:w="642" w:type="pct"/>
            <w:tcBorders>
              <w:top w:val="single" w:sz="4" w:space="0" w:color="17365D"/>
              <w:left w:val="nil"/>
              <w:bottom w:val="single" w:sz="4" w:space="0" w:color="17365D"/>
              <w:right w:val="nil"/>
            </w:tcBorders>
            <w:shd w:val="clear" w:color="auto" w:fill="auto"/>
            <w:noWrap/>
            <w:vAlign w:val="center"/>
          </w:tcPr>
          <w:p w14:paraId="47535D28" w14:textId="2BBCE704"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-12 002 403</w:t>
            </w:r>
          </w:p>
        </w:tc>
        <w:tc>
          <w:tcPr>
            <w:tcW w:w="666" w:type="pct"/>
            <w:tcBorders>
              <w:top w:val="single" w:sz="4" w:space="0" w:color="17365D"/>
              <w:left w:val="nil"/>
              <w:bottom w:val="single" w:sz="4" w:space="0" w:color="17365D"/>
              <w:right w:val="nil"/>
            </w:tcBorders>
            <w:shd w:val="clear" w:color="auto" w:fill="auto"/>
            <w:noWrap/>
            <w:vAlign w:val="center"/>
          </w:tcPr>
          <w:p w14:paraId="6429A5DD" w14:textId="108DE719"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-54.34</w:t>
            </w:r>
          </w:p>
        </w:tc>
      </w:tr>
      <w:tr w:rsidR="001F7CCC" w:rsidRPr="00A27896" w14:paraId="39BDF8B1" w14:textId="77777777" w:rsidTr="008F6207">
        <w:trPr>
          <w:trHeight w:val="300"/>
        </w:trPr>
        <w:tc>
          <w:tcPr>
            <w:tcW w:w="1748" w:type="pct"/>
            <w:tcBorders>
              <w:top w:val="single" w:sz="4" w:space="0" w:color="17365D"/>
              <w:bottom w:val="single" w:sz="4" w:space="0" w:color="17365D"/>
            </w:tcBorders>
            <w:shd w:val="clear" w:color="auto" w:fill="auto"/>
            <w:vAlign w:val="center"/>
            <w:hideMark/>
          </w:tcPr>
          <w:p w14:paraId="500934E7" w14:textId="77777777" w:rsidR="009470D1" w:rsidRPr="00A27896" w:rsidRDefault="009470D1" w:rsidP="009470D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Nākotnes nomas maksājumi</w:t>
            </w:r>
          </w:p>
        </w:tc>
        <w:tc>
          <w:tcPr>
            <w:tcW w:w="525" w:type="pct"/>
            <w:tcBorders>
              <w:top w:val="single" w:sz="4" w:space="0" w:color="17365D"/>
              <w:bottom w:val="single" w:sz="4" w:space="0" w:color="17365D"/>
            </w:tcBorders>
            <w:shd w:val="clear" w:color="auto" w:fill="auto"/>
            <w:noWrap/>
            <w:vAlign w:val="center"/>
          </w:tcPr>
          <w:p w14:paraId="0C3F66A0" w14:textId="3CE337F1" w:rsidR="009470D1" w:rsidRPr="00A27896" w:rsidRDefault="009470D1" w:rsidP="009470D1">
            <w:pPr>
              <w:spacing w:after="0"/>
              <w:jc w:val="center"/>
              <w:rPr>
                <w:rFonts w:eastAsia="Times New Roman" w:cs="Times New Roman"/>
                <w:color w:val="17365D"/>
                <w:sz w:val="18"/>
                <w:szCs w:val="18"/>
                <w:lang w:eastAsia="lv-LV"/>
              </w:rPr>
            </w:pPr>
          </w:p>
        </w:tc>
        <w:tc>
          <w:tcPr>
            <w:tcW w:w="748" w:type="pct"/>
            <w:tcBorders>
              <w:top w:val="single" w:sz="4" w:space="0" w:color="17365D"/>
              <w:left w:val="nil"/>
              <w:bottom w:val="single" w:sz="4" w:space="0" w:color="17365D"/>
              <w:right w:val="nil"/>
            </w:tcBorders>
            <w:shd w:val="clear" w:color="FFFFFF" w:fill="FFFFFF"/>
            <w:noWrap/>
            <w:vAlign w:val="center"/>
          </w:tcPr>
          <w:p w14:paraId="7750C065" w14:textId="00D41C65"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17 972 388</w:t>
            </w:r>
          </w:p>
        </w:tc>
        <w:tc>
          <w:tcPr>
            <w:tcW w:w="671" w:type="pct"/>
            <w:tcBorders>
              <w:top w:val="single" w:sz="4" w:space="0" w:color="17365D"/>
              <w:left w:val="nil"/>
              <w:bottom w:val="single" w:sz="4" w:space="0" w:color="17365D"/>
              <w:right w:val="nil"/>
            </w:tcBorders>
            <w:shd w:val="clear" w:color="FFFFFF" w:fill="FFFFFF"/>
            <w:noWrap/>
            <w:vAlign w:val="center"/>
          </w:tcPr>
          <w:p w14:paraId="6FF1CC56" w14:textId="3A99ECBE"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9 541 697</w:t>
            </w:r>
          </w:p>
        </w:tc>
        <w:tc>
          <w:tcPr>
            <w:tcW w:w="642" w:type="pct"/>
            <w:tcBorders>
              <w:top w:val="single" w:sz="4" w:space="0" w:color="17365D"/>
              <w:left w:val="nil"/>
              <w:bottom w:val="single" w:sz="4" w:space="0" w:color="17365D"/>
              <w:right w:val="nil"/>
            </w:tcBorders>
            <w:shd w:val="clear" w:color="auto" w:fill="auto"/>
            <w:noWrap/>
            <w:vAlign w:val="center"/>
          </w:tcPr>
          <w:p w14:paraId="2A3903F1" w14:textId="52C9C49B"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8 430 691</w:t>
            </w:r>
          </w:p>
        </w:tc>
        <w:tc>
          <w:tcPr>
            <w:tcW w:w="666" w:type="pct"/>
            <w:tcBorders>
              <w:top w:val="single" w:sz="4" w:space="0" w:color="17365D"/>
              <w:left w:val="nil"/>
              <w:bottom w:val="single" w:sz="4" w:space="0" w:color="17365D"/>
              <w:right w:val="nil"/>
            </w:tcBorders>
            <w:shd w:val="clear" w:color="auto" w:fill="auto"/>
            <w:noWrap/>
            <w:vAlign w:val="center"/>
          </w:tcPr>
          <w:p w14:paraId="68590266" w14:textId="06D6EDDD"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88.36</w:t>
            </w:r>
          </w:p>
        </w:tc>
      </w:tr>
      <w:tr w:rsidR="001F7CCC" w:rsidRPr="00A27896" w14:paraId="1831E1F1" w14:textId="77777777" w:rsidTr="008F6207">
        <w:trPr>
          <w:trHeight w:val="300"/>
        </w:trPr>
        <w:tc>
          <w:tcPr>
            <w:tcW w:w="1748" w:type="pct"/>
            <w:tcBorders>
              <w:top w:val="single" w:sz="4" w:space="0" w:color="17365D"/>
              <w:bottom w:val="single" w:sz="4" w:space="0" w:color="17365D"/>
            </w:tcBorders>
            <w:shd w:val="clear" w:color="auto" w:fill="auto"/>
            <w:vAlign w:val="center"/>
            <w:hideMark/>
          </w:tcPr>
          <w:p w14:paraId="47FA7EE2" w14:textId="77777777" w:rsidR="009470D1" w:rsidRPr="00A27896" w:rsidRDefault="009470D1" w:rsidP="009470D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Izsniegtie galvojumi</w:t>
            </w:r>
          </w:p>
        </w:tc>
        <w:tc>
          <w:tcPr>
            <w:tcW w:w="525" w:type="pct"/>
            <w:tcBorders>
              <w:top w:val="single" w:sz="4" w:space="0" w:color="17365D"/>
              <w:bottom w:val="single" w:sz="4" w:space="0" w:color="17365D"/>
            </w:tcBorders>
            <w:shd w:val="clear" w:color="auto" w:fill="auto"/>
            <w:noWrap/>
            <w:vAlign w:val="center"/>
          </w:tcPr>
          <w:p w14:paraId="6FE2831C" w14:textId="25B7E1E6" w:rsidR="009470D1" w:rsidRPr="00A27896" w:rsidRDefault="009470D1" w:rsidP="009470D1">
            <w:pPr>
              <w:spacing w:after="0"/>
              <w:jc w:val="center"/>
              <w:rPr>
                <w:rFonts w:eastAsia="Times New Roman" w:cs="Times New Roman"/>
                <w:color w:val="17365D"/>
                <w:sz w:val="18"/>
                <w:szCs w:val="18"/>
                <w:lang w:eastAsia="lv-LV"/>
              </w:rPr>
            </w:pPr>
          </w:p>
        </w:tc>
        <w:tc>
          <w:tcPr>
            <w:tcW w:w="748" w:type="pct"/>
            <w:tcBorders>
              <w:top w:val="single" w:sz="4" w:space="0" w:color="17365D"/>
              <w:left w:val="nil"/>
              <w:bottom w:val="single" w:sz="4" w:space="0" w:color="17365D"/>
              <w:right w:val="nil"/>
            </w:tcBorders>
            <w:shd w:val="clear" w:color="FFFFFF" w:fill="FFFFFF"/>
            <w:noWrap/>
            <w:vAlign w:val="center"/>
          </w:tcPr>
          <w:p w14:paraId="5FCCAF4C" w14:textId="28CA12C7"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34 156 478</w:t>
            </w:r>
          </w:p>
        </w:tc>
        <w:tc>
          <w:tcPr>
            <w:tcW w:w="671" w:type="pct"/>
            <w:tcBorders>
              <w:top w:val="single" w:sz="4" w:space="0" w:color="17365D"/>
              <w:left w:val="nil"/>
              <w:bottom w:val="single" w:sz="4" w:space="0" w:color="17365D"/>
              <w:right w:val="nil"/>
            </w:tcBorders>
            <w:shd w:val="clear" w:color="FFFFFF" w:fill="FFFFFF"/>
            <w:noWrap/>
            <w:vAlign w:val="center"/>
          </w:tcPr>
          <w:p w14:paraId="4A6DE6A0" w14:textId="70D361A1"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36 922 165</w:t>
            </w:r>
          </w:p>
        </w:tc>
        <w:tc>
          <w:tcPr>
            <w:tcW w:w="642" w:type="pct"/>
            <w:tcBorders>
              <w:top w:val="single" w:sz="4" w:space="0" w:color="17365D"/>
              <w:left w:val="nil"/>
              <w:bottom w:val="single" w:sz="4" w:space="0" w:color="17365D"/>
              <w:right w:val="nil"/>
            </w:tcBorders>
            <w:shd w:val="clear" w:color="auto" w:fill="auto"/>
            <w:noWrap/>
            <w:vAlign w:val="center"/>
          </w:tcPr>
          <w:p w14:paraId="7535772A" w14:textId="79B3D230"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-2 765 687</w:t>
            </w:r>
          </w:p>
        </w:tc>
        <w:tc>
          <w:tcPr>
            <w:tcW w:w="666" w:type="pct"/>
            <w:tcBorders>
              <w:top w:val="single" w:sz="4" w:space="0" w:color="17365D"/>
              <w:left w:val="nil"/>
              <w:bottom w:val="single" w:sz="4" w:space="0" w:color="17365D"/>
              <w:right w:val="nil"/>
            </w:tcBorders>
            <w:shd w:val="clear" w:color="auto" w:fill="auto"/>
            <w:noWrap/>
            <w:vAlign w:val="center"/>
          </w:tcPr>
          <w:p w14:paraId="1F298DCE" w14:textId="6EEF94D7"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-7.49</w:t>
            </w:r>
          </w:p>
        </w:tc>
      </w:tr>
      <w:tr w:rsidR="001F7CCC" w:rsidRPr="00A27896" w14:paraId="2D20940B" w14:textId="77777777" w:rsidTr="008F6207">
        <w:trPr>
          <w:trHeight w:val="300"/>
        </w:trPr>
        <w:tc>
          <w:tcPr>
            <w:tcW w:w="1748" w:type="pct"/>
            <w:tcBorders>
              <w:top w:val="single" w:sz="4" w:space="0" w:color="17365D"/>
              <w:bottom w:val="single" w:sz="4" w:space="0" w:color="17365D"/>
            </w:tcBorders>
            <w:shd w:val="clear" w:color="auto" w:fill="auto"/>
            <w:vAlign w:val="center"/>
            <w:hideMark/>
          </w:tcPr>
          <w:p w14:paraId="4CB5A6AD" w14:textId="77777777" w:rsidR="009470D1" w:rsidRPr="00A27896" w:rsidRDefault="009470D1" w:rsidP="009470D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Citas zembilances saistības</w:t>
            </w:r>
          </w:p>
        </w:tc>
        <w:tc>
          <w:tcPr>
            <w:tcW w:w="525" w:type="pct"/>
            <w:tcBorders>
              <w:top w:val="single" w:sz="4" w:space="0" w:color="17365D"/>
              <w:bottom w:val="single" w:sz="4" w:space="0" w:color="17365D"/>
            </w:tcBorders>
            <w:shd w:val="clear" w:color="auto" w:fill="auto"/>
            <w:noWrap/>
            <w:vAlign w:val="center"/>
            <w:hideMark/>
          </w:tcPr>
          <w:p w14:paraId="6FC829AA" w14:textId="5D84FCC6" w:rsidR="009470D1" w:rsidRPr="00A27896" w:rsidRDefault="009470D1" w:rsidP="009470D1">
            <w:pPr>
              <w:spacing w:after="0"/>
              <w:jc w:val="center"/>
              <w:rPr>
                <w:rFonts w:eastAsia="Times New Roman" w:cs="Times New Roman"/>
                <w:color w:val="17365D"/>
                <w:sz w:val="18"/>
                <w:szCs w:val="18"/>
                <w:lang w:eastAsia="lv-LV"/>
              </w:rPr>
            </w:pPr>
          </w:p>
        </w:tc>
        <w:tc>
          <w:tcPr>
            <w:tcW w:w="748" w:type="pct"/>
            <w:tcBorders>
              <w:top w:val="single" w:sz="4" w:space="0" w:color="17365D"/>
              <w:left w:val="nil"/>
              <w:bottom w:val="single" w:sz="4" w:space="0" w:color="17365D"/>
              <w:right w:val="nil"/>
            </w:tcBorders>
            <w:shd w:val="clear" w:color="FFFFFF" w:fill="FFFFFF"/>
            <w:noWrap/>
            <w:vAlign w:val="center"/>
          </w:tcPr>
          <w:p w14:paraId="6CF35165" w14:textId="14E805F7"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3 019 394 783</w:t>
            </w:r>
          </w:p>
        </w:tc>
        <w:tc>
          <w:tcPr>
            <w:tcW w:w="671" w:type="pct"/>
            <w:tcBorders>
              <w:top w:val="single" w:sz="4" w:space="0" w:color="17365D"/>
              <w:left w:val="nil"/>
              <w:bottom w:val="single" w:sz="4" w:space="0" w:color="17365D"/>
              <w:right w:val="nil"/>
            </w:tcBorders>
            <w:shd w:val="clear" w:color="FFFFFF" w:fill="FFFFFF"/>
            <w:noWrap/>
            <w:vAlign w:val="center"/>
          </w:tcPr>
          <w:p w14:paraId="4D868C99" w14:textId="4DEBEDC5"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2 870 464 578</w:t>
            </w:r>
          </w:p>
        </w:tc>
        <w:tc>
          <w:tcPr>
            <w:tcW w:w="642" w:type="pct"/>
            <w:tcBorders>
              <w:top w:val="single" w:sz="4" w:space="0" w:color="17365D"/>
              <w:left w:val="nil"/>
              <w:bottom w:val="single" w:sz="4" w:space="0" w:color="17365D"/>
              <w:right w:val="nil"/>
            </w:tcBorders>
            <w:shd w:val="clear" w:color="auto" w:fill="auto"/>
            <w:noWrap/>
            <w:vAlign w:val="center"/>
          </w:tcPr>
          <w:p w14:paraId="3DCC9BA1" w14:textId="74D6682C"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148 930 205</w:t>
            </w:r>
          </w:p>
        </w:tc>
        <w:tc>
          <w:tcPr>
            <w:tcW w:w="666" w:type="pct"/>
            <w:tcBorders>
              <w:top w:val="single" w:sz="4" w:space="0" w:color="17365D"/>
              <w:left w:val="nil"/>
              <w:bottom w:val="single" w:sz="4" w:space="0" w:color="17365D"/>
              <w:right w:val="nil"/>
            </w:tcBorders>
            <w:shd w:val="clear" w:color="auto" w:fill="auto"/>
            <w:noWrap/>
            <w:vAlign w:val="center"/>
          </w:tcPr>
          <w:p w14:paraId="6D7B455B" w14:textId="76E7F9F1" w:rsidR="009470D1" w:rsidRPr="00A27896" w:rsidRDefault="009470D1" w:rsidP="009470D1">
            <w:pPr>
              <w:spacing w:after="0" w:line="240" w:lineRule="auto"/>
              <w:ind w:left="-57"/>
              <w:jc w:val="right"/>
              <w:rPr>
                <w:rFonts w:eastAsia="Times New Roman" w:cs="Times New Roman"/>
                <w:color w:val="17365D"/>
                <w:sz w:val="18"/>
                <w:szCs w:val="18"/>
                <w:lang w:eastAsia="lv-LV"/>
              </w:rPr>
            </w:pPr>
            <w:r>
              <w:rPr>
                <w:color w:val="17365D"/>
                <w:sz w:val="18"/>
                <w:szCs w:val="18"/>
              </w:rPr>
              <w:t>5.19</w:t>
            </w:r>
          </w:p>
        </w:tc>
      </w:tr>
      <w:tr w:rsidR="001F7CCC" w:rsidRPr="00A27896" w14:paraId="5A82BCCE" w14:textId="77777777" w:rsidTr="008F6207">
        <w:trPr>
          <w:trHeight w:val="56"/>
        </w:trPr>
        <w:tc>
          <w:tcPr>
            <w:tcW w:w="1748" w:type="pct"/>
            <w:tcBorders>
              <w:top w:val="single" w:sz="4" w:space="0" w:color="17365D"/>
            </w:tcBorders>
            <w:shd w:val="clear" w:color="auto" w:fill="B9CDE5"/>
            <w:vAlign w:val="center"/>
          </w:tcPr>
          <w:p w14:paraId="72330591" w14:textId="77777777" w:rsidR="00C7109A" w:rsidRPr="00A27896" w:rsidRDefault="00C7109A" w:rsidP="00C7109A">
            <w:pPr>
              <w:spacing w:after="0"/>
              <w:rPr>
                <w:rFonts w:eastAsia="Times New Roman" w:cs="Times New Roman"/>
                <w:color w:val="17365D"/>
                <w:sz w:val="18"/>
                <w:szCs w:val="18"/>
                <w:lang w:eastAsia="lv-LV"/>
              </w:rPr>
            </w:pPr>
          </w:p>
        </w:tc>
        <w:tc>
          <w:tcPr>
            <w:tcW w:w="525" w:type="pct"/>
            <w:tcBorders>
              <w:top w:val="single" w:sz="4" w:space="0" w:color="17365D"/>
            </w:tcBorders>
            <w:shd w:val="clear" w:color="auto" w:fill="B9CDE5"/>
            <w:noWrap/>
            <w:vAlign w:val="center"/>
          </w:tcPr>
          <w:p w14:paraId="2A697627" w14:textId="77777777" w:rsidR="00C7109A" w:rsidRPr="00A27896" w:rsidRDefault="00C7109A" w:rsidP="00C7109A">
            <w:pPr>
              <w:spacing w:after="0"/>
              <w:jc w:val="center"/>
              <w:rPr>
                <w:rFonts w:eastAsia="Times New Roman" w:cs="Times New Roman"/>
                <w:color w:val="17365D"/>
                <w:sz w:val="18"/>
                <w:szCs w:val="18"/>
                <w:lang w:eastAsia="lv-LV"/>
              </w:rPr>
            </w:pPr>
          </w:p>
        </w:tc>
        <w:tc>
          <w:tcPr>
            <w:tcW w:w="748" w:type="pct"/>
            <w:tcBorders>
              <w:top w:val="single" w:sz="4" w:space="0" w:color="17365D"/>
            </w:tcBorders>
            <w:shd w:val="clear" w:color="auto" w:fill="B9CDE5"/>
            <w:noWrap/>
            <w:vAlign w:val="center"/>
          </w:tcPr>
          <w:p w14:paraId="2AE66DFE" w14:textId="77777777" w:rsidR="00C7109A" w:rsidRPr="00A27896" w:rsidRDefault="00C7109A" w:rsidP="00C7109A">
            <w:pPr>
              <w:spacing w:after="0"/>
              <w:jc w:val="right"/>
              <w:rPr>
                <w:rFonts w:eastAsia="Times New Roman" w:cs="Times New Roman"/>
                <w:color w:val="17365D"/>
                <w:sz w:val="18"/>
                <w:szCs w:val="18"/>
                <w:lang w:eastAsia="lv-LV"/>
              </w:rPr>
            </w:pPr>
          </w:p>
        </w:tc>
        <w:tc>
          <w:tcPr>
            <w:tcW w:w="671" w:type="pct"/>
            <w:tcBorders>
              <w:top w:val="single" w:sz="4" w:space="0" w:color="17365D"/>
            </w:tcBorders>
            <w:shd w:val="clear" w:color="auto" w:fill="B9CDE5"/>
            <w:noWrap/>
            <w:vAlign w:val="center"/>
          </w:tcPr>
          <w:p w14:paraId="6516691C" w14:textId="77777777" w:rsidR="00C7109A" w:rsidRPr="00A27896" w:rsidRDefault="00C7109A" w:rsidP="00C7109A">
            <w:pPr>
              <w:spacing w:after="0"/>
              <w:jc w:val="right"/>
              <w:rPr>
                <w:rFonts w:eastAsia="Times New Roman" w:cs="Times New Roman"/>
                <w:color w:val="17365D"/>
                <w:sz w:val="18"/>
                <w:szCs w:val="18"/>
                <w:lang w:eastAsia="lv-LV"/>
              </w:rPr>
            </w:pPr>
          </w:p>
        </w:tc>
        <w:tc>
          <w:tcPr>
            <w:tcW w:w="642" w:type="pct"/>
            <w:tcBorders>
              <w:top w:val="single" w:sz="4" w:space="0" w:color="17365D"/>
            </w:tcBorders>
            <w:shd w:val="clear" w:color="auto" w:fill="B9CDE5"/>
            <w:noWrap/>
            <w:vAlign w:val="center"/>
          </w:tcPr>
          <w:p w14:paraId="27CB4E16" w14:textId="77777777" w:rsidR="00C7109A" w:rsidRPr="00A27896" w:rsidRDefault="00C7109A" w:rsidP="00C7109A">
            <w:pPr>
              <w:spacing w:after="0"/>
              <w:jc w:val="right"/>
              <w:rPr>
                <w:rFonts w:eastAsia="Times New Roman" w:cs="Times New Roman"/>
                <w:color w:val="17365D"/>
                <w:sz w:val="18"/>
                <w:szCs w:val="18"/>
                <w:lang w:eastAsia="lv-LV"/>
              </w:rPr>
            </w:pPr>
          </w:p>
        </w:tc>
        <w:tc>
          <w:tcPr>
            <w:tcW w:w="666" w:type="pct"/>
            <w:tcBorders>
              <w:top w:val="single" w:sz="4" w:space="0" w:color="17365D"/>
            </w:tcBorders>
            <w:shd w:val="clear" w:color="auto" w:fill="B9CDE5"/>
            <w:noWrap/>
            <w:vAlign w:val="center"/>
          </w:tcPr>
          <w:p w14:paraId="3D7F5F95" w14:textId="77777777" w:rsidR="00C7109A" w:rsidRPr="00A27896" w:rsidRDefault="00C7109A" w:rsidP="00C7109A">
            <w:pPr>
              <w:spacing w:after="0"/>
              <w:jc w:val="right"/>
              <w:rPr>
                <w:rFonts w:eastAsia="Times New Roman" w:cs="Times New Roman"/>
                <w:color w:val="17365D"/>
                <w:sz w:val="18"/>
                <w:szCs w:val="18"/>
                <w:lang w:eastAsia="lv-LV"/>
              </w:rPr>
            </w:pPr>
          </w:p>
        </w:tc>
      </w:tr>
    </w:tbl>
    <w:p w14:paraId="172A3787" w14:textId="510AAAD5" w:rsidR="00FC1951" w:rsidRPr="00A27896" w:rsidRDefault="005F1199" w:rsidP="000D2C39">
      <w:pPr>
        <w:pStyle w:val="Heading5"/>
      </w:pPr>
      <w:r w:rsidRPr="00A27896">
        <w:t>Piezīme Nr. KB.</w:t>
      </w:r>
      <w:r w:rsidR="00C7109A" w:rsidRPr="00A27896">
        <w:t>9.5.1</w:t>
      </w:r>
      <w:r w:rsidR="00FC1951" w:rsidRPr="00A27896">
        <w:t xml:space="preserve">. </w:t>
      </w:r>
      <w:r w:rsidR="00C7109A" w:rsidRPr="00A27896">
        <w:rPr>
          <w:lang w:eastAsia="lv-LV"/>
        </w:rPr>
        <w:t xml:space="preserve">Nākotnes </w:t>
      </w:r>
      <w:r w:rsidR="00BF2339">
        <w:rPr>
          <w:lang w:eastAsia="lv-LV"/>
        </w:rPr>
        <w:t>saistības</w:t>
      </w:r>
      <w:r w:rsidR="00C7109A" w:rsidRPr="00A27896">
        <w:rPr>
          <w:lang w:eastAsia="lv-LV"/>
        </w:rPr>
        <w:t xml:space="preserve"> saskaņā ar līgumiem, kas noslēgti par ārvalstu finanšu palīdzības un Eiropas Savienības politikas instrumentu finansētajiem projektiem</w:t>
      </w:r>
    </w:p>
    <w:p w14:paraId="49A0FF53" w14:textId="532C9F6E" w:rsidR="00FC1951" w:rsidRPr="00775664" w:rsidRDefault="00FC1951" w:rsidP="00B52F72">
      <w:pPr>
        <w:spacing w:after="120" w:line="240" w:lineRule="auto"/>
        <w:ind w:firstLine="284"/>
        <w:jc w:val="both"/>
        <w:rPr>
          <w:rFonts w:cs="Times New Roman"/>
          <w:color w:val="17365D"/>
        </w:rPr>
      </w:pPr>
      <w:r w:rsidRPr="00775664">
        <w:rPr>
          <w:rFonts w:cs="Times New Roman"/>
          <w:color w:val="17365D"/>
        </w:rPr>
        <w:t xml:space="preserve">Saskaņā ar iestāžu sniegto informāciju </w:t>
      </w:r>
      <w:r w:rsidR="00B52F72" w:rsidRPr="00775664">
        <w:rPr>
          <w:rFonts w:cs="Times New Roman"/>
          <w:color w:val="17365D"/>
        </w:rPr>
        <w:t xml:space="preserve">par </w:t>
      </w:r>
      <w:r w:rsidR="00FF22EE" w:rsidRPr="00775664">
        <w:rPr>
          <w:rFonts w:cs="Times New Roman"/>
          <w:color w:val="17365D"/>
        </w:rPr>
        <w:t xml:space="preserve">šī </w:t>
      </w:r>
      <w:r w:rsidR="00BA4E40" w:rsidRPr="00775664">
        <w:rPr>
          <w:rFonts w:cs="Times New Roman"/>
          <w:color w:val="17365D"/>
        </w:rPr>
        <w:t>zembilances posteņa</w:t>
      </w:r>
      <w:r w:rsidR="00B52F72" w:rsidRPr="00775664">
        <w:rPr>
          <w:rFonts w:cs="Times New Roman"/>
          <w:color w:val="17365D"/>
        </w:rPr>
        <w:t xml:space="preserve"> izmaiņām</w:t>
      </w:r>
      <w:r w:rsidRPr="00775664">
        <w:rPr>
          <w:rFonts w:cs="Times New Roman"/>
          <w:color w:val="17365D"/>
        </w:rPr>
        <w:t>:</w:t>
      </w:r>
    </w:p>
    <w:p w14:paraId="1A322CFF" w14:textId="2C7BD9FC" w:rsidR="00C7109A" w:rsidRPr="00775664" w:rsidRDefault="00FF332F" w:rsidP="002A2F6E">
      <w:pPr>
        <w:pStyle w:val="Bullets"/>
      </w:pPr>
      <w:r w:rsidRPr="00775664">
        <w:t xml:space="preserve">lielākais palielinājums veidojies </w:t>
      </w:r>
      <w:r w:rsidR="009470D1" w:rsidRPr="00775664">
        <w:t>Finanšu ministrijai saskaņā ar Eiropas Savienības Atveseļošanas un noturības mehānisma plāna projektu īstenošanas līgumiem 551</w:t>
      </w:r>
      <w:r w:rsidR="00775664" w:rsidRPr="00775664">
        <w:t>,4 milj. </w:t>
      </w:r>
      <w:r w:rsidR="009470D1" w:rsidRPr="00775664">
        <w:rPr>
          <w:i/>
          <w:iCs/>
        </w:rPr>
        <w:t>euro</w:t>
      </w:r>
      <w:r w:rsidR="009470D1" w:rsidRPr="00775664">
        <w:t xml:space="preserve"> apmērā, saskaņā ar Eiropas Savienības struktūrfondu un Kohēzijas fonda 2021.</w:t>
      </w:r>
      <w:r w:rsidR="00775664" w:rsidRPr="00775664">
        <w:t>-</w:t>
      </w:r>
      <w:r w:rsidR="009470D1" w:rsidRPr="00775664">
        <w:t>2027.gada plānošanas perioda projektu īstenošanas līgumiem 437</w:t>
      </w:r>
      <w:r w:rsidR="00775664" w:rsidRPr="00775664">
        <w:t>,1 milj. </w:t>
      </w:r>
      <w:r w:rsidR="00775664" w:rsidRPr="00775664">
        <w:rPr>
          <w:i/>
          <w:iCs/>
        </w:rPr>
        <w:t>euro</w:t>
      </w:r>
      <w:r w:rsidR="00775664" w:rsidRPr="00775664">
        <w:t xml:space="preserve"> </w:t>
      </w:r>
      <w:r w:rsidR="009470D1" w:rsidRPr="00775664">
        <w:t>apmērā</w:t>
      </w:r>
      <w:r w:rsidR="005A3AE2" w:rsidRPr="00775664">
        <w:t>;</w:t>
      </w:r>
    </w:p>
    <w:p w14:paraId="141CEF41" w14:textId="335BA466" w:rsidR="00FF332F" w:rsidRPr="00775664" w:rsidRDefault="00775664" w:rsidP="002A2F6E">
      <w:pPr>
        <w:pStyle w:val="Bullets"/>
      </w:pPr>
      <w:r w:rsidRPr="00775664">
        <w:t>Labklājības ministrijai palielinājums saistībā ar uzsāktiem Eiropas Savienības fondu un ārvalstu finanšu palīdzības projektiem labklājības nozarē 134,2 milj.</w:t>
      </w:r>
      <w:r w:rsidR="00FF332F" w:rsidRPr="00775664">
        <w:t xml:space="preserve"> </w:t>
      </w:r>
      <w:r w:rsidR="00FF332F" w:rsidRPr="00775664">
        <w:rPr>
          <w:i/>
        </w:rPr>
        <w:t>euro</w:t>
      </w:r>
      <w:r w:rsidR="00FF332F" w:rsidRPr="00775664">
        <w:t xml:space="preserve"> vērtībā;</w:t>
      </w:r>
    </w:p>
    <w:p w14:paraId="7E3CD515" w14:textId="77777777" w:rsidR="00775664" w:rsidRPr="00775664" w:rsidRDefault="00B61F36" w:rsidP="002A2F6E">
      <w:pPr>
        <w:pStyle w:val="Bullets"/>
      </w:pPr>
      <w:r w:rsidRPr="00775664">
        <w:t>lielākais samazinājums (</w:t>
      </w:r>
      <w:r w:rsidR="00775664" w:rsidRPr="00775664">
        <w:t>297,1</w:t>
      </w:r>
      <w:r w:rsidRPr="00775664">
        <w:t xml:space="preserve">) </w:t>
      </w:r>
      <w:r w:rsidR="00775664" w:rsidRPr="00775664">
        <w:t xml:space="preserve">milj. </w:t>
      </w:r>
      <w:r w:rsidRPr="00775664">
        <w:rPr>
          <w:i/>
        </w:rPr>
        <w:t>euro</w:t>
      </w:r>
      <w:r w:rsidRPr="00775664">
        <w:t xml:space="preserve"> vērtībā </w:t>
      </w:r>
      <w:r w:rsidR="00233D42" w:rsidRPr="00775664">
        <w:t xml:space="preserve">bijis </w:t>
      </w:r>
      <w:r w:rsidRPr="00775664">
        <w:t xml:space="preserve">Finanšu ministrijai </w:t>
      </w:r>
      <w:r w:rsidR="00233D42" w:rsidRPr="00775664">
        <w:t xml:space="preserve">īstenojot </w:t>
      </w:r>
      <w:r w:rsidR="00775664" w:rsidRPr="00775664">
        <w:t xml:space="preserve">Eiropas Savienības struktūrfondu un Kohēzijas fonda 2014.-2020.gada plānošanas perioda </w:t>
      </w:r>
      <w:r w:rsidRPr="00775664">
        <w:t>finansēt</w:t>
      </w:r>
      <w:r w:rsidR="00233D42" w:rsidRPr="00775664">
        <w:t>us</w:t>
      </w:r>
      <w:r w:rsidRPr="00775664">
        <w:t xml:space="preserve"> projekt</w:t>
      </w:r>
      <w:r w:rsidR="00233D42" w:rsidRPr="00775664">
        <w:t>us</w:t>
      </w:r>
      <w:r w:rsidR="00775664" w:rsidRPr="00775664">
        <w:t xml:space="preserve">; </w:t>
      </w:r>
    </w:p>
    <w:p w14:paraId="6D089852" w14:textId="16B68F62" w:rsidR="00775664" w:rsidRPr="00775664" w:rsidRDefault="00775664" w:rsidP="002A2F6E">
      <w:pPr>
        <w:pStyle w:val="Bullets"/>
      </w:pPr>
      <w:r w:rsidRPr="00775664">
        <w:t xml:space="preserve">Satiksmes ministrijai izmaiņas (158,3) milj. </w:t>
      </w:r>
      <w:proofErr w:type="spellStart"/>
      <w:r w:rsidRPr="00775664">
        <w:rPr>
          <w:i/>
        </w:rPr>
        <w:t>euro</w:t>
      </w:r>
      <w:proofErr w:type="spellEnd"/>
      <w:r w:rsidRPr="00775664">
        <w:t xml:space="preserve"> vērtībā</w:t>
      </w:r>
      <w:r w:rsidR="00DE0377">
        <w:t xml:space="preserve">, </w:t>
      </w:r>
      <w:r w:rsidR="00524B23">
        <w:t>veicot noslēgto līgumu izpildi</w:t>
      </w:r>
      <w:r w:rsidRPr="00775664">
        <w:t>.</w:t>
      </w:r>
    </w:p>
    <w:p w14:paraId="71FDFA67" w14:textId="5076FD5B" w:rsidR="004726F6" w:rsidRPr="00A27896" w:rsidRDefault="00C67DC5" w:rsidP="000D2C39">
      <w:pPr>
        <w:pStyle w:val="Heading5"/>
      </w:pPr>
      <w:r w:rsidRPr="00A27896">
        <w:t xml:space="preserve">Piezīme Nr. </w:t>
      </w:r>
      <w:r w:rsidR="004726F6" w:rsidRPr="00A27896">
        <w:t>KB.</w:t>
      </w:r>
      <w:r w:rsidR="00A36FE8" w:rsidRPr="00A27896">
        <w:t>9.5.</w:t>
      </w:r>
      <w:r w:rsidR="005A3AE2" w:rsidRPr="00A27896">
        <w:t>2</w:t>
      </w:r>
      <w:r w:rsidR="004726F6" w:rsidRPr="00A27896">
        <w:t xml:space="preserve">. </w:t>
      </w:r>
      <w:r w:rsidR="00B61F36" w:rsidRPr="00B61F36">
        <w:t>Nākotnes saistības saskaņā ar līgumiem un vadības lēmumiem par ilgtermiņa ieguldījumu iegādi un izveidošanu, izņemot tos, kas noslēgti par ārvalstu finanšu palīdzības un Eiropas Savienības politiku instrumentu finansētajiem projektiem</w:t>
      </w:r>
    </w:p>
    <w:p w14:paraId="2E390D2F" w14:textId="77777777" w:rsidR="005D171A" w:rsidRPr="00775664" w:rsidRDefault="00B61F36" w:rsidP="008F314E">
      <w:pPr>
        <w:spacing w:after="120" w:line="240" w:lineRule="auto"/>
        <w:ind w:firstLine="284"/>
        <w:contextualSpacing/>
        <w:jc w:val="both"/>
        <w:rPr>
          <w:rFonts w:cs="Times New Roman"/>
          <w:color w:val="17365D"/>
        </w:rPr>
      </w:pPr>
      <w:r w:rsidRPr="00775664">
        <w:rPr>
          <w:rFonts w:cs="Times New Roman"/>
          <w:color w:val="17365D"/>
        </w:rPr>
        <w:t>Saskaņā ar iestāžu sniegto informāciju šī zembilances posteņa izmaiņas veido</w:t>
      </w:r>
      <w:r w:rsidR="005D171A" w:rsidRPr="00775664">
        <w:rPr>
          <w:rFonts w:cs="Times New Roman"/>
          <w:color w:val="17365D"/>
        </w:rPr>
        <w:t>:</w:t>
      </w:r>
    </w:p>
    <w:p w14:paraId="2E3982A5" w14:textId="1C1A6336" w:rsidR="005D171A" w:rsidRPr="002A2F6E" w:rsidRDefault="00B61F36" w:rsidP="002A2F6E">
      <w:pPr>
        <w:pStyle w:val="Bullets"/>
      </w:pPr>
      <w:r w:rsidRPr="002A2F6E">
        <w:t xml:space="preserve">Aizsardzības ministrijas </w:t>
      </w:r>
      <w:r w:rsidR="00775664" w:rsidRPr="002A2F6E">
        <w:t xml:space="preserve">nākotnes saistību samazinājums (339,5) milj. </w:t>
      </w:r>
      <w:r w:rsidR="00775664" w:rsidRPr="00F128AB">
        <w:rPr>
          <w:i/>
          <w:iCs/>
        </w:rPr>
        <w:t>euro</w:t>
      </w:r>
      <w:r w:rsidR="00775664" w:rsidRPr="002A2F6E">
        <w:t xml:space="preserve"> vērtībā par bruņojumu, pretgaisa aizsardzības sistēmu iegādi</w:t>
      </w:r>
      <w:r w:rsidR="005D171A" w:rsidRPr="002A2F6E">
        <w:t>;</w:t>
      </w:r>
    </w:p>
    <w:p w14:paraId="02E34FB9" w14:textId="43130D83" w:rsidR="005D171A" w:rsidRPr="002A2F6E" w:rsidRDefault="00B61F36" w:rsidP="002A2F6E">
      <w:pPr>
        <w:pStyle w:val="Bullets"/>
      </w:pPr>
      <w:r w:rsidRPr="002A2F6E">
        <w:t xml:space="preserve">Finanšu ministrijai </w:t>
      </w:r>
      <w:r w:rsidR="00775664" w:rsidRPr="002A2F6E">
        <w:t>samazinājums</w:t>
      </w:r>
      <w:r w:rsidRPr="002A2F6E">
        <w:t xml:space="preserve"> par </w:t>
      </w:r>
      <w:r w:rsidR="00775664" w:rsidRPr="002A2F6E">
        <w:t>piešķirtajiem budžeta līdzekļiem VAS “Valsts nekustamie īpašumi” par īstenojamiem projektiem (23,4) milj.</w:t>
      </w:r>
      <w:r w:rsidRPr="002A2F6E">
        <w:t xml:space="preserve"> </w:t>
      </w:r>
      <w:r w:rsidRPr="00F128AB">
        <w:rPr>
          <w:i/>
          <w:iCs/>
        </w:rPr>
        <w:t>euro</w:t>
      </w:r>
      <w:r w:rsidRPr="002A2F6E">
        <w:t xml:space="preserve"> vērtībā</w:t>
      </w:r>
      <w:r w:rsidR="005D171A" w:rsidRPr="002A2F6E">
        <w:t>;</w:t>
      </w:r>
    </w:p>
    <w:p w14:paraId="2D6610D8" w14:textId="0098468C" w:rsidR="00363C55" w:rsidRPr="002A2F6E" w:rsidRDefault="00775664" w:rsidP="002A2F6E">
      <w:pPr>
        <w:pStyle w:val="Bullets"/>
      </w:pPr>
      <w:r w:rsidRPr="002A2F6E">
        <w:t xml:space="preserve">Rīgas </w:t>
      </w:r>
      <w:proofErr w:type="spellStart"/>
      <w:r w:rsidRPr="002A2F6E">
        <w:t>valstspilsētas</w:t>
      </w:r>
      <w:proofErr w:type="spellEnd"/>
      <w:r w:rsidRPr="002A2F6E">
        <w:t xml:space="preserve"> pašvaldībai palielinājušās saistības pret SIA "ZZ </w:t>
      </w:r>
      <w:proofErr w:type="spellStart"/>
      <w:r w:rsidRPr="002A2F6E">
        <w:t>Dats</w:t>
      </w:r>
      <w:proofErr w:type="spellEnd"/>
      <w:r w:rsidRPr="002A2F6E">
        <w:t>" par Rīgas domes vienotās informācijas sistēmas (RDVIS) uzturēšanu un papildināšanu 13,6</w:t>
      </w:r>
      <w:r w:rsidR="005C5ACC" w:rsidRPr="002A2F6E">
        <w:t> </w:t>
      </w:r>
      <w:r w:rsidRPr="002A2F6E">
        <w:t>milj.</w:t>
      </w:r>
      <w:r w:rsidR="00A05320" w:rsidRPr="002A2F6E">
        <w:t> </w:t>
      </w:r>
      <w:r w:rsidRPr="002A2F6E">
        <w:t xml:space="preserve">euro un satiksmes infrastruktūras būvniecību </w:t>
      </w:r>
      <w:r w:rsidR="00363C55" w:rsidRPr="002A2F6E">
        <w:t xml:space="preserve">61,7 milj. </w:t>
      </w:r>
      <w:r w:rsidR="00B61F36" w:rsidRPr="00F128AB">
        <w:rPr>
          <w:i/>
          <w:iCs/>
        </w:rPr>
        <w:t>euro</w:t>
      </w:r>
      <w:r w:rsidR="00B61F36" w:rsidRPr="002A2F6E">
        <w:t xml:space="preserve"> vērtībā</w:t>
      </w:r>
      <w:r w:rsidR="00363C55" w:rsidRPr="002A2F6E">
        <w:t>;</w:t>
      </w:r>
    </w:p>
    <w:p w14:paraId="7CE95845" w14:textId="59AF192F" w:rsidR="00363C55" w:rsidRPr="00363C55" w:rsidRDefault="00363C55" w:rsidP="002A2F6E">
      <w:pPr>
        <w:pStyle w:val="Bullets"/>
      </w:pPr>
      <w:r w:rsidRPr="002A2F6E">
        <w:t>Tieslietu</w:t>
      </w:r>
      <w:r w:rsidRPr="00363C55">
        <w:t xml:space="preserve"> ministrijai palielinājumu 68,8 milj.</w:t>
      </w:r>
      <w:r w:rsidRPr="00363C55">
        <w:rPr>
          <w:i/>
        </w:rPr>
        <w:t xml:space="preserve"> euro</w:t>
      </w:r>
      <w:r w:rsidRPr="00363C55">
        <w:t xml:space="preserve"> vērtībā veido atzītās saistības par jaunā cietuma Liepājā būvniecību.</w:t>
      </w:r>
    </w:p>
    <w:p w14:paraId="4293AC5B" w14:textId="77777777" w:rsidR="00363C55" w:rsidRDefault="00363C55" w:rsidP="00092090">
      <w:pPr>
        <w:pStyle w:val="Pamatteksts1"/>
      </w:pPr>
    </w:p>
    <w:p w14:paraId="1AAC9C0B" w14:textId="0883C7C6" w:rsidR="00092090" w:rsidRDefault="00092090" w:rsidP="00092090">
      <w:pPr>
        <w:pStyle w:val="Pamatteksts1"/>
      </w:pPr>
      <w:r>
        <w:t xml:space="preserve">Ārlietu ministrija </w:t>
      </w:r>
      <w:r w:rsidR="00363C55">
        <w:t>zembilances postenī “C</w:t>
      </w:r>
      <w:r w:rsidRPr="00092090">
        <w:t>itas zembilances saistības</w:t>
      </w:r>
      <w:r w:rsidR="00363C55">
        <w:t xml:space="preserve">” uzrādījusi Latvijas iespējamās saistības no dalības Ekonomiskās sadarbības un attīstības organizācijā par tās </w:t>
      </w:r>
      <w:proofErr w:type="spellStart"/>
      <w:r w:rsidR="00363C55">
        <w:t>dabinieku</w:t>
      </w:r>
      <w:proofErr w:type="spellEnd"/>
      <w:r w:rsidR="00363C55">
        <w:t xml:space="preserve"> </w:t>
      </w:r>
      <w:proofErr w:type="spellStart"/>
      <w:r w:rsidR="00363C55">
        <w:t>pēcnodarbinātības</w:t>
      </w:r>
      <w:proofErr w:type="spellEnd"/>
      <w:r w:rsidR="00363C55">
        <w:t xml:space="preserve"> labumiem 4,8 milj. </w:t>
      </w:r>
      <w:r w:rsidR="00363C55" w:rsidRPr="00363C55">
        <w:rPr>
          <w:i/>
        </w:rPr>
        <w:t>euro</w:t>
      </w:r>
      <w:r w:rsidR="00363C55" w:rsidRPr="00363C55">
        <w:t xml:space="preserve"> vērtībā</w:t>
      </w:r>
      <w:r w:rsidR="00363C55">
        <w:t>.</w:t>
      </w:r>
    </w:p>
    <w:p w14:paraId="402EE49E" w14:textId="7274F68B" w:rsidR="00363C55" w:rsidRPr="00A27896" w:rsidRDefault="00363C55" w:rsidP="00363C55">
      <w:pPr>
        <w:pStyle w:val="Pamatteksts1"/>
      </w:pPr>
    </w:p>
    <w:p w14:paraId="4EF4C5C2" w14:textId="66CD037A" w:rsidR="000C13EB" w:rsidRPr="00A27896" w:rsidRDefault="000C13EB" w:rsidP="00092090">
      <w:pPr>
        <w:pStyle w:val="Pamatteksts1"/>
      </w:pPr>
      <w:r w:rsidRPr="00A27896">
        <w:br w:type="page"/>
      </w:r>
    </w:p>
    <w:p w14:paraId="695369F6" w14:textId="66EFD76E" w:rsidR="00A63515" w:rsidRPr="00A27896" w:rsidRDefault="00B47329" w:rsidP="008515BB">
      <w:pPr>
        <w:pStyle w:val="Heading3"/>
      </w:pPr>
      <w:r w:rsidRPr="00A27896">
        <w:lastRenderedPageBreak/>
        <w:t>Vispārīgās piezīmes</w:t>
      </w:r>
    </w:p>
    <w:p w14:paraId="295492E9" w14:textId="5FA81B2D" w:rsidR="00592578" w:rsidRPr="00A27896" w:rsidRDefault="00592578" w:rsidP="00592578">
      <w:pPr>
        <w:pStyle w:val="Heading4"/>
        <w:rPr>
          <w:rFonts w:cs="Times New Roman"/>
        </w:rPr>
      </w:pPr>
      <w:r w:rsidRPr="00A27896">
        <w:rPr>
          <w:rFonts w:cs="Times New Roman"/>
        </w:rPr>
        <w:t>Piezīme Nr. V1. Aktīvi, kas saņemti kā ziedojumi un dāvinājumi</w:t>
      </w:r>
      <w:r>
        <w:rPr>
          <w:rFonts w:cs="Times New Roman"/>
        </w:rPr>
        <w:t xml:space="preserve"> un brīvprātīgo darbība</w:t>
      </w:r>
    </w:p>
    <w:p w14:paraId="6880E4D1" w14:textId="0CEF95A2" w:rsidR="00FA6D17" w:rsidRPr="00A27896" w:rsidRDefault="00FA6D17" w:rsidP="00592578">
      <w:pPr>
        <w:pStyle w:val="Heading5"/>
      </w:pPr>
      <w:r w:rsidRPr="00A27896">
        <w:t>Piezīme Nr. V1. Aktīvi, kas saņemti kā ziedojumi un dāvinājumi</w:t>
      </w:r>
    </w:p>
    <w:p w14:paraId="0C6B82E3" w14:textId="1D4E770A" w:rsidR="009C283C" w:rsidRPr="00E72168" w:rsidRDefault="009C283C" w:rsidP="002A2F6E">
      <w:pPr>
        <w:pStyle w:val="Pamatteksts1"/>
      </w:pPr>
      <w:r w:rsidRPr="00E72168">
        <w:t xml:space="preserve">Saskaņā ar ministriju, centrālo valsts iestāžu un pašvaldību sniegto informāciju pārskata periodā aktīvu, kas saņemti kā ziedojumi un dāvinājumi, sākotnēji noteiktā patiesā </w:t>
      </w:r>
      <w:r w:rsidR="0019458D" w:rsidRPr="00E72168">
        <w:rPr>
          <w:szCs w:val="24"/>
        </w:rPr>
        <w:t xml:space="preserve">vērtība ir </w:t>
      </w:r>
      <w:r w:rsidR="00B04BDB">
        <w:rPr>
          <w:szCs w:val="24"/>
        </w:rPr>
        <w:t>38,3</w:t>
      </w:r>
      <w:r w:rsidR="00095197">
        <w:rPr>
          <w:szCs w:val="24"/>
        </w:rPr>
        <w:t> </w:t>
      </w:r>
      <w:r w:rsidR="00B04BDB">
        <w:rPr>
          <w:szCs w:val="24"/>
        </w:rPr>
        <w:t>milj.</w:t>
      </w:r>
      <w:r w:rsidR="000E5114" w:rsidRPr="00E72168">
        <w:rPr>
          <w:szCs w:val="24"/>
        </w:rPr>
        <w:t> </w:t>
      </w:r>
      <w:r w:rsidR="0019458D" w:rsidRPr="00E72168">
        <w:rPr>
          <w:i/>
          <w:szCs w:val="24"/>
        </w:rPr>
        <w:t>euro</w:t>
      </w:r>
      <w:r w:rsidR="0019458D" w:rsidRPr="00E72168">
        <w:rPr>
          <w:szCs w:val="24"/>
        </w:rPr>
        <w:t xml:space="preserve"> </w:t>
      </w:r>
      <w:r w:rsidRPr="00E72168">
        <w:t xml:space="preserve">un tā norādīta </w:t>
      </w:r>
      <w:r w:rsidR="001231AF">
        <w:t>1.</w:t>
      </w:r>
      <w:r w:rsidRPr="00E72168">
        <w:t>2</w:t>
      </w:r>
      <w:r w:rsidR="00F128AB">
        <w:t>4</w:t>
      </w:r>
      <w:r w:rsidRPr="00E72168">
        <w:t>.</w:t>
      </w:r>
      <w:r w:rsidR="00095197">
        <w:t> </w:t>
      </w:r>
      <w:r w:rsidRPr="00E72168">
        <w:t>tabulā sadalījumā pa aktīvu bilances posteņiem:</w:t>
      </w:r>
    </w:p>
    <w:p w14:paraId="65D67855" w14:textId="66396ACF" w:rsidR="007B7D77" w:rsidRPr="00E72168" w:rsidRDefault="001231AF" w:rsidP="007B7D77">
      <w:pPr>
        <w:pStyle w:val="Tabulasnosaukums1"/>
        <w:spacing w:before="160"/>
        <w:rPr>
          <w:rFonts w:cs="Times New Roman"/>
          <w:i/>
          <w:color w:val="17365D"/>
        </w:rPr>
      </w:pPr>
      <w:r w:rsidRPr="00095197">
        <w:rPr>
          <w:rFonts w:cs="Times New Roman"/>
          <w:i/>
          <w:color w:val="17365D"/>
        </w:rPr>
        <w:t>1.</w:t>
      </w:r>
      <w:r w:rsidR="00743E0E" w:rsidRPr="00095197">
        <w:rPr>
          <w:rFonts w:cs="Times New Roman"/>
          <w:i/>
          <w:color w:val="17365D"/>
        </w:rPr>
        <w:t>2</w:t>
      </w:r>
      <w:r w:rsidR="00F128AB">
        <w:rPr>
          <w:rFonts w:cs="Times New Roman"/>
          <w:i/>
          <w:color w:val="17365D"/>
        </w:rPr>
        <w:t>4</w:t>
      </w:r>
      <w:r w:rsidR="00743E0E" w:rsidRPr="00095197">
        <w:rPr>
          <w:rFonts w:cs="Times New Roman"/>
          <w:i/>
          <w:color w:val="17365D"/>
        </w:rPr>
        <w:t>. </w:t>
      </w:r>
      <w:r w:rsidR="007B7D77" w:rsidRPr="00095197">
        <w:rPr>
          <w:rFonts w:cs="Times New Roman"/>
          <w:i/>
          <w:color w:val="17365D"/>
        </w:rPr>
        <w:t>tabula.</w:t>
      </w:r>
      <w:r w:rsidR="007B7D77" w:rsidRPr="00095197">
        <w:rPr>
          <w:rFonts w:cs="Times New Roman"/>
          <w:color w:val="17365D"/>
        </w:rPr>
        <w:t xml:space="preserve"> </w:t>
      </w:r>
      <w:r w:rsidR="00FA6D17" w:rsidRPr="00095197">
        <w:rPr>
          <w:rFonts w:cs="Times New Roman"/>
          <w:i/>
          <w:color w:val="17365D"/>
        </w:rPr>
        <w:t>Aktīvi, kas saņemti kā ziedojumi un dāvinājumi</w:t>
      </w:r>
      <w:r w:rsidR="007B7D77" w:rsidRPr="00095197">
        <w:rPr>
          <w:rFonts w:cs="Times New Roman"/>
          <w:i/>
          <w:color w:val="17365D"/>
        </w:rPr>
        <w:t xml:space="preserve"> (euro)</w:t>
      </w:r>
      <w:r w:rsidR="007B7D77" w:rsidRPr="00E72168">
        <w:rPr>
          <w:rFonts w:cs="Times New Roman"/>
          <w:i/>
          <w:color w:val="17365D"/>
        </w:rPr>
        <w:t xml:space="preserve"> </w:t>
      </w:r>
    </w:p>
    <w:tbl>
      <w:tblPr>
        <w:tblW w:w="9356" w:type="dxa"/>
        <w:tblBorders>
          <w:insideH w:val="single" w:sz="4" w:space="0" w:color="17365D"/>
        </w:tblBorders>
        <w:tblLook w:val="04A0" w:firstRow="1" w:lastRow="0" w:firstColumn="1" w:lastColumn="0" w:noHBand="0" w:noVBand="1"/>
      </w:tblPr>
      <w:tblGrid>
        <w:gridCol w:w="6946"/>
        <w:gridCol w:w="2410"/>
      </w:tblGrid>
      <w:tr w:rsidR="000C1009" w:rsidRPr="00E72168" w14:paraId="1FEA6E5E" w14:textId="77777777" w:rsidTr="00892047">
        <w:trPr>
          <w:trHeight w:val="344"/>
          <w:tblHeader/>
        </w:trPr>
        <w:tc>
          <w:tcPr>
            <w:tcW w:w="6946" w:type="dxa"/>
            <w:tcBorders>
              <w:bottom w:val="single" w:sz="4" w:space="0" w:color="17365D"/>
            </w:tcBorders>
            <w:shd w:val="clear" w:color="000000" w:fill="B9CDE5"/>
            <w:vAlign w:val="center"/>
            <w:hideMark/>
          </w:tcPr>
          <w:p w14:paraId="433DA5AD" w14:textId="77777777" w:rsidR="00651A01" w:rsidRPr="00E72168" w:rsidRDefault="00651A01" w:rsidP="009C283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Aktīva apraksts</w:t>
            </w:r>
          </w:p>
        </w:tc>
        <w:tc>
          <w:tcPr>
            <w:tcW w:w="2410" w:type="dxa"/>
            <w:tcBorders>
              <w:bottom w:val="single" w:sz="4" w:space="0" w:color="17365D"/>
            </w:tcBorders>
            <w:shd w:val="clear" w:color="000000" w:fill="B9CDE5"/>
            <w:vAlign w:val="center"/>
            <w:hideMark/>
          </w:tcPr>
          <w:p w14:paraId="2F09A422" w14:textId="77777777" w:rsidR="00651A01" w:rsidRPr="00E72168" w:rsidRDefault="00651A01" w:rsidP="009C283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Sākotnēji noteiktā patiesā vērtība</w:t>
            </w:r>
          </w:p>
        </w:tc>
      </w:tr>
      <w:tr w:rsidR="000C1009" w:rsidRPr="00E72168" w14:paraId="45A0EC3B" w14:textId="77777777" w:rsidTr="00481BCD">
        <w:trPr>
          <w:trHeight w:val="266"/>
          <w:tblHeader/>
        </w:trPr>
        <w:tc>
          <w:tcPr>
            <w:tcW w:w="6946" w:type="dxa"/>
            <w:tcBorders>
              <w:top w:val="single" w:sz="4" w:space="0" w:color="17365D"/>
              <w:bottom w:val="single" w:sz="4" w:space="0" w:color="17365D"/>
            </w:tcBorders>
            <w:shd w:val="clear" w:color="auto" w:fill="auto"/>
            <w:vAlign w:val="center"/>
            <w:hideMark/>
          </w:tcPr>
          <w:p w14:paraId="22218D1E" w14:textId="3D546012" w:rsidR="00651A01" w:rsidRPr="00E72168" w:rsidRDefault="009C283C" w:rsidP="009C283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A</w:t>
            </w:r>
          </w:p>
        </w:tc>
        <w:tc>
          <w:tcPr>
            <w:tcW w:w="2410" w:type="dxa"/>
            <w:tcBorders>
              <w:top w:val="single" w:sz="4" w:space="0" w:color="17365D"/>
              <w:bottom w:val="single" w:sz="4" w:space="0" w:color="17365D"/>
            </w:tcBorders>
            <w:shd w:val="clear" w:color="auto" w:fill="auto"/>
            <w:vAlign w:val="center"/>
            <w:hideMark/>
          </w:tcPr>
          <w:p w14:paraId="7C2F8226" w14:textId="77777777" w:rsidR="00651A01" w:rsidRPr="00E72168" w:rsidRDefault="00651A01" w:rsidP="009C283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1</w:t>
            </w:r>
          </w:p>
        </w:tc>
      </w:tr>
      <w:tr w:rsidR="000C1009" w:rsidRPr="00E72168" w14:paraId="0364F0D9"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39C251DC" w14:textId="77777777" w:rsidR="001F552E" w:rsidRPr="00E72168" w:rsidRDefault="001F552E" w:rsidP="001F552E">
            <w:pPr>
              <w:spacing w:after="0" w:line="240" w:lineRule="auto"/>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Ilgtermiņa ieguldījumi</w:t>
            </w:r>
          </w:p>
        </w:tc>
        <w:tc>
          <w:tcPr>
            <w:tcW w:w="2410" w:type="dxa"/>
            <w:tcBorders>
              <w:top w:val="single" w:sz="4" w:space="0" w:color="17365D"/>
              <w:bottom w:val="single" w:sz="4" w:space="0" w:color="17365D"/>
            </w:tcBorders>
            <w:shd w:val="clear" w:color="auto" w:fill="auto"/>
            <w:noWrap/>
            <w:vAlign w:val="center"/>
            <w:hideMark/>
          </w:tcPr>
          <w:p w14:paraId="6ECB2C07" w14:textId="70D177EE" w:rsidR="001F552E" w:rsidRPr="00E72168" w:rsidRDefault="00A74D77" w:rsidP="00A27544">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3</w:t>
            </w:r>
            <w:r w:rsidR="00EB796F" w:rsidRPr="00E72168">
              <w:rPr>
                <w:rFonts w:eastAsia="Times New Roman" w:cs="Times New Roman"/>
                <w:b/>
                <w:color w:val="17365D"/>
                <w:sz w:val="18"/>
                <w:szCs w:val="18"/>
                <w:lang w:eastAsia="lv-LV"/>
              </w:rPr>
              <w:t xml:space="preserve">1 </w:t>
            </w:r>
            <w:r>
              <w:rPr>
                <w:rFonts w:eastAsia="Times New Roman" w:cs="Times New Roman"/>
                <w:b/>
                <w:color w:val="17365D"/>
                <w:sz w:val="18"/>
                <w:szCs w:val="18"/>
                <w:lang w:eastAsia="lv-LV"/>
              </w:rPr>
              <w:t>256</w:t>
            </w:r>
            <w:r w:rsidR="00EB796F" w:rsidRPr="00E72168">
              <w:rPr>
                <w:rFonts w:eastAsia="Times New Roman" w:cs="Times New Roman"/>
                <w:b/>
                <w:color w:val="17365D"/>
                <w:sz w:val="18"/>
                <w:szCs w:val="18"/>
                <w:lang w:eastAsia="lv-LV"/>
              </w:rPr>
              <w:t xml:space="preserve"> </w:t>
            </w:r>
            <w:r>
              <w:rPr>
                <w:rFonts w:eastAsia="Times New Roman" w:cs="Times New Roman"/>
                <w:b/>
                <w:color w:val="17365D"/>
                <w:sz w:val="18"/>
                <w:szCs w:val="18"/>
                <w:lang w:eastAsia="lv-LV"/>
              </w:rPr>
              <w:t>800</w:t>
            </w:r>
          </w:p>
        </w:tc>
      </w:tr>
      <w:tr w:rsidR="000C1009" w:rsidRPr="00E72168" w14:paraId="2948ED00"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6F607AB7" w14:textId="77777777" w:rsidR="001F552E" w:rsidRPr="00E72168" w:rsidRDefault="001F552E" w:rsidP="001F552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 xml:space="preserve">Nemateriālie ieguldījumi </w:t>
            </w:r>
          </w:p>
        </w:tc>
        <w:tc>
          <w:tcPr>
            <w:tcW w:w="2410" w:type="dxa"/>
            <w:tcBorders>
              <w:top w:val="single" w:sz="4" w:space="0" w:color="17365D"/>
              <w:bottom w:val="single" w:sz="4" w:space="0" w:color="17365D"/>
            </w:tcBorders>
            <w:shd w:val="clear" w:color="auto" w:fill="auto"/>
            <w:noWrap/>
            <w:vAlign w:val="center"/>
            <w:hideMark/>
          </w:tcPr>
          <w:p w14:paraId="6350AEA5" w14:textId="1CB18431" w:rsidR="001F552E" w:rsidRPr="00E72168" w:rsidRDefault="00B939FB" w:rsidP="00A2754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8 593</w:t>
            </w:r>
          </w:p>
        </w:tc>
      </w:tr>
      <w:tr w:rsidR="000C1009" w:rsidRPr="00E72168" w14:paraId="5AF936A3"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6D21BB6B" w14:textId="77777777" w:rsidR="001F552E" w:rsidRPr="00E72168" w:rsidRDefault="001F552E" w:rsidP="001F552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 xml:space="preserve">Pamatlīdzekļi </w:t>
            </w:r>
          </w:p>
        </w:tc>
        <w:tc>
          <w:tcPr>
            <w:tcW w:w="2410" w:type="dxa"/>
            <w:tcBorders>
              <w:top w:val="single" w:sz="4" w:space="0" w:color="17365D"/>
              <w:bottom w:val="single" w:sz="4" w:space="0" w:color="17365D"/>
            </w:tcBorders>
            <w:shd w:val="clear" w:color="auto" w:fill="auto"/>
            <w:noWrap/>
            <w:vAlign w:val="center"/>
            <w:hideMark/>
          </w:tcPr>
          <w:p w14:paraId="421FD9F4" w14:textId="23F71B5D" w:rsidR="001F552E" w:rsidRPr="00E72168" w:rsidRDefault="00B939FB" w:rsidP="00A2754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3</w:t>
            </w:r>
            <w:r w:rsidR="00EB796F" w:rsidRPr="00E72168">
              <w:rPr>
                <w:rFonts w:eastAsia="Times New Roman" w:cs="Times New Roman"/>
                <w:color w:val="17365D"/>
                <w:sz w:val="18"/>
                <w:szCs w:val="18"/>
                <w:lang w:eastAsia="lv-LV"/>
              </w:rPr>
              <w:t xml:space="preserve">1 </w:t>
            </w:r>
            <w:r>
              <w:rPr>
                <w:rFonts w:eastAsia="Times New Roman" w:cs="Times New Roman"/>
                <w:color w:val="17365D"/>
                <w:sz w:val="18"/>
                <w:szCs w:val="18"/>
                <w:lang w:eastAsia="lv-LV"/>
              </w:rPr>
              <w:t>234</w:t>
            </w:r>
            <w:r w:rsidR="00EB796F" w:rsidRPr="00E72168">
              <w:rPr>
                <w:rFonts w:eastAsia="Times New Roman" w:cs="Times New Roman"/>
                <w:color w:val="17365D"/>
                <w:sz w:val="18"/>
                <w:szCs w:val="18"/>
                <w:lang w:eastAsia="lv-LV"/>
              </w:rPr>
              <w:t xml:space="preserve"> </w:t>
            </w:r>
            <w:r>
              <w:rPr>
                <w:rFonts w:eastAsia="Times New Roman" w:cs="Times New Roman"/>
                <w:color w:val="17365D"/>
                <w:sz w:val="18"/>
                <w:szCs w:val="18"/>
                <w:lang w:eastAsia="lv-LV"/>
              </w:rPr>
              <w:t>408</w:t>
            </w:r>
          </w:p>
        </w:tc>
      </w:tr>
      <w:tr w:rsidR="00A741A3" w:rsidRPr="00E72168" w14:paraId="05F816AF" w14:textId="77777777" w:rsidTr="00892047">
        <w:trPr>
          <w:trHeight w:val="266"/>
        </w:trPr>
        <w:tc>
          <w:tcPr>
            <w:tcW w:w="6946" w:type="dxa"/>
            <w:tcBorders>
              <w:top w:val="single" w:sz="4" w:space="0" w:color="17365D"/>
              <w:bottom w:val="single" w:sz="4" w:space="0" w:color="17365D"/>
            </w:tcBorders>
            <w:shd w:val="clear" w:color="auto" w:fill="auto"/>
            <w:vAlign w:val="center"/>
          </w:tcPr>
          <w:p w14:paraId="0D5E1D1A" w14:textId="573624B5" w:rsidR="00A741A3" w:rsidRPr="00E72168" w:rsidRDefault="00A741A3" w:rsidP="001F552E">
            <w:pPr>
              <w:spacing w:after="0" w:line="240" w:lineRule="auto"/>
              <w:rPr>
                <w:rFonts w:eastAsia="Times New Roman" w:cs="Times New Roman"/>
                <w:b/>
                <w:color w:val="17365D"/>
                <w:sz w:val="18"/>
                <w:szCs w:val="18"/>
                <w:lang w:eastAsia="lv-LV"/>
              </w:rPr>
            </w:pPr>
            <w:r w:rsidRPr="00E72168">
              <w:rPr>
                <w:rFonts w:eastAsia="Times New Roman" w:cs="Times New Roman"/>
                <w:color w:val="17365D"/>
                <w:sz w:val="18"/>
                <w:szCs w:val="18"/>
                <w:lang w:eastAsia="lv-LV"/>
              </w:rPr>
              <w:t>Ieguldījuma īpašumi</w:t>
            </w:r>
          </w:p>
        </w:tc>
        <w:tc>
          <w:tcPr>
            <w:tcW w:w="2410" w:type="dxa"/>
            <w:tcBorders>
              <w:top w:val="single" w:sz="4" w:space="0" w:color="17365D"/>
              <w:bottom w:val="single" w:sz="4" w:space="0" w:color="17365D"/>
            </w:tcBorders>
            <w:shd w:val="clear" w:color="auto" w:fill="auto"/>
            <w:noWrap/>
            <w:vAlign w:val="center"/>
          </w:tcPr>
          <w:p w14:paraId="6E8F2E82" w14:textId="452CB7DE" w:rsidR="00A741A3" w:rsidRPr="00E72168" w:rsidRDefault="0021321F" w:rsidP="00A2754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13 799</w:t>
            </w:r>
          </w:p>
        </w:tc>
      </w:tr>
      <w:tr w:rsidR="000C1009" w:rsidRPr="00E72168" w14:paraId="03BBC814"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7B467C24" w14:textId="77777777" w:rsidR="001F552E" w:rsidRPr="00E72168" w:rsidRDefault="001F552E" w:rsidP="001F552E">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Apgrozāmie līdzekļi</w:t>
            </w:r>
          </w:p>
        </w:tc>
        <w:tc>
          <w:tcPr>
            <w:tcW w:w="2410" w:type="dxa"/>
            <w:tcBorders>
              <w:top w:val="single" w:sz="4" w:space="0" w:color="17365D"/>
              <w:bottom w:val="single" w:sz="4" w:space="0" w:color="17365D"/>
            </w:tcBorders>
            <w:shd w:val="clear" w:color="auto" w:fill="auto"/>
            <w:noWrap/>
            <w:vAlign w:val="center"/>
            <w:hideMark/>
          </w:tcPr>
          <w:p w14:paraId="5A1571CE" w14:textId="42F383E9" w:rsidR="001F552E" w:rsidRPr="00E72168" w:rsidRDefault="0021321F" w:rsidP="00A27544">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7 078 862</w:t>
            </w:r>
          </w:p>
        </w:tc>
      </w:tr>
      <w:tr w:rsidR="000C1009" w:rsidRPr="00E72168" w14:paraId="516437BE"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0B13B736" w14:textId="77777777" w:rsidR="001F552E" w:rsidRPr="00E72168" w:rsidRDefault="001F552E" w:rsidP="001F552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Krājumi</w:t>
            </w:r>
          </w:p>
        </w:tc>
        <w:tc>
          <w:tcPr>
            <w:tcW w:w="2410" w:type="dxa"/>
            <w:tcBorders>
              <w:top w:val="single" w:sz="4" w:space="0" w:color="17365D"/>
              <w:bottom w:val="single" w:sz="4" w:space="0" w:color="17365D"/>
            </w:tcBorders>
            <w:shd w:val="clear" w:color="auto" w:fill="auto"/>
            <w:noWrap/>
            <w:vAlign w:val="center"/>
            <w:hideMark/>
          </w:tcPr>
          <w:p w14:paraId="0E684679" w14:textId="4983115A" w:rsidR="001F552E" w:rsidRPr="00E72168" w:rsidRDefault="0021321F" w:rsidP="00A2754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5 230 304</w:t>
            </w:r>
          </w:p>
        </w:tc>
      </w:tr>
      <w:tr w:rsidR="000C1009" w:rsidRPr="00A27896" w14:paraId="00A02584"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71E36985" w14:textId="77777777" w:rsidR="001F552E" w:rsidRPr="00E72168" w:rsidRDefault="001F552E" w:rsidP="001F552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Naudas līdzekļi</w:t>
            </w:r>
          </w:p>
        </w:tc>
        <w:tc>
          <w:tcPr>
            <w:tcW w:w="2410" w:type="dxa"/>
            <w:tcBorders>
              <w:top w:val="single" w:sz="4" w:space="0" w:color="17365D"/>
              <w:bottom w:val="single" w:sz="4" w:space="0" w:color="17365D"/>
            </w:tcBorders>
            <w:shd w:val="clear" w:color="auto" w:fill="auto"/>
            <w:noWrap/>
            <w:vAlign w:val="center"/>
            <w:hideMark/>
          </w:tcPr>
          <w:p w14:paraId="3C54146B" w14:textId="0184111E" w:rsidR="001F552E" w:rsidRPr="00A27896" w:rsidRDefault="00EB796F" w:rsidP="00A27544">
            <w:pPr>
              <w:spacing w:after="0" w:line="240" w:lineRule="auto"/>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1 84</w:t>
            </w:r>
            <w:r w:rsidR="0021321F">
              <w:rPr>
                <w:rFonts w:eastAsia="Times New Roman" w:cs="Times New Roman"/>
                <w:color w:val="17365D"/>
                <w:sz w:val="18"/>
                <w:szCs w:val="18"/>
                <w:lang w:eastAsia="lv-LV"/>
              </w:rPr>
              <w:t>8</w:t>
            </w:r>
            <w:r w:rsidRPr="00E72168">
              <w:rPr>
                <w:rFonts w:eastAsia="Times New Roman" w:cs="Times New Roman"/>
                <w:color w:val="17365D"/>
                <w:sz w:val="18"/>
                <w:szCs w:val="18"/>
                <w:lang w:eastAsia="lv-LV"/>
              </w:rPr>
              <w:t xml:space="preserve"> </w:t>
            </w:r>
            <w:r w:rsidR="0021321F">
              <w:rPr>
                <w:rFonts w:eastAsia="Times New Roman" w:cs="Times New Roman"/>
                <w:color w:val="17365D"/>
                <w:sz w:val="18"/>
                <w:szCs w:val="18"/>
                <w:lang w:eastAsia="lv-LV"/>
              </w:rPr>
              <w:t>55</w:t>
            </w:r>
            <w:r w:rsidRPr="00E72168">
              <w:rPr>
                <w:rFonts w:eastAsia="Times New Roman" w:cs="Times New Roman"/>
                <w:color w:val="17365D"/>
                <w:sz w:val="18"/>
                <w:szCs w:val="18"/>
                <w:lang w:eastAsia="lv-LV"/>
              </w:rPr>
              <w:t>8</w:t>
            </w:r>
          </w:p>
        </w:tc>
      </w:tr>
      <w:tr w:rsidR="000C1009" w:rsidRPr="00A27896" w14:paraId="583F23F3" w14:textId="77777777" w:rsidTr="00481BCD">
        <w:trPr>
          <w:trHeight w:val="50"/>
        </w:trPr>
        <w:tc>
          <w:tcPr>
            <w:tcW w:w="6946" w:type="dxa"/>
            <w:tcBorders>
              <w:top w:val="single" w:sz="4" w:space="0" w:color="17365D"/>
            </w:tcBorders>
            <w:shd w:val="clear" w:color="000000" w:fill="B9CDE5"/>
            <w:noWrap/>
            <w:vAlign w:val="center"/>
            <w:hideMark/>
          </w:tcPr>
          <w:p w14:paraId="0B22F8C5" w14:textId="77777777" w:rsidR="00651A01" w:rsidRPr="00A27896" w:rsidRDefault="00651A01" w:rsidP="009C283C">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410" w:type="dxa"/>
            <w:tcBorders>
              <w:top w:val="single" w:sz="4" w:space="0" w:color="17365D"/>
            </w:tcBorders>
            <w:shd w:val="clear" w:color="000000" w:fill="B9CDE5"/>
            <w:noWrap/>
            <w:vAlign w:val="center"/>
            <w:hideMark/>
          </w:tcPr>
          <w:p w14:paraId="57AE63FF" w14:textId="77777777" w:rsidR="00651A01" w:rsidRPr="00A27896" w:rsidRDefault="00651A01" w:rsidP="009C283C">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11B5C954" w14:textId="407176BD" w:rsidR="00B47329" w:rsidRPr="00A27896" w:rsidRDefault="007B7D77" w:rsidP="00592578">
      <w:pPr>
        <w:pStyle w:val="Heading5"/>
      </w:pPr>
      <w:r w:rsidRPr="00A27896">
        <w:t>Piezīme</w:t>
      </w:r>
      <w:r w:rsidR="00AC754B" w:rsidRPr="00A27896">
        <w:t xml:space="preserve"> Nr.</w:t>
      </w:r>
      <w:r w:rsidRPr="00A27896">
        <w:t xml:space="preserve"> V1. Informācija par brī</w:t>
      </w:r>
      <w:r w:rsidR="00F53656" w:rsidRPr="00A27896">
        <w:t>v</w:t>
      </w:r>
      <w:r w:rsidRPr="00A27896">
        <w:t>prātīgo darbību</w:t>
      </w:r>
    </w:p>
    <w:p w14:paraId="7509950E" w14:textId="6ECD9996" w:rsidR="00E70B9F" w:rsidRPr="00A27896" w:rsidRDefault="006C55DF" w:rsidP="002A2F6E">
      <w:pPr>
        <w:pStyle w:val="Pamatteksts1"/>
      </w:pPr>
      <w:r w:rsidRPr="0053222D">
        <w:t>Saskaņā ar ministriju un pašval</w:t>
      </w:r>
      <w:r w:rsidR="00F53656" w:rsidRPr="0053222D">
        <w:t>d</w:t>
      </w:r>
      <w:r w:rsidRPr="0053222D">
        <w:t>ību s</w:t>
      </w:r>
      <w:r w:rsidR="00EF13D9" w:rsidRPr="0053222D">
        <w:t>niegto informāciju pārskata gadā</w:t>
      </w:r>
      <w:r w:rsidRPr="0053222D">
        <w:t xml:space="preserve"> funkciju nodrošināšan</w:t>
      </w:r>
      <w:r w:rsidR="006B58FB">
        <w:t>ai</w:t>
      </w:r>
      <w:r w:rsidR="00F3770F" w:rsidRPr="0053222D">
        <w:t xml:space="preserve"> un dažādu projektu ievaros </w:t>
      </w:r>
      <w:r w:rsidR="00F5285C" w:rsidRPr="0053222D">
        <w:t xml:space="preserve">izmantots arī brīvprātīgais darbs, </w:t>
      </w:r>
      <w:r w:rsidR="0053222D" w:rsidRPr="0053222D">
        <w:t xml:space="preserve">galvenokārt pašvaldībās dažādu pasākumu un aktivitāšu </w:t>
      </w:r>
      <w:r w:rsidR="00FD62D9" w:rsidRPr="0053222D">
        <w:t>nodrošināšanai.</w:t>
      </w:r>
      <w:r w:rsidR="00FD62D9">
        <w:t xml:space="preserve"> </w:t>
      </w:r>
    </w:p>
    <w:p w14:paraId="7E2EF277" w14:textId="77777777" w:rsidR="0019458D" w:rsidRPr="00A27896" w:rsidRDefault="0019458D" w:rsidP="005A3758">
      <w:pPr>
        <w:pStyle w:val="Heading4"/>
        <w:rPr>
          <w:rFonts w:cs="Times New Roman"/>
        </w:rPr>
      </w:pPr>
      <w:r w:rsidRPr="00A27896">
        <w:rPr>
          <w:rFonts w:cs="Times New Roman"/>
        </w:rPr>
        <w:t>Piezīme Nr. V3. Informācija par finanšu nomu</w:t>
      </w:r>
    </w:p>
    <w:p w14:paraId="73BF0DDF" w14:textId="2F697B39" w:rsidR="00B47329" w:rsidRPr="00A27896" w:rsidRDefault="007B7D77" w:rsidP="000D2C39">
      <w:pPr>
        <w:pStyle w:val="Heading5"/>
      </w:pPr>
      <w:r w:rsidRPr="00A27896">
        <w:t>Piezīme</w:t>
      </w:r>
      <w:r w:rsidR="00AC754B" w:rsidRPr="00A27896">
        <w:t xml:space="preserve"> Nr.</w:t>
      </w:r>
      <w:r w:rsidRPr="00A27896">
        <w:t xml:space="preserve"> V3. Informācija par finanšu nomā nodotajiem aktīviem un saņemamajiem maksājumiem</w:t>
      </w:r>
    </w:p>
    <w:p w14:paraId="7CA8F8DE" w14:textId="2B83E84E" w:rsidR="00F26B96" w:rsidRPr="00A27896" w:rsidRDefault="00F26B96" w:rsidP="002A2F6E">
      <w:pPr>
        <w:pStyle w:val="Pamatteksts1"/>
      </w:pPr>
      <w:r w:rsidRPr="00A27896">
        <w:t xml:space="preserve">Saskaņā ar ministriju, centrālo valsts iestāžu un pašvaldību sniegto informāciju </w:t>
      </w:r>
      <w:r w:rsidR="00C2071E" w:rsidRPr="00A27896">
        <w:t xml:space="preserve">pārskata perioda beigās atzītas </w:t>
      </w:r>
      <w:r w:rsidRPr="00A27896">
        <w:t xml:space="preserve">prasības par finanšu nomā nodotajiem aktīviem diskontētajā vērtībā </w:t>
      </w:r>
      <w:r w:rsidR="00DF1D35">
        <w:t>6,5 milj.</w:t>
      </w:r>
      <w:r w:rsidR="00473981">
        <w:t> </w:t>
      </w:r>
      <w:proofErr w:type="spellStart"/>
      <w:r w:rsidRPr="00A27896">
        <w:rPr>
          <w:i/>
        </w:rPr>
        <w:t>euro</w:t>
      </w:r>
      <w:proofErr w:type="spellEnd"/>
      <w:r w:rsidRPr="00A27896">
        <w:t xml:space="preserve"> vērtībā un tās sadalījumā pa aktīvu bilances posteņiem un saņemamajiem maksājumiem norādītas </w:t>
      </w:r>
      <w:r w:rsidR="00095197">
        <w:t>1.</w:t>
      </w:r>
      <w:r w:rsidRPr="00A27896">
        <w:t>2</w:t>
      </w:r>
      <w:r w:rsidR="00F128AB">
        <w:t>5</w:t>
      </w:r>
      <w:r w:rsidRPr="00A27896">
        <w:t>.</w:t>
      </w:r>
      <w:r w:rsidR="00095197">
        <w:t> </w:t>
      </w:r>
      <w:r w:rsidRPr="00A27896">
        <w:t>tabulā:</w:t>
      </w:r>
    </w:p>
    <w:p w14:paraId="23A64CA9" w14:textId="7E73D29F" w:rsidR="00E70B9F" w:rsidRPr="00A27896" w:rsidRDefault="002B5703" w:rsidP="00F128AB">
      <w:pPr>
        <w:pStyle w:val="Tabulasnosaukums1"/>
        <w:spacing w:before="120" w:line="240" w:lineRule="auto"/>
        <w:ind w:firstLine="4962"/>
        <w:rPr>
          <w:rFonts w:cs="Times New Roman"/>
          <w:i/>
          <w:color w:val="17365D"/>
        </w:rPr>
      </w:pPr>
      <w:r>
        <w:rPr>
          <w:rFonts w:cs="Times New Roman"/>
          <w:i/>
          <w:color w:val="17365D"/>
        </w:rPr>
        <w:t>1.</w:t>
      </w:r>
      <w:r w:rsidR="00743E0E" w:rsidRPr="0022433A">
        <w:rPr>
          <w:rFonts w:cs="Times New Roman"/>
          <w:i/>
          <w:color w:val="17365D"/>
        </w:rPr>
        <w:t>2</w:t>
      </w:r>
      <w:r w:rsidR="00F128AB">
        <w:rPr>
          <w:rFonts w:cs="Times New Roman"/>
          <w:i/>
          <w:color w:val="17365D"/>
        </w:rPr>
        <w:t>5</w:t>
      </w:r>
      <w:r w:rsidR="00743E0E" w:rsidRPr="0022433A">
        <w:rPr>
          <w:rFonts w:cs="Times New Roman"/>
          <w:i/>
          <w:color w:val="17365D"/>
        </w:rPr>
        <w:t>. </w:t>
      </w:r>
      <w:r w:rsidR="00CC5E9D" w:rsidRPr="0022433A">
        <w:rPr>
          <w:rFonts w:cs="Times New Roman"/>
          <w:i/>
          <w:color w:val="17365D"/>
        </w:rPr>
        <w:t>tabula</w:t>
      </w:r>
      <w:r w:rsidR="00CC5E9D" w:rsidRPr="00A27896">
        <w:rPr>
          <w:rFonts w:cs="Times New Roman"/>
          <w:i/>
          <w:color w:val="17365D"/>
        </w:rPr>
        <w:t>. Informācija par finanšu nomā nodotajiem aktīviem un saņemamajiem maksājumiem (euro)</w:t>
      </w:r>
    </w:p>
    <w:tbl>
      <w:tblPr>
        <w:tblW w:w="9356" w:type="dxa"/>
        <w:tblBorders>
          <w:insideH w:val="single" w:sz="4" w:space="0" w:color="17365D"/>
        </w:tblBorders>
        <w:tblLook w:val="04A0" w:firstRow="1" w:lastRow="0" w:firstColumn="1" w:lastColumn="0" w:noHBand="0" w:noVBand="1"/>
      </w:tblPr>
      <w:tblGrid>
        <w:gridCol w:w="2977"/>
        <w:gridCol w:w="1559"/>
        <w:gridCol w:w="993"/>
        <w:gridCol w:w="1134"/>
        <w:gridCol w:w="1276"/>
        <w:gridCol w:w="1417"/>
      </w:tblGrid>
      <w:tr w:rsidR="000C1009" w:rsidRPr="00A27896" w14:paraId="479759B8" w14:textId="77777777" w:rsidTr="00787092">
        <w:trPr>
          <w:trHeight w:val="405"/>
          <w:tblHeader/>
        </w:trPr>
        <w:tc>
          <w:tcPr>
            <w:tcW w:w="2977" w:type="dxa"/>
            <w:vMerge w:val="restart"/>
            <w:shd w:val="clear" w:color="000000" w:fill="B9CDE5"/>
            <w:vAlign w:val="center"/>
            <w:hideMark/>
          </w:tcPr>
          <w:p w14:paraId="02EA21B7"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4962" w:type="dxa"/>
            <w:gridSpan w:val="4"/>
            <w:shd w:val="clear" w:color="000000" w:fill="B9CDE5"/>
            <w:vAlign w:val="center"/>
            <w:hideMark/>
          </w:tcPr>
          <w:p w14:paraId="6B1C104B"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Saņemamie maksājumi</w:t>
            </w:r>
          </w:p>
        </w:tc>
        <w:tc>
          <w:tcPr>
            <w:tcW w:w="1417" w:type="dxa"/>
            <w:vMerge w:val="restart"/>
            <w:shd w:val="clear" w:color="000000" w:fill="B9CDE5"/>
            <w:vAlign w:val="center"/>
            <w:hideMark/>
          </w:tcPr>
          <w:p w14:paraId="2EA9EA89"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Prasība (diskontētie ieņēmumi) pārskata perioda beigās</w:t>
            </w:r>
          </w:p>
        </w:tc>
      </w:tr>
      <w:tr w:rsidR="000C1009" w:rsidRPr="00A27896" w14:paraId="07091319" w14:textId="77777777" w:rsidTr="009A4177">
        <w:trPr>
          <w:trHeight w:val="649"/>
        </w:trPr>
        <w:tc>
          <w:tcPr>
            <w:tcW w:w="2977" w:type="dxa"/>
            <w:vMerge/>
            <w:tcBorders>
              <w:bottom w:val="single" w:sz="4" w:space="0" w:color="17365D"/>
            </w:tcBorders>
            <w:vAlign w:val="center"/>
            <w:hideMark/>
          </w:tcPr>
          <w:p w14:paraId="1459BA6B" w14:textId="77777777" w:rsidR="0017259F" w:rsidRPr="00A27896" w:rsidRDefault="0017259F" w:rsidP="0017259F">
            <w:pPr>
              <w:spacing w:after="0" w:line="240" w:lineRule="auto"/>
              <w:rPr>
                <w:rFonts w:eastAsia="Times New Roman" w:cs="Times New Roman"/>
                <w:b/>
                <w:bCs/>
                <w:color w:val="17365D"/>
                <w:sz w:val="18"/>
                <w:szCs w:val="18"/>
                <w:lang w:eastAsia="lv-LV"/>
              </w:rPr>
            </w:pPr>
          </w:p>
        </w:tc>
        <w:tc>
          <w:tcPr>
            <w:tcW w:w="1559" w:type="dxa"/>
            <w:tcBorders>
              <w:bottom w:val="single" w:sz="4" w:space="0" w:color="17365D"/>
            </w:tcBorders>
            <w:shd w:val="clear" w:color="000000" w:fill="B9CDE5"/>
            <w:vAlign w:val="center"/>
            <w:hideMark/>
          </w:tcPr>
          <w:p w14:paraId="515154CA"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993" w:type="dxa"/>
            <w:tcBorders>
              <w:bottom w:val="single" w:sz="4" w:space="0" w:color="17365D"/>
            </w:tcBorders>
            <w:shd w:val="clear" w:color="000000" w:fill="B9CDE5"/>
            <w:vAlign w:val="center"/>
            <w:hideMark/>
          </w:tcPr>
          <w:p w14:paraId="382EB2E2" w14:textId="1252F7CE" w:rsidR="0017259F" w:rsidRPr="00A27896" w:rsidRDefault="002A17A3" w:rsidP="0017259F">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202</w:t>
            </w:r>
            <w:r w:rsidR="00DF1D35">
              <w:rPr>
                <w:rFonts w:eastAsia="Times New Roman" w:cs="Times New Roman"/>
                <w:b/>
                <w:bCs/>
                <w:color w:val="17365D"/>
                <w:sz w:val="18"/>
                <w:szCs w:val="18"/>
                <w:lang w:eastAsia="lv-LV"/>
              </w:rPr>
              <w:t>5</w:t>
            </w:r>
          </w:p>
        </w:tc>
        <w:tc>
          <w:tcPr>
            <w:tcW w:w="1134" w:type="dxa"/>
            <w:tcBorders>
              <w:bottom w:val="single" w:sz="4" w:space="0" w:color="17365D"/>
            </w:tcBorders>
            <w:shd w:val="clear" w:color="000000" w:fill="B9CDE5"/>
            <w:vAlign w:val="center"/>
            <w:hideMark/>
          </w:tcPr>
          <w:p w14:paraId="72915859" w14:textId="6098CAE5" w:rsidR="0017259F" w:rsidRPr="00A27896" w:rsidRDefault="0017259F"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DF1D35">
              <w:rPr>
                <w:rFonts w:eastAsia="Times New Roman" w:cs="Times New Roman"/>
                <w:b/>
                <w:bCs/>
                <w:color w:val="17365D"/>
                <w:sz w:val="18"/>
                <w:szCs w:val="18"/>
                <w:lang w:eastAsia="lv-LV"/>
              </w:rPr>
              <w:t>6</w:t>
            </w:r>
          </w:p>
        </w:tc>
        <w:tc>
          <w:tcPr>
            <w:tcW w:w="1276" w:type="dxa"/>
            <w:tcBorders>
              <w:bottom w:val="single" w:sz="4" w:space="0" w:color="17365D"/>
            </w:tcBorders>
            <w:shd w:val="clear" w:color="000000" w:fill="B9CDE5"/>
            <w:vAlign w:val="center"/>
            <w:hideMark/>
          </w:tcPr>
          <w:p w14:paraId="4CF73CC7" w14:textId="56DC1B61" w:rsidR="0017259F" w:rsidRPr="00A27896" w:rsidRDefault="0017259F"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DF1D35">
              <w:rPr>
                <w:rFonts w:eastAsia="Times New Roman" w:cs="Times New Roman"/>
                <w:b/>
                <w:bCs/>
                <w:color w:val="17365D"/>
                <w:sz w:val="18"/>
                <w:szCs w:val="18"/>
                <w:lang w:eastAsia="lv-LV"/>
              </w:rPr>
              <w:t>7</w:t>
            </w:r>
          </w:p>
        </w:tc>
        <w:tc>
          <w:tcPr>
            <w:tcW w:w="1417" w:type="dxa"/>
            <w:vMerge/>
            <w:tcBorders>
              <w:bottom w:val="single" w:sz="4" w:space="0" w:color="17365D"/>
            </w:tcBorders>
            <w:vAlign w:val="center"/>
            <w:hideMark/>
          </w:tcPr>
          <w:p w14:paraId="43E36E3E" w14:textId="77777777" w:rsidR="0017259F" w:rsidRPr="00A27896" w:rsidRDefault="0017259F" w:rsidP="0017259F">
            <w:pPr>
              <w:spacing w:after="0" w:line="240" w:lineRule="auto"/>
              <w:rPr>
                <w:rFonts w:eastAsia="Times New Roman" w:cs="Times New Roman"/>
                <w:b/>
                <w:bCs/>
                <w:color w:val="17365D"/>
                <w:sz w:val="18"/>
                <w:szCs w:val="18"/>
                <w:lang w:eastAsia="lv-LV"/>
              </w:rPr>
            </w:pPr>
          </w:p>
        </w:tc>
      </w:tr>
      <w:tr w:rsidR="000C1009" w:rsidRPr="00A27896" w14:paraId="422C1CA2" w14:textId="77777777" w:rsidTr="009A4177">
        <w:trPr>
          <w:trHeight w:val="223"/>
        </w:trPr>
        <w:tc>
          <w:tcPr>
            <w:tcW w:w="2977" w:type="dxa"/>
            <w:tcBorders>
              <w:top w:val="single" w:sz="4" w:space="0" w:color="17365D"/>
              <w:bottom w:val="single" w:sz="4" w:space="0" w:color="17365D"/>
            </w:tcBorders>
            <w:shd w:val="clear" w:color="auto" w:fill="auto"/>
            <w:vAlign w:val="center"/>
            <w:hideMark/>
          </w:tcPr>
          <w:p w14:paraId="022E6001"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559" w:type="dxa"/>
            <w:tcBorders>
              <w:top w:val="single" w:sz="4" w:space="0" w:color="17365D"/>
              <w:bottom w:val="single" w:sz="4" w:space="0" w:color="17365D"/>
            </w:tcBorders>
            <w:shd w:val="clear" w:color="auto" w:fill="auto"/>
            <w:vAlign w:val="center"/>
            <w:hideMark/>
          </w:tcPr>
          <w:p w14:paraId="4825C980"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993" w:type="dxa"/>
            <w:tcBorders>
              <w:top w:val="single" w:sz="4" w:space="0" w:color="17365D"/>
              <w:bottom w:val="single" w:sz="4" w:space="0" w:color="17365D"/>
            </w:tcBorders>
            <w:shd w:val="clear" w:color="auto" w:fill="auto"/>
            <w:vAlign w:val="center"/>
            <w:hideMark/>
          </w:tcPr>
          <w:p w14:paraId="6CB003C0"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134" w:type="dxa"/>
            <w:tcBorders>
              <w:top w:val="single" w:sz="4" w:space="0" w:color="17365D"/>
              <w:bottom w:val="single" w:sz="4" w:space="0" w:color="17365D"/>
            </w:tcBorders>
            <w:shd w:val="clear" w:color="auto" w:fill="auto"/>
            <w:vAlign w:val="center"/>
            <w:hideMark/>
          </w:tcPr>
          <w:p w14:paraId="378CBBD6"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276" w:type="dxa"/>
            <w:tcBorders>
              <w:top w:val="single" w:sz="4" w:space="0" w:color="17365D"/>
              <w:bottom w:val="single" w:sz="4" w:space="0" w:color="17365D"/>
            </w:tcBorders>
            <w:shd w:val="clear" w:color="auto" w:fill="auto"/>
            <w:vAlign w:val="center"/>
            <w:hideMark/>
          </w:tcPr>
          <w:p w14:paraId="2D0EC78D"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417" w:type="dxa"/>
            <w:tcBorders>
              <w:top w:val="single" w:sz="4" w:space="0" w:color="17365D"/>
              <w:bottom w:val="single" w:sz="4" w:space="0" w:color="17365D"/>
            </w:tcBorders>
            <w:shd w:val="clear" w:color="auto" w:fill="auto"/>
            <w:vAlign w:val="center"/>
            <w:hideMark/>
          </w:tcPr>
          <w:p w14:paraId="2B0A38A7"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r>
      <w:tr w:rsidR="00DF1D35" w:rsidRPr="00A27896" w14:paraId="6D39A6AC" w14:textId="77777777" w:rsidTr="00787092">
        <w:trPr>
          <w:trHeight w:val="114"/>
        </w:trPr>
        <w:tc>
          <w:tcPr>
            <w:tcW w:w="2977" w:type="dxa"/>
            <w:tcBorders>
              <w:top w:val="single" w:sz="4" w:space="0" w:color="17365D"/>
              <w:bottom w:val="single" w:sz="4" w:space="0" w:color="17365D"/>
            </w:tcBorders>
            <w:shd w:val="clear" w:color="auto" w:fill="auto"/>
            <w:vAlign w:val="center"/>
          </w:tcPr>
          <w:p w14:paraId="31535502" w14:textId="77777777" w:rsidR="00DF1D35" w:rsidRPr="00A27896" w:rsidRDefault="00DF1D35" w:rsidP="00DF1D35">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Ilgtermiņa ieguldījumi</w:t>
            </w:r>
          </w:p>
        </w:tc>
        <w:tc>
          <w:tcPr>
            <w:tcW w:w="1559" w:type="dxa"/>
            <w:tcBorders>
              <w:top w:val="single" w:sz="4" w:space="0" w:color="17365D"/>
              <w:left w:val="nil"/>
              <w:bottom w:val="single" w:sz="4" w:space="0" w:color="17365D"/>
              <w:right w:val="nil"/>
            </w:tcBorders>
            <w:shd w:val="clear" w:color="auto" w:fill="auto"/>
          </w:tcPr>
          <w:p w14:paraId="64F1059E" w14:textId="7582B3A6"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7 098 986</w:t>
            </w:r>
          </w:p>
        </w:tc>
        <w:tc>
          <w:tcPr>
            <w:tcW w:w="993" w:type="dxa"/>
            <w:tcBorders>
              <w:top w:val="single" w:sz="4" w:space="0" w:color="17365D"/>
              <w:left w:val="nil"/>
              <w:bottom w:val="single" w:sz="4" w:space="0" w:color="17365D"/>
              <w:right w:val="nil"/>
            </w:tcBorders>
            <w:shd w:val="clear" w:color="auto" w:fill="auto"/>
            <w:noWrap/>
          </w:tcPr>
          <w:p w14:paraId="0D715AB7" w14:textId="61B24865"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2 771 741</w:t>
            </w:r>
          </w:p>
        </w:tc>
        <w:tc>
          <w:tcPr>
            <w:tcW w:w="1134" w:type="dxa"/>
            <w:tcBorders>
              <w:top w:val="single" w:sz="4" w:space="0" w:color="17365D"/>
              <w:left w:val="nil"/>
              <w:bottom w:val="single" w:sz="4" w:space="0" w:color="17365D"/>
              <w:right w:val="nil"/>
            </w:tcBorders>
            <w:shd w:val="clear" w:color="auto" w:fill="auto"/>
            <w:noWrap/>
          </w:tcPr>
          <w:p w14:paraId="50B1C990" w14:textId="2965D51A"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1 352 264</w:t>
            </w:r>
          </w:p>
        </w:tc>
        <w:tc>
          <w:tcPr>
            <w:tcW w:w="1276" w:type="dxa"/>
            <w:tcBorders>
              <w:top w:val="single" w:sz="4" w:space="0" w:color="17365D"/>
              <w:left w:val="nil"/>
              <w:bottom w:val="single" w:sz="4" w:space="0" w:color="17365D"/>
              <w:right w:val="nil"/>
            </w:tcBorders>
            <w:shd w:val="clear" w:color="auto" w:fill="auto"/>
            <w:noWrap/>
          </w:tcPr>
          <w:p w14:paraId="4F8E8429" w14:textId="070FBE72"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971 302</w:t>
            </w:r>
          </w:p>
        </w:tc>
        <w:tc>
          <w:tcPr>
            <w:tcW w:w="1417" w:type="dxa"/>
            <w:tcBorders>
              <w:top w:val="single" w:sz="4" w:space="0" w:color="17365D"/>
              <w:left w:val="nil"/>
              <w:bottom w:val="single" w:sz="4" w:space="0" w:color="17365D"/>
              <w:right w:val="nil"/>
            </w:tcBorders>
            <w:shd w:val="clear" w:color="auto" w:fill="auto"/>
            <w:noWrap/>
          </w:tcPr>
          <w:p w14:paraId="2970F37C" w14:textId="4C97FAE8"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5 596 214</w:t>
            </w:r>
          </w:p>
        </w:tc>
      </w:tr>
      <w:tr w:rsidR="00DF1D35" w:rsidRPr="00A27896" w14:paraId="3EB7F3F3" w14:textId="77777777" w:rsidTr="00787092">
        <w:trPr>
          <w:trHeight w:val="68"/>
        </w:trPr>
        <w:tc>
          <w:tcPr>
            <w:tcW w:w="2977" w:type="dxa"/>
            <w:tcBorders>
              <w:top w:val="single" w:sz="4" w:space="0" w:color="17365D"/>
              <w:bottom w:val="single" w:sz="4" w:space="0" w:color="17365D"/>
            </w:tcBorders>
            <w:shd w:val="clear" w:color="auto" w:fill="auto"/>
            <w:vAlign w:val="center"/>
            <w:hideMark/>
          </w:tcPr>
          <w:p w14:paraId="59791084" w14:textId="77777777"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Zeme un būves</w:t>
            </w:r>
          </w:p>
        </w:tc>
        <w:tc>
          <w:tcPr>
            <w:tcW w:w="1559" w:type="dxa"/>
            <w:tcBorders>
              <w:top w:val="single" w:sz="4" w:space="0" w:color="17365D"/>
              <w:left w:val="nil"/>
              <w:bottom w:val="single" w:sz="4" w:space="0" w:color="17365D"/>
              <w:right w:val="nil"/>
            </w:tcBorders>
            <w:shd w:val="clear" w:color="auto" w:fill="auto"/>
            <w:noWrap/>
            <w:vAlign w:val="center"/>
            <w:hideMark/>
          </w:tcPr>
          <w:p w14:paraId="147B7F49" w14:textId="3D31F010" w:rsidR="00DF1D35" w:rsidRPr="00DF1D35" w:rsidRDefault="00DF1D35" w:rsidP="00DF1D35">
            <w:pPr>
              <w:spacing w:after="0" w:line="240" w:lineRule="auto"/>
              <w:jc w:val="right"/>
              <w:rPr>
                <w:color w:val="17365D"/>
                <w:sz w:val="18"/>
                <w:szCs w:val="18"/>
              </w:rPr>
            </w:pPr>
            <w:r w:rsidRPr="00DF1D35">
              <w:rPr>
                <w:color w:val="17365D"/>
                <w:sz w:val="18"/>
                <w:szCs w:val="18"/>
              </w:rPr>
              <w:t>3 060 588</w:t>
            </w:r>
          </w:p>
        </w:tc>
        <w:tc>
          <w:tcPr>
            <w:tcW w:w="993" w:type="dxa"/>
            <w:tcBorders>
              <w:top w:val="single" w:sz="4" w:space="0" w:color="17365D"/>
              <w:left w:val="nil"/>
              <w:bottom w:val="single" w:sz="4" w:space="0" w:color="17365D"/>
              <w:right w:val="nil"/>
            </w:tcBorders>
            <w:shd w:val="clear" w:color="auto" w:fill="auto"/>
            <w:noWrap/>
            <w:vAlign w:val="center"/>
            <w:hideMark/>
          </w:tcPr>
          <w:p w14:paraId="60CEC186" w14:textId="2EB3FCBA" w:rsidR="00DF1D35" w:rsidRPr="00DF1D35" w:rsidRDefault="00DF1D35" w:rsidP="00DF1D35">
            <w:pPr>
              <w:spacing w:after="0" w:line="240" w:lineRule="auto"/>
              <w:jc w:val="right"/>
              <w:rPr>
                <w:color w:val="17365D"/>
                <w:sz w:val="18"/>
                <w:szCs w:val="18"/>
              </w:rPr>
            </w:pPr>
            <w:r w:rsidRPr="00DF1D35">
              <w:rPr>
                <w:color w:val="17365D"/>
                <w:sz w:val="18"/>
                <w:szCs w:val="18"/>
              </w:rPr>
              <w:t>1 445 207</w:t>
            </w:r>
          </w:p>
        </w:tc>
        <w:tc>
          <w:tcPr>
            <w:tcW w:w="1134" w:type="dxa"/>
            <w:tcBorders>
              <w:top w:val="single" w:sz="4" w:space="0" w:color="17365D"/>
              <w:left w:val="nil"/>
              <w:bottom w:val="single" w:sz="4" w:space="0" w:color="17365D"/>
              <w:right w:val="nil"/>
            </w:tcBorders>
            <w:shd w:val="clear" w:color="auto" w:fill="auto"/>
            <w:noWrap/>
            <w:vAlign w:val="center"/>
            <w:hideMark/>
          </w:tcPr>
          <w:p w14:paraId="76E31FBF" w14:textId="13DD48C7" w:rsidR="00DF1D35" w:rsidRPr="00DF1D35" w:rsidRDefault="00DF1D35" w:rsidP="00DF1D35">
            <w:pPr>
              <w:spacing w:after="0" w:line="240" w:lineRule="auto"/>
              <w:jc w:val="right"/>
              <w:rPr>
                <w:color w:val="17365D"/>
                <w:sz w:val="18"/>
                <w:szCs w:val="18"/>
              </w:rPr>
            </w:pPr>
            <w:r w:rsidRPr="00DF1D35">
              <w:rPr>
                <w:color w:val="17365D"/>
                <w:sz w:val="18"/>
                <w:szCs w:val="18"/>
              </w:rPr>
              <w:t>541 288</w:t>
            </w:r>
          </w:p>
        </w:tc>
        <w:tc>
          <w:tcPr>
            <w:tcW w:w="1276" w:type="dxa"/>
            <w:tcBorders>
              <w:top w:val="single" w:sz="4" w:space="0" w:color="17365D"/>
              <w:left w:val="nil"/>
              <w:bottom w:val="single" w:sz="4" w:space="0" w:color="17365D"/>
              <w:right w:val="nil"/>
            </w:tcBorders>
            <w:shd w:val="clear" w:color="auto" w:fill="auto"/>
            <w:noWrap/>
            <w:vAlign w:val="center"/>
            <w:hideMark/>
          </w:tcPr>
          <w:p w14:paraId="0245DC13" w14:textId="79BE7F09" w:rsidR="00DF1D35" w:rsidRPr="00DF1D35" w:rsidRDefault="00DF1D35" w:rsidP="00DF1D35">
            <w:pPr>
              <w:spacing w:after="0" w:line="240" w:lineRule="auto"/>
              <w:jc w:val="right"/>
              <w:rPr>
                <w:color w:val="17365D"/>
                <w:sz w:val="18"/>
                <w:szCs w:val="18"/>
              </w:rPr>
            </w:pPr>
            <w:r w:rsidRPr="00DF1D35">
              <w:rPr>
                <w:color w:val="17365D"/>
                <w:sz w:val="18"/>
                <w:szCs w:val="18"/>
              </w:rPr>
              <w:t>369 846</w:t>
            </w:r>
          </w:p>
        </w:tc>
        <w:tc>
          <w:tcPr>
            <w:tcW w:w="1417" w:type="dxa"/>
            <w:tcBorders>
              <w:top w:val="single" w:sz="4" w:space="0" w:color="17365D"/>
              <w:left w:val="nil"/>
              <w:bottom w:val="single" w:sz="4" w:space="0" w:color="17365D"/>
              <w:right w:val="nil"/>
            </w:tcBorders>
            <w:shd w:val="clear" w:color="auto" w:fill="auto"/>
            <w:noWrap/>
            <w:vAlign w:val="center"/>
            <w:hideMark/>
          </w:tcPr>
          <w:p w14:paraId="4D1877C7" w14:textId="0A283392" w:rsidR="00DF1D35" w:rsidRPr="00DF1D35" w:rsidRDefault="00DF1D35" w:rsidP="00DF1D35">
            <w:pPr>
              <w:spacing w:after="0" w:line="240" w:lineRule="auto"/>
              <w:jc w:val="right"/>
              <w:rPr>
                <w:color w:val="17365D"/>
                <w:sz w:val="18"/>
                <w:szCs w:val="18"/>
              </w:rPr>
            </w:pPr>
            <w:r w:rsidRPr="00DF1D35">
              <w:rPr>
                <w:color w:val="17365D"/>
                <w:sz w:val="18"/>
                <w:szCs w:val="18"/>
              </w:rPr>
              <w:t>2 571 230</w:t>
            </w:r>
          </w:p>
        </w:tc>
      </w:tr>
      <w:tr w:rsidR="00DF1D35" w:rsidRPr="00A27896" w14:paraId="7FB49276" w14:textId="77777777" w:rsidTr="00787092">
        <w:trPr>
          <w:trHeight w:val="339"/>
        </w:trPr>
        <w:tc>
          <w:tcPr>
            <w:tcW w:w="2977" w:type="dxa"/>
            <w:tcBorders>
              <w:top w:val="single" w:sz="4" w:space="0" w:color="17365D"/>
              <w:bottom w:val="single" w:sz="4" w:space="0" w:color="17365D"/>
            </w:tcBorders>
            <w:shd w:val="clear" w:color="auto" w:fill="auto"/>
            <w:vAlign w:val="center"/>
            <w:hideMark/>
          </w:tcPr>
          <w:p w14:paraId="321675EA" w14:textId="77777777"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1559" w:type="dxa"/>
            <w:tcBorders>
              <w:top w:val="single" w:sz="4" w:space="0" w:color="17365D"/>
              <w:left w:val="nil"/>
              <w:bottom w:val="single" w:sz="4" w:space="0" w:color="17365D"/>
              <w:right w:val="nil"/>
            </w:tcBorders>
            <w:shd w:val="clear" w:color="auto" w:fill="auto"/>
            <w:noWrap/>
            <w:vAlign w:val="center"/>
            <w:hideMark/>
          </w:tcPr>
          <w:p w14:paraId="22B6542C" w14:textId="00F39156" w:rsidR="00DF1D35" w:rsidRPr="00DF1D35" w:rsidRDefault="00DF1D35" w:rsidP="00DF1D35">
            <w:pPr>
              <w:spacing w:after="0" w:line="240" w:lineRule="auto"/>
              <w:jc w:val="right"/>
              <w:rPr>
                <w:color w:val="17365D"/>
                <w:sz w:val="18"/>
                <w:szCs w:val="18"/>
              </w:rPr>
            </w:pPr>
            <w:r w:rsidRPr="00DF1D35">
              <w:rPr>
                <w:color w:val="17365D"/>
                <w:sz w:val="18"/>
                <w:szCs w:val="18"/>
              </w:rPr>
              <w:t>417 948</w:t>
            </w:r>
          </w:p>
        </w:tc>
        <w:tc>
          <w:tcPr>
            <w:tcW w:w="993" w:type="dxa"/>
            <w:tcBorders>
              <w:top w:val="single" w:sz="4" w:space="0" w:color="17365D"/>
              <w:left w:val="nil"/>
              <w:bottom w:val="single" w:sz="4" w:space="0" w:color="17365D"/>
              <w:right w:val="nil"/>
            </w:tcBorders>
            <w:shd w:val="clear" w:color="auto" w:fill="auto"/>
            <w:noWrap/>
            <w:vAlign w:val="center"/>
            <w:hideMark/>
          </w:tcPr>
          <w:p w14:paraId="47C7DE5F" w14:textId="01D92650" w:rsidR="00DF1D35" w:rsidRPr="00DF1D35" w:rsidRDefault="00DF1D35" w:rsidP="00DF1D35">
            <w:pPr>
              <w:spacing w:after="0" w:line="240" w:lineRule="auto"/>
              <w:jc w:val="right"/>
              <w:rPr>
                <w:color w:val="17365D"/>
                <w:sz w:val="18"/>
                <w:szCs w:val="18"/>
              </w:rPr>
            </w:pPr>
            <w:r w:rsidRPr="00DF1D35">
              <w:rPr>
                <w:color w:val="17365D"/>
                <w:sz w:val="18"/>
                <w:szCs w:val="18"/>
              </w:rPr>
              <w:t>127 916</w:t>
            </w:r>
          </w:p>
        </w:tc>
        <w:tc>
          <w:tcPr>
            <w:tcW w:w="1134" w:type="dxa"/>
            <w:tcBorders>
              <w:top w:val="single" w:sz="4" w:space="0" w:color="17365D"/>
              <w:left w:val="nil"/>
              <w:bottom w:val="single" w:sz="4" w:space="0" w:color="17365D"/>
              <w:right w:val="nil"/>
            </w:tcBorders>
            <w:shd w:val="clear" w:color="auto" w:fill="auto"/>
            <w:noWrap/>
            <w:vAlign w:val="center"/>
            <w:hideMark/>
          </w:tcPr>
          <w:p w14:paraId="59AAB9CD" w14:textId="39E1EB99" w:rsidR="00DF1D35" w:rsidRPr="00DF1D35" w:rsidRDefault="00DF1D35" w:rsidP="00DF1D35">
            <w:pPr>
              <w:spacing w:after="0" w:line="240" w:lineRule="auto"/>
              <w:jc w:val="right"/>
              <w:rPr>
                <w:color w:val="17365D"/>
                <w:sz w:val="18"/>
                <w:szCs w:val="18"/>
              </w:rPr>
            </w:pPr>
            <w:r w:rsidRPr="00DF1D35">
              <w:rPr>
                <w:color w:val="17365D"/>
                <w:sz w:val="18"/>
                <w:szCs w:val="18"/>
              </w:rPr>
              <w:t>76 964</w:t>
            </w:r>
          </w:p>
        </w:tc>
        <w:tc>
          <w:tcPr>
            <w:tcW w:w="1276" w:type="dxa"/>
            <w:tcBorders>
              <w:top w:val="single" w:sz="4" w:space="0" w:color="17365D"/>
              <w:left w:val="nil"/>
              <w:bottom w:val="single" w:sz="4" w:space="0" w:color="17365D"/>
              <w:right w:val="nil"/>
            </w:tcBorders>
            <w:shd w:val="clear" w:color="auto" w:fill="auto"/>
            <w:noWrap/>
            <w:vAlign w:val="center"/>
            <w:hideMark/>
          </w:tcPr>
          <w:p w14:paraId="05A6DEC5" w14:textId="599C0475" w:rsidR="00DF1D35" w:rsidRPr="00DF1D35" w:rsidRDefault="00DF1D35" w:rsidP="00DF1D35">
            <w:pPr>
              <w:spacing w:after="0" w:line="240" w:lineRule="auto"/>
              <w:jc w:val="right"/>
              <w:rPr>
                <w:color w:val="17365D"/>
                <w:sz w:val="18"/>
                <w:szCs w:val="18"/>
              </w:rPr>
            </w:pPr>
            <w:r w:rsidRPr="00DF1D35">
              <w:rPr>
                <w:color w:val="17365D"/>
                <w:sz w:val="18"/>
                <w:szCs w:val="18"/>
              </w:rPr>
              <w:t>52 647</w:t>
            </w:r>
          </w:p>
        </w:tc>
        <w:tc>
          <w:tcPr>
            <w:tcW w:w="1417" w:type="dxa"/>
            <w:tcBorders>
              <w:top w:val="single" w:sz="4" w:space="0" w:color="17365D"/>
              <w:left w:val="nil"/>
              <w:bottom w:val="single" w:sz="4" w:space="0" w:color="17365D"/>
              <w:right w:val="nil"/>
            </w:tcBorders>
            <w:shd w:val="clear" w:color="auto" w:fill="auto"/>
            <w:noWrap/>
            <w:vAlign w:val="center"/>
            <w:hideMark/>
          </w:tcPr>
          <w:p w14:paraId="6DBCD141" w14:textId="7F33D35A" w:rsidR="00DF1D35" w:rsidRPr="00DF1D35" w:rsidRDefault="00DF1D35" w:rsidP="00DF1D35">
            <w:pPr>
              <w:spacing w:after="0" w:line="240" w:lineRule="auto"/>
              <w:jc w:val="right"/>
              <w:rPr>
                <w:color w:val="17365D"/>
                <w:sz w:val="18"/>
                <w:szCs w:val="18"/>
              </w:rPr>
            </w:pPr>
            <w:r w:rsidRPr="00DF1D35">
              <w:rPr>
                <w:color w:val="17365D"/>
                <w:sz w:val="18"/>
                <w:szCs w:val="18"/>
              </w:rPr>
              <w:t>271 131</w:t>
            </w:r>
          </w:p>
        </w:tc>
      </w:tr>
      <w:tr w:rsidR="00DF1D35" w:rsidRPr="00A27896" w14:paraId="11349042" w14:textId="77777777" w:rsidTr="00787092">
        <w:trPr>
          <w:trHeight w:val="250"/>
        </w:trPr>
        <w:tc>
          <w:tcPr>
            <w:tcW w:w="2977" w:type="dxa"/>
            <w:tcBorders>
              <w:top w:val="single" w:sz="4" w:space="0" w:color="17365D"/>
              <w:bottom w:val="single" w:sz="4" w:space="0" w:color="17365D"/>
            </w:tcBorders>
            <w:shd w:val="clear" w:color="auto" w:fill="auto"/>
            <w:vAlign w:val="center"/>
            <w:hideMark/>
          </w:tcPr>
          <w:p w14:paraId="03B7E793" w14:textId="77777777"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Ieguldījuma īpašumi</w:t>
            </w:r>
          </w:p>
        </w:tc>
        <w:tc>
          <w:tcPr>
            <w:tcW w:w="1559" w:type="dxa"/>
            <w:tcBorders>
              <w:top w:val="single" w:sz="4" w:space="0" w:color="17365D"/>
              <w:left w:val="nil"/>
              <w:bottom w:val="single" w:sz="4" w:space="0" w:color="17365D"/>
              <w:right w:val="nil"/>
            </w:tcBorders>
            <w:shd w:val="clear" w:color="auto" w:fill="auto"/>
            <w:noWrap/>
            <w:vAlign w:val="center"/>
            <w:hideMark/>
          </w:tcPr>
          <w:p w14:paraId="413BB6BD" w14:textId="00AACAD3" w:rsidR="00DF1D35" w:rsidRPr="00DF1D35" w:rsidRDefault="00DF1D35" w:rsidP="00DF1D35">
            <w:pPr>
              <w:spacing w:after="0" w:line="240" w:lineRule="auto"/>
              <w:jc w:val="right"/>
              <w:rPr>
                <w:color w:val="17365D"/>
                <w:sz w:val="18"/>
                <w:szCs w:val="18"/>
              </w:rPr>
            </w:pPr>
            <w:r w:rsidRPr="00DF1D35">
              <w:rPr>
                <w:color w:val="17365D"/>
                <w:sz w:val="18"/>
                <w:szCs w:val="18"/>
              </w:rPr>
              <w:t>1 933 282</w:t>
            </w:r>
          </w:p>
        </w:tc>
        <w:tc>
          <w:tcPr>
            <w:tcW w:w="993" w:type="dxa"/>
            <w:tcBorders>
              <w:top w:val="single" w:sz="4" w:space="0" w:color="17365D"/>
              <w:left w:val="nil"/>
              <w:bottom w:val="single" w:sz="4" w:space="0" w:color="17365D"/>
              <w:right w:val="nil"/>
            </w:tcBorders>
            <w:shd w:val="clear" w:color="auto" w:fill="auto"/>
            <w:noWrap/>
            <w:vAlign w:val="center"/>
            <w:hideMark/>
          </w:tcPr>
          <w:p w14:paraId="2ADE3D50" w14:textId="5E730B9D" w:rsidR="00DF1D35" w:rsidRPr="00DF1D35" w:rsidRDefault="00DF1D35" w:rsidP="00DF1D35">
            <w:pPr>
              <w:spacing w:after="0" w:line="240" w:lineRule="auto"/>
              <w:jc w:val="right"/>
              <w:rPr>
                <w:color w:val="17365D"/>
                <w:sz w:val="18"/>
                <w:szCs w:val="18"/>
              </w:rPr>
            </w:pPr>
            <w:r w:rsidRPr="00DF1D35">
              <w:rPr>
                <w:color w:val="17365D"/>
                <w:sz w:val="18"/>
                <w:szCs w:val="18"/>
              </w:rPr>
              <w:t>781 286</w:t>
            </w:r>
          </w:p>
        </w:tc>
        <w:tc>
          <w:tcPr>
            <w:tcW w:w="1134" w:type="dxa"/>
            <w:tcBorders>
              <w:top w:val="single" w:sz="4" w:space="0" w:color="17365D"/>
              <w:left w:val="nil"/>
              <w:bottom w:val="single" w:sz="4" w:space="0" w:color="17365D"/>
              <w:right w:val="nil"/>
            </w:tcBorders>
            <w:shd w:val="clear" w:color="auto" w:fill="auto"/>
            <w:noWrap/>
            <w:vAlign w:val="center"/>
            <w:hideMark/>
          </w:tcPr>
          <w:p w14:paraId="2AE2F8EF" w14:textId="2AF6AC10" w:rsidR="00DF1D35" w:rsidRPr="00DF1D35" w:rsidRDefault="00DF1D35" w:rsidP="00DF1D35">
            <w:pPr>
              <w:spacing w:after="0" w:line="240" w:lineRule="auto"/>
              <w:jc w:val="right"/>
              <w:rPr>
                <w:color w:val="17365D"/>
                <w:sz w:val="18"/>
                <w:szCs w:val="18"/>
              </w:rPr>
            </w:pPr>
            <w:r w:rsidRPr="00DF1D35">
              <w:rPr>
                <w:color w:val="17365D"/>
                <w:sz w:val="18"/>
                <w:szCs w:val="18"/>
              </w:rPr>
              <w:t>385 855</w:t>
            </w:r>
          </w:p>
        </w:tc>
        <w:tc>
          <w:tcPr>
            <w:tcW w:w="1276" w:type="dxa"/>
            <w:tcBorders>
              <w:top w:val="single" w:sz="4" w:space="0" w:color="17365D"/>
              <w:left w:val="nil"/>
              <w:bottom w:val="single" w:sz="4" w:space="0" w:color="17365D"/>
              <w:right w:val="nil"/>
            </w:tcBorders>
            <w:shd w:val="clear" w:color="auto" w:fill="auto"/>
            <w:noWrap/>
            <w:vAlign w:val="center"/>
            <w:hideMark/>
          </w:tcPr>
          <w:p w14:paraId="6074BE9E" w14:textId="5E4E5760" w:rsidR="00DF1D35" w:rsidRPr="00DF1D35" w:rsidRDefault="00DF1D35" w:rsidP="00DF1D35">
            <w:pPr>
              <w:spacing w:after="0" w:line="240" w:lineRule="auto"/>
              <w:jc w:val="right"/>
              <w:rPr>
                <w:color w:val="17365D"/>
                <w:sz w:val="18"/>
                <w:szCs w:val="18"/>
              </w:rPr>
            </w:pPr>
            <w:r w:rsidRPr="00DF1D35">
              <w:rPr>
                <w:color w:val="17365D"/>
                <w:sz w:val="18"/>
                <w:szCs w:val="18"/>
              </w:rPr>
              <w:t>251 755</w:t>
            </w:r>
          </w:p>
        </w:tc>
        <w:tc>
          <w:tcPr>
            <w:tcW w:w="1417" w:type="dxa"/>
            <w:tcBorders>
              <w:top w:val="single" w:sz="4" w:space="0" w:color="17365D"/>
              <w:left w:val="nil"/>
              <w:bottom w:val="single" w:sz="4" w:space="0" w:color="17365D"/>
              <w:right w:val="nil"/>
            </w:tcBorders>
            <w:shd w:val="clear" w:color="auto" w:fill="auto"/>
            <w:noWrap/>
            <w:vAlign w:val="center"/>
            <w:hideMark/>
          </w:tcPr>
          <w:p w14:paraId="79C18C69" w14:textId="4B7884B8" w:rsidR="00DF1D35" w:rsidRPr="00DF1D35" w:rsidRDefault="00DF1D35" w:rsidP="00DF1D35">
            <w:pPr>
              <w:spacing w:after="0" w:line="240" w:lineRule="auto"/>
              <w:jc w:val="right"/>
              <w:rPr>
                <w:color w:val="17365D"/>
                <w:sz w:val="18"/>
                <w:szCs w:val="18"/>
              </w:rPr>
            </w:pPr>
            <w:r w:rsidRPr="00DF1D35">
              <w:rPr>
                <w:color w:val="17365D"/>
                <w:sz w:val="18"/>
                <w:szCs w:val="18"/>
              </w:rPr>
              <w:t>1 547 160</w:t>
            </w:r>
          </w:p>
        </w:tc>
      </w:tr>
      <w:tr w:rsidR="00DF1D35" w:rsidRPr="00A27896" w14:paraId="3C3BF02B" w14:textId="77777777" w:rsidTr="00787092">
        <w:trPr>
          <w:trHeight w:val="331"/>
        </w:trPr>
        <w:tc>
          <w:tcPr>
            <w:tcW w:w="2977" w:type="dxa"/>
            <w:tcBorders>
              <w:top w:val="single" w:sz="4" w:space="0" w:color="17365D"/>
              <w:bottom w:val="single" w:sz="4" w:space="0" w:color="17365D"/>
            </w:tcBorders>
            <w:shd w:val="clear" w:color="auto" w:fill="auto"/>
            <w:vAlign w:val="center"/>
            <w:hideMark/>
          </w:tcPr>
          <w:p w14:paraId="288EEE0C" w14:textId="77777777"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ieguldījuma īpašumi</w:t>
            </w:r>
          </w:p>
        </w:tc>
        <w:tc>
          <w:tcPr>
            <w:tcW w:w="1559" w:type="dxa"/>
            <w:tcBorders>
              <w:top w:val="single" w:sz="4" w:space="0" w:color="17365D"/>
              <w:left w:val="nil"/>
              <w:bottom w:val="single" w:sz="4" w:space="0" w:color="17365D"/>
              <w:right w:val="nil"/>
            </w:tcBorders>
            <w:shd w:val="clear" w:color="auto" w:fill="auto"/>
            <w:noWrap/>
            <w:vAlign w:val="center"/>
            <w:hideMark/>
          </w:tcPr>
          <w:p w14:paraId="0E4F136F" w14:textId="47E853D1" w:rsidR="00DF1D35" w:rsidRPr="00DF1D35" w:rsidRDefault="00DF1D35" w:rsidP="00DF1D35">
            <w:pPr>
              <w:spacing w:after="0" w:line="240" w:lineRule="auto"/>
              <w:jc w:val="right"/>
              <w:rPr>
                <w:color w:val="17365D"/>
                <w:sz w:val="18"/>
                <w:szCs w:val="18"/>
              </w:rPr>
            </w:pPr>
            <w:r w:rsidRPr="00DF1D35">
              <w:rPr>
                <w:color w:val="17365D"/>
                <w:sz w:val="18"/>
                <w:szCs w:val="18"/>
              </w:rPr>
              <w:t>1 687 168</w:t>
            </w:r>
          </w:p>
        </w:tc>
        <w:tc>
          <w:tcPr>
            <w:tcW w:w="993" w:type="dxa"/>
            <w:tcBorders>
              <w:top w:val="single" w:sz="4" w:space="0" w:color="17365D"/>
              <w:left w:val="nil"/>
              <w:bottom w:val="single" w:sz="4" w:space="0" w:color="17365D"/>
              <w:right w:val="nil"/>
            </w:tcBorders>
            <w:shd w:val="clear" w:color="auto" w:fill="auto"/>
            <w:noWrap/>
            <w:vAlign w:val="center"/>
            <w:hideMark/>
          </w:tcPr>
          <w:p w14:paraId="0AA95155" w14:textId="707BB88B" w:rsidR="00DF1D35" w:rsidRPr="00DF1D35" w:rsidRDefault="00DF1D35" w:rsidP="00DF1D35">
            <w:pPr>
              <w:spacing w:after="0" w:line="240" w:lineRule="auto"/>
              <w:jc w:val="right"/>
              <w:rPr>
                <w:color w:val="17365D"/>
                <w:sz w:val="18"/>
                <w:szCs w:val="18"/>
              </w:rPr>
            </w:pPr>
            <w:r w:rsidRPr="00DF1D35">
              <w:rPr>
                <w:color w:val="17365D"/>
                <w:sz w:val="18"/>
                <w:szCs w:val="18"/>
              </w:rPr>
              <w:t>417 332</w:t>
            </w:r>
          </w:p>
        </w:tc>
        <w:tc>
          <w:tcPr>
            <w:tcW w:w="1134" w:type="dxa"/>
            <w:tcBorders>
              <w:top w:val="single" w:sz="4" w:space="0" w:color="17365D"/>
              <w:left w:val="nil"/>
              <w:bottom w:val="single" w:sz="4" w:space="0" w:color="17365D"/>
              <w:right w:val="nil"/>
            </w:tcBorders>
            <w:shd w:val="clear" w:color="auto" w:fill="auto"/>
            <w:noWrap/>
            <w:vAlign w:val="center"/>
            <w:hideMark/>
          </w:tcPr>
          <w:p w14:paraId="1CA1F2B6" w14:textId="6C359D27" w:rsidR="00DF1D35" w:rsidRPr="00DF1D35" w:rsidRDefault="00DF1D35" w:rsidP="00DF1D35">
            <w:pPr>
              <w:spacing w:after="0" w:line="240" w:lineRule="auto"/>
              <w:jc w:val="right"/>
              <w:rPr>
                <w:color w:val="17365D"/>
                <w:sz w:val="18"/>
                <w:szCs w:val="18"/>
              </w:rPr>
            </w:pPr>
            <w:r w:rsidRPr="00DF1D35">
              <w:rPr>
                <w:color w:val="17365D"/>
                <w:sz w:val="18"/>
                <w:szCs w:val="18"/>
              </w:rPr>
              <w:t>348 157</w:t>
            </w:r>
          </w:p>
        </w:tc>
        <w:tc>
          <w:tcPr>
            <w:tcW w:w="1276" w:type="dxa"/>
            <w:tcBorders>
              <w:top w:val="single" w:sz="4" w:space="0" w:color="17365D"/>
              <w:left w:val="nil"/>
              <w:bottom w:val="single" w:sz="4" w:space="0" w:color="17365D"/>
              <w:right w:val="nil"/>
            </w:tcBorders>
            <w:shd w:val="clear" w:color="auto" w:fill="auto"/>
            <w:noWrap/>
            <w:vAlign w:val="center"/>
            <w:hideMark/>
          </w:tcPr>
          <w:p w14:paraId="0BE8F8E0" w14:textId="6633A2D0" w:rsidR="00DF1D35" w:rsidRPr="00DF1D35" w:rsidRDefault="00DF1D35" w:rsidP="00DF1D35">
            <w:pPr>
              <w:spacing w:after="0" w:line="240" w:lineRule="auto"/>
              <w:jc w:val="right"/>
              <w:rPr>
                <w:color w:val="17365D"/>
                <w:sz w:val="18"/>
                <w:szCs w:val="18"/>
              </w:rPr>
            </w:pPr>
            <w:r w:rsidRPr="00DF1D35">
              <w:rPr>
                <w:color w:val="17365D"/>
                <w:sz w:val="18"/>
                <w:szCs w:val="18"/>
              </w:rPr>
              <w:t>297 054</w:t>
            </w:r>
          </w:p>
        </w:tc>
        <w:tc>
          <w:tcPr>
            <w:tcW w:w="1417" w:type="dxa"/>
            <w:tcBorders>
              <w:top w:val="single" w:sz="4" w:space="0" w:color="17365D"/>
              <w:left w:val="nil"/>
              <w:bottom w:val="single" w:sz="4" w:space="0" w:color="17365D"/>
              <w:right w:val="nil"/>
            </w:tcBorders>
            <w:shd w:val="clear" w:color="auto" w:fill="auto"/>
            <w:noWrap/>
            <w:vAlign w:val="center"/>
            <w:hideMark/>
          </w:tcPr>
          <w:p w14:paraId="03A06B2B" w14:textId="407D4740" w:rsidR="00DF1D35" w:rsidRPr="00DF1D35" w:rsidRDefault="00DF1D35" w:rsidP="00DF1D35">
            <w:pPr>
              <w:spacing w:after="0" w:line="240" w:lineRule="auto"/>
              <w:jc w:val="right"/>
              <w:rPr>
                <w:color w:val="17365D"/>
                <w:sz w:val="18"/>
                <w:szCs w:val="18"/>
              </w:rPr>
            </w:pPr>
            <w:r w:rsidRPr="00DF1D35">
              <w:rPr>
                <w:color w:val="17365D"/>
                <w:sz w:val="18"/>
                <w:szCs w:val="18"/>
              </w:rPr>
              <w:t>1 206 693</w:t>
            </w:r>
          </w:p>
        </w:tc>
      </w:tr>
      <w:tr w:rsidR="00DF1D35" w:rsidRPr="00A27896" w14:paraId="5F568CE9" w14:textId="77777777" w:rsidTr="00787092">
        <w:trPr>
          <w:trHeight w:val="218"/>
        </w:trPr>
        <w:tc>
          <w:tcPr>
            <w:tcW w:w="2977" w:type="dxa"/>
            <w:tcBorders>
              <w:top w:val="single" w:sz="4" w:space="0" w:color="17365D"/>
              <w:bottom w:val="single" w:sz="4" w:space="0" w:color="17365D"/>
            </w:tcBorders>
            <w:shd w:val="clear" w:color="auto" w:fill="auto"/>
            <w:vAlign w:val="center"/>
          </w:tcPr>
          <w:p w14:paraId="62796727" w14:textId="77777777" w:rsidR="00DF1D35" w:rsidRPr="00A27896" w:rsidRDefault="00DF1D35" w:rsidP="00DF1D35">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Apgrozāmie līdzekļi</w:t>
            </w:r>
          </w:p>
        </w:tc>
        <w:tc>
          <w:tcPr>
            <w:tcW w:w="1559" w:type="dxa"/>
            <w:tcBorders>
              <w:top w:val="single" w:sz="4" w:space="0" w:color="17365D"/>
              <w:left w:val="nil"/>
              <w:bottom w:val="single" w:sz="4" w:space="0" w:color="17365D"/>
              <w:right w:val="nil"/>
            </w:tcBorders>
            <w:shd w:val="clear" w:color="auto" w:fill="auto"/>
            <w:noWrap/>
          </w:tcPr>
          <w:p w14:paraId="66773296" w14:textId="47FF24A0"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935 785</w:t>
            </w:r>
          </w:p>
        </w:tc>
        <w:tc>
          <w:tcPr>
            <w:tcW w:w="993" w:type="dxa"/>
            <w:tcBorders>
              <w:top w:val="single" w:sz="4" w:space="0" w:color="17365D"/>
              <w:left w:val="nil"/>
              <w:bottom w:val="single" w:sz="4" w:space="0" w:color="17365D"/>
              <w:right w:val="nil"/>
            </w:tcBorders>
            <w:shd w:val="clear" w:color="auto" w:fill="auto"/>
            <w:noWrap/>
          </w:tcPr>
          <w:p w14:paraId="05DC8228" w14:textId="3094F75A"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403 079</w:t>
            </w:r>
          </w:p>
        </w:tc>
        <w:tc>
          <w:tcPr>
            <w:tcW w:w="1134" w:type="dxa"/>
            <w:tcBorders>
              <w:top w:val="single" w:sz="4" w:space="0" w:color="17365D"/>
              <w:left w:val="nil"/>
              <w:bottom w:val="single" w:sz="4" w:space="0" w:color="17365D"/>
              <w:right w:val="nil"/>
            </w:tcBorders>
            <w:shd w:val="clear" w:color="auto" w:fill="auto"/>
            <w:noWrap/>
          </w:tcPr>
          <w:p w14:paraId="7779EDF4" w14:textId="41B9A99E"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221 936</w:t>
            </w:r>
          </w:p>
        </w:tc>
        <w:tc>
          <w:tcPr>
            <w:tcW w:w="1276" w:type="dxa"/>
            <w:tcBorders>
              <w:top w:val="single" w:sz="4" w:space="0" w:color="17365D"/>
              <w:left w:val="nil"/>
              <w:bottom w:val="single" w:sz="4" w:space="0" w:color="17365D"/>
              <w:right w:val="nil"/>
            </w:tcBorders>
            <w:shd w:val="clear" w:color="auto" w:fill="auto"/>
            <w:noWrap/>
          </w:tcPr>
          <w:p w14:paraId="1BAA970A" w14:textId="28206420"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161 854</w:t>
            </w:r>
          </w:p>
        </w:tc>
        <w:tc>
          <w:tcPr>
            <w:tcW w:w="1417" w:type="dxa"/>
            <w:tcBorders>
              <w:top w:val="single" w:sz="4" w:space="0" w:color="17365D"/>
              <w:left w:val="nil"/>
              <w:bottom w:val="single" w:sz="4" w:space="0" w:color="17365D"/>
              <w:right w:val="nil"/>
            </w:tcBorders>
            <w:shd w:val="clear" w:color="auto" w:fill="auto"/>
            <w:noWrap/>
          </w:tcPr>
          <w:p w14:paraId="7A711599" w14:textId="13FDB64A" w:rsidR="00DF1D35" w:rsidRPr="00A27896" w:rsidRDefault="00DF1D35" w:rsidP="00DF1D35">
            <w:pPr>
              <w:spacing w:after="0" w:line="240" w:lineRule="auto"/>
              <w:jc w:val="right"/>
              <w:rPr>
                <w:rFonts w:eastAsia="Times New Roman" w:cs="Times New Roman"/>
                <w:b/>
                <w:color w:val="17365D"/>
                <w:sz w:val="18"/>
                <w:szCs w:val="18"/>
                <w:lang w:eastAsia="lv-LV"/>
              </w:rPr>
            </w:pPr>
            <w:r w:rsidRPr="00DF1D35">
              <w:rPr>
                <w:rFonts w:eastAsia="Times New Roman" w:cs="Times New Roman"/>
                <w:b/>
                <w:color w:val="17365D"/>
                <w:sz w:val="18"/>
                <w:szCs w:val="18"/>
                <w:lang w:eastAsia="lv-LV"/>
              </w:rPr>
              <w:t>930 105</w:t>
            </w:r>
          </w:p>
        </w:tc>
      </w:tr>
      <w:tr w:rsidR="00DF1D35" w:rsidRPr="00A27896" w14:paraId="193B8821" w14:textId="77777777" w:rsidTr="00787092">
        <w:trPr>
          <w:trHeight w:val="334"/>
        </w:trPr>
        <w:tc>
          <w:tcPr>
            <w:tcW w:w="2977" w:type="dxa"/>
            <w:tcBorders>
              <w:top w:val="single" w:sz="4" w:space="0" w:color="17365D"/>
              <w:bottom w:val="single" w:sz="4" w:space="0" w:color="17365D"/>
            </w:tcBorders>
            <w:shd w:val="clear" w:color="auto" w:fill="auto"/>
            <w:vAlign w:val="center"/>
            <w:hideMark/>
          </w:tcPr>
          <w:p w14:paraId="1668AA14" w14:textId="77777777"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Gatavie ražojumi, pasūtījumi un krājumi atsavināšanai</w:t>
            </w:r>
          </w:p>
        </w:tc>
        <w:tc>
          <w:tcPr>
            <w:tcW w:w="1559" w:type="dxa"/>
            <w:tcBorders>
              <w:top w:val="single" w:sz="4" w:space="0" w:color="17365D"/>
              <w:left w:val="nil"/>
              <w:bottom w:val="single" w:sz="4" w:space="0" w:color="17365D"/>
              <w:right w:val="nil"/>
            </w:tcBorders>
            <w:shd w:val="clear" w:color="auto" w:fill="auto"/>
            <w:noWrap/>
            <w:vAlign w:val="center"/>
            <w:hideMark/>
          </w:tcPr>
          <w:p w14:paraId="4851762A" w14:textId="0F1B68FF" w:rsidR="00DF1D35" w:rsidRPr="00DF1D35" w:rsidRDefault="00DF1D35" w:rsidP="00DF1D35">
            <w:pPr>
              <w:spacing w:after="0" w:line="240" w:lineRule="auto"/>
              <w:jc w:val="right"/>
              <w:rPr>
                <w:color w:val="17365D"/>
                <w:sz w:val="18"/>
                <w:szCs w:val="18"/>
              </w:rPr>
            </w:pPr>
            <w:r w:rsidRPr="00DF1D35">
              <w:rPr>
                <w:color w:val="17365D"/>
                <w:sz w:val="18"/>
                <w:szCs w:val="18"/>
              </w:rPr>
              <w:t>935 785</w:t>
            </w:r>
          </w:p>
        </w:tc>
        <w:tc>
          <w:tcPr>
            <w:tcW w:w="993" w:type="dxa"/>
            <w:tcBorders>
              <w:top w:val="single" w:sz="4" w:space="0" w:color="17365D"/>
              <w:left w:val="nil"/>
              <w:bottom w:val="single" w:sz="4" w:space="0" w:color="17365D"/>
              <w:right w:val="nil"/>
            </w:tcBorders>
            <w:shd w:val="clear" w:color="auto" w:fill="auto"/>
            <w:noWrap/>
            <w:vAlign w:val="center"/>
            <w:hideMark/>
          </w:tcPr>
          <w:p w14:paraId="782F0C3C" w14:textId="3B28B940" w:rsidR="00DF1D35" w:rsidRPr="00DF1D35" w:rsidRDefault="00DF1D35" w:rsidP="00DF1D35">
            <w:pPr>
              <w:spacing w:after="0" w:line="240" w:lineRule="auto"/>
              <w:jc w:val="right"/>
              <w:rPr>
                <w:color w:val="17365D"/>
                <w:sz w:val="18"/>
                <w:szCs w:val="18"/>
              </w:rPr>
            </w:pPr>
            <w:r w:rsidRPr="00DF1D35">
              <w:rPr>
                <w:color w:val="17365D"/>
                <w:sz w:val="18"/>
                <w:szCs w:val="18"/>
              </w:rPr>
              <w:t>403 079</w:t>
            </w:r>
          </w:p>
        </w:tc>
        <w:tc>
          <w:tcPr>
            <w:tcW w:w="1134" w:type="dxa"/>
            <w:tcBorders>
              <w:top w:val="single" w:sz="4" w:space="0" w:color="17365D"/>
              <w:left w:val="nil"/>
              <w:bottom w:val="single" w:sz="4" w:space="0" w:color="17365D"/>
              <w:right w:val="nil"/>
            </w:tcBorders>
            <w:shd w:val="clear" w:color="auto" w:fill="auto"/>
            <w:noWrap/>
            <w:vAlign w:val="center"/>
            <w:hideMark/>
          </w:tcPr>
          <w:p w14:paraId="3FF557FA" w14:textId="52912642" w:rsidR="00DF1D35" w:rsidRPr="00DF1D35" w:rsidRDefault="00DF1D35" w:rsidP="00DF1D35">
            <w:pPr>
              <w:spacing w:after="0" w:line="240" w:lineRule="auto"/>
              <w:jc w:val="right"/>
              <w:rPr>
                <w:color w:val="17365D"/>
                <w:sz w:val="18"/>
                <w:szCs w:val="18"/>
              </w:rPr>
            </w:pPr>
            <w:r w:rsidRPr="00DF1D35">
              <w:rPr>
                <w:color w:val="17365D"/>
                <w:sz w:val="18"/>
                <w:szCs w:val="18"/>
              </w:rPr>
              <w:t>221 936</w:t>
            </w:r>
          </w:p>
        </w:tc>
        <w:tc>
          <w:tcPr>
            <w:tcW w:w="1276" w:type="dxa"/>
            <w:tcBorders>
              <w:top w:val="single" w:sz="4" w:space="0" w:color="17365D"/>
              <w:left w:val="nil"/>
              <w:bottom w:val="single" w:sz="4" w:space="0" w:color="17365D"/>
              <w:right w:val="nil"/>
            </w:tcBorders>
            <w:shd w:val="clear" w:color="auto" w:fill="auto"/>
            <w:noWrap/>
            <w:vAlign w:val="center"/>
            <w:hideMark/>
          </w:tcPr>
          <w:p w14:paraId="423CE72A" w14:textId="2ABAF481" w:rsidR="00DF1D35" w:rsidRPr="00DF1D35" w:rsidRDefault="00DF1D35" w:rsidP="00DF1D35">
            <w:pPr>
              <w:spacing w:after="0" w:line="240" w:lineRule="auto"/>
              <w:jc w:val="right"/>
              <w:rPr>
                <w:color w:val="17365D"/>
                <w:sz w:val="18"/>
                <w:szCs w:val="18"/>
              </w:rPr>
            </w:pPr>
            <w:r w:rsidRPr="00DF1D35">
              <w:rPr>
                <w:color w:val="17365D"/>
                <w:sz w:val="18"/>
                <w:szCs w:val="18"/>
              </w:rPr>
              <w:t>161 854</w:t>
            </w:r>
          </w:p>
        </w:tc>
        <w:tc>
          <w:tcPr>
            <w:tcW w:w="1417" w:type="dxa"/>
            <w:tcBorders>
              <w:top w:val="single" w:sz="4" w:space="0" w:color="17365D"/>
              <w:left w:val="nil"/>
              <w:bottom w:val="single" w:sz="4" w:space="0" w:color="17365D"/>
              <w:right w:val="nil"/>
            </w:tcBorders>
            <w:shd w:val="clear" w:color="auto" w:fill="auto"/>
            <w:noWrap/>
            <w:vAlign w:val="center"/>
            <w:hideMark/>
          </w:tcPr>
          <w:p w14:paraId="357D0BD4" w14:textId="577564C8" w:rsidR="00DF1D35" w:rsidRPr="00DF1D35" w:rsidRDefault="00DF1D35" w:rsidP="00DF1D35">
            <w:pPr>
              <w:spacing w:after="0" w:line="240" w:lineRule="auto"/>
              <w:jc w:val="right"/>
              <w:rPr>
                <w:color w:val="17365D"/>
                <w:sz w:val="18"/>
                <w:szCs w:val="18"/>
              </w:rPr>
            </w:pPr>
            <w:r w:rsidRPr="00DF1D35">
              <w:rPr>
                <w:color w:val="17365D"/>
                <w:sz w:val="18"/>
                <w:szCs w:val="18"/>
              </w:rPr>
              <w:t>930 105</w:t>
            </w:r>
          </w:p>
        </w:tc>
      </w:tr>
      <w:tr w:rsidR="000C1009" w:rsidRPr="00A27896" w14:paraId="29F7AD91" w14:textId="77777777" w:rsidTr="00787092">
        <w:trPr>
          <w:trHeight w:val="188"/>
        </w:trPr>
        <w:tc>
          <w:tcPr>
            <w:tcW w:w="2977" w:type="dxa"/>
            <w:tcBorders>
              <w:top w:val="single" w:sz="4" w:space="0" w:color="17365D"/>
            </w:tcBorders>
            <w:shd w:val="clear" w:color="000000" w:fill="B9CDE5"/>
            <w:vAlign w:val="center"/>
            <w:hideMark/>
          </w:tcPr>
          <w:p w14:paraId="66A081C8" w14:textId="77777777" w:rsidR="0017259F" w:rsidRPr="00A27896" w:rsidRDefault="0017259F" w:rsidP="0017259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559" w:type="dxa"/>
            <w:tcBorders>
              <w:top w:val="single" w:sz="4" w:space="0" w:color="17365D"/>
            </w:tcBorders>
            <w:shd w:val="clear" w:color="000000" w:fill="B9CDE5"/>
            <w:noWrap/>
            <w:vAlign w:val="center"/>
            <w:hideMark/>
          </w:tcPr>
          <w:p w14:paraId="369FCEBE"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993" w:type="dxa"/>
            <w:tcBorders>
              <w:top w:val="single" w:sz="4" w:space="0" w:color="17365D"/>
            </w:tcBorders>
            <w:shd w:val="clear" w:color="000000" w:fill="B9CDE5"/>
            <w:noWrap/>
            <w:vAlign w:val="center"/>
            <w:hideMark/>
          </w:tcPr>
          <w:p w14:paraId="2BCB16E2"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tcBorders>
            <w:shd w:val="clear" w:color="000000" w:fill="B9CDE5"/>
            <w:noWrap/>
            <w:vAlign w:val="center"/>
            <w:hideMark/>
          </w:tcPr>
          <w:p w14:paraId="293996FF"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76" w:type="dxa"/>
            <w:tcBorders>
              <w:top w:val="single" w:sz="4" w:space="0" w:color="17365D"/>
            </w:tcBorders>
            <w:shd w:val="clear" w:color="000000" w:fill="B9CDE5"/>
            <w:noWrap/>
            <w:vAlign w:val="center"/>
            <w:hideMark/>
          </w:tcPr>
          <w:p w14:paraId="216285A3"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417" w:type="dxa"/>
            <w:tcBorders>
              <w:top w:val="single" w:sz="4" w:space="0" w:color="17365D"/>
            </w:tcBorders>
            <w:shd w:val="clear" w:color="000000" w:fill="B9CDE5"/>
            <w:noWrap/>
            <w:vAlign w:val="center"/>
            <w:hideMark/>
          </w:tcPr>
          <w:p w14:paraId="5BAD7F40"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7D047D7E" w14:textId="68106737" w:rsidR="007B7D77" w:rsidRPr="00A27896" w:rsidRDefault="007B7D77" w:rsidP="000D2C39">
      <w:pPr>
        <w:pStyle w:val="Heading5"/>
      </w:pPr>
      <w:r w:rsidRPr="00A27896">
        <w:lastRenderedPageBreak/>
        <w:t>Piezīme</w:t>
      </w:r>
      <w:r w:rsidR="00AC754B" w:rsidRPr="00A27896">
        <w:t xml:space="preserve"> Nr.</w:t>
      </w:r>
      <w:r w:rsidRPr="00A27896">
        <w:t xml:space="preserve"> V3. Informācija par finanšu nomā saņemtiem aktīviem un veicamiem maksājumiem</w:t>
      </w:r>
    </w:p>
    <w:p w14:paraId="5D553E39" w14:textId="4F376FD6" w:rsidR="00BA2717" w:rsidRPr="00A27896" w:rsidRDefault="00BA2717" w:rsidP="002A2F6E">
      <w:pPr>
        <w:pStyle w:val="Pamatteksts1"/>
      </w:pPr>
      <w:r w:rsidRPr="00A27896">
        <w:t>Saskaņā ar ministriju, centrālo valsts iestāžu un pašvaldību sniegto informāciju saistības par finanšu nomā saņemtajiem aktīviem diskontētajā vērtībā pārskata period</w:t>
      </w:r>
      <w:r w:rsidR="00DE0377">
        <w:t>a</w:t>
      </w:r>
      <w:r w:rsidRPr="00A27896">
        <w:t xml:space="preserve"> </w:t>
      </w:r>
      <w:r w:rsidR="00DE0377">
        <w:t xml:space="preserve">beigās </w:t>
      </w:r>
      <w:r w:rsidRPr="00A27896">
        <w:t xml:space="preserve">atzītas </w:t>
      </w:r>
      <w:r w:rsidR="002A17A3">
        <w:t>1</w:t>
      </w:r>
      <w:r w:rsidR="00DF1D35">
        <w:t>2,6 milj.</w:t>
      </w:r>
      <w:r w:rsidR="002A17A3" w:rsidRPr="00A27896">
        <w:t xml:space="preserve"> </w:t>
      </w:r>
      <w:r w:rsidRPr="00A27896">
        <w:rPr>
          <w:i/>
        </w:rPr>
        <w:t>euro</w:t>
      </w:r>
      <w:r w:rsidRPr="00A27896">
        <w:t xml:space="preserve"> vērtībā un tās sadalījumā pa aktīvu bilances posteņiem un saņemamajiem maksājumiem norādītas </w:t>
      </w:r>
      <w:r w:rsidR="001231AF">
        <w:t>1.</w:t>
      </w:r>
      <w:r w:rsidR="005301E2" w:rsidRPr="00A27896">
        <w:t>2</w:t>
      </w:r>
      <w:r w:rsidR="00F128AB">
        <w:t>6</w:t>
      </w:r>
      <w:r w:rsidRPr="00A27896">
        <w:t>.</w:t>
      </w:r>
      <w:r w:rsidR="00FF34A4" w:rsidRPr="00A27896">
        <w:t> </w:t>
      </w:r>
      <w:r w:rsidRPr="00A27896">
        <w:t>tabulā:</w:t>
      </w:r>
    </w:p>
    <w:p w14:paraId="579A7569" w14:textId="1CCA494C" w:rsidR="00E70B9F" w:rsidRPr="00A27896" w:rsidRDefault="001231AF" w:rsidP="00F128AB">
      <w:pPr>
        <w:pStyle w:val="Tabnosauk"/>
        <w:ind w:firstLine="5245"/>
      </w:pPr>
      <w:r>
        <w:t>1.</w:t>
      </w:r>
      <w:r w:rsidR="005301E2" w:rsidRPr="0022433A">
        <w:t>2</w:t>
      </w:r>
      <w:r w:rsidR="00F128AB">
        <w:t>6</w:t>
      </w:r>
      <w:r w:rsidR="00743E0E" w:rsidRPr="0022433A">
        <w:t>. </w:t>
      </w:r>
      <w:r w:rsidR="0075331A" w:rsidRPr="0022433A">
        <w:t>tabula</w:t>
      </w:r>
      <w:r w:rsidR="005013EF" w:rsidRPr="0022433A">
        <w:t>.</w:t>
      </w:r>
      <w:r w:rsidR="005311E7" w:rsidRPr="00A27896">
        <w:t xml:space="preserve"> Informācija par finanšu nomā saņemtajiem aktīviem un veicamiem maksājumiem (euro)</w:t>
      </w:r>
    </w:p>
    <w:tbl>
      <w:tblPr>
        <w:tblW w:w="9356" w:type="dxa"/>
        <w:tblBorders>
          <w:insideH w:val="single" w:sz="4" w:space="0" w:color="17365D"/>
        </w:tblBorders>
        <w:tblLook w:val="04A0" w:firstRow="1" w:lastRow="0" w:firstColumn="1" w:lastColumn="0" w:noHBand="0" w:noVBand="1"/>
      </w:tblPr>
      <w:tblGrid>
        <w:gridCol w:w="2198"/>
        <w:gridCol w:w="1223"/>
        <w:gridCol w:w="1417"/>
        <w:gridCol w:w="1134"/>
        <w:gridCol w:w="1134"/>
        <w:gridCol w:w="1134"/>
        <w:gridCol w:w="1116"/>
      </w:tblGrid>
      <w:tr w:rsidR="000C1009" w:rsidRPr="00A27896" w14:paraId="4A6E0405" w14:textId="77777777" w:rsidTr="009A4177">
        <w:trPr>
          <w:trHeight w:val="651"/>
        </w:trPr>
        <w:tc>
          <w:tcPr>
            <w:tcW w:w="2198" w:type="dxa"/>
            <w:vMerge w:val="restart"/>
            <w:shd w:val="clear" w:color="000000" w:fill="B9CDE5"/>
            <w:vAlign w:val="center"/>
            <w:hideMark/>
          </w:tcPr>
          <w:p w14:paraId="3AB116E6"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1223" w:type="dxa"/>
            <w:vMerge w:val="restart"/>
            <w:shd w:val="clear" w:color="000000" w:fill="B9CDE5"/>
            <w:vAlign w:val="center"/>
            <w:hideMark/>
          </w:tcPr>
          <w:p w14:paraId="36C850AB"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Atlikusī vērtība (bilances vērtība) pārskata perioda beigās</w:t>
            </w:r>
          </w:p>
        </w:tc>
        <w:tc>
          <w:tcPr>
            <w:tcW w:w="4819" w:type="dxa"/>
            <w:gridSpan w:val="4"/>
            <w:tcBorders>
              <w:top w:val="nil"/>
              <w:bottom w:val="single" w:sz="4" w:space="0" w:color="17365D"/>
            </w:tcBorders>
            <w:shd w:val="clear" w:color="000000" w:fill="B9CDE5"/>
            <w:vAlign w:val="center"/>
            <w:hideMark/>
          </w:tcPr>
          <w:p w14:paraId="3DCB852A"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Nākotnes minimālie nomas maksājumi</w:t>
            </w:r>
          </w:p>
        </w:tc>
        <w:tc>
          <w:tcPr>
            <w:tcW w:w="1116" w:type="dxa"/>
            <w:vMerge w:val="restart"/>
            <w:shd w:val="clear" w:color="000000" w:fill="B9CDE5"/>
            <w:vAlign w:val="center"/>
            <w:hideMark/>
          </w:tcPr>
          <w:p w14:paraId="43C07C51"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Saistības (diskontētie izdevumi) pārskata perioda beigās</w:t>
            </w:r>
          </w:p>
        </w:tc>
      </w:tr>
      <w:tr w:rsidR="000C1009" w:rsidRPr="00A27896" w14:paraId="28B36540" w14:textId="77777777" w:rsidTr="009A4177">
        <w:trPr>
          <w:trHeight w:val="735"/>
        </w:trPr>
        <w:tc>
          <w:tcPr>
            <w:tcW w:w="2198" w:type="dxa"/>
            <w:vMerge/>
            <w:tcBorders>
              <w:bottom w:val="single" w:sz="4" w:space="0" w:color="17365D"/>
            </w:tcBorders>
            <w:vAlign w:val="center"/>
            <w:hideMark/>
          </w:tcPr>
          <w:p w14:paraId="799D106D" w14:textId="77777777" w:rsidR="00C52348" w:rsidRPr="00A27896" w:rsidRDefault="00C52348" w:rsidP="00F20D24">
            <w:pPr>
              <w:spacing w:after="0" w:line="240" w:lineRule="auto"/>
              <w:rPr>
                <w:rFonts w:eastAsia="Times New Roman" w:cs="Times New Roman"/>
                <w:b/>
                <w:bCs/>
                <w:color w:val="17365D"/>
                <w:sz w:val="18"/>
                <w:szCs w:val="18"/>
                <w:lang w:eastAsia="lv-LV"/>
              </w:rPr>
            </w:pPr>
          </w:p>
        </w:tc>
        <w:tc>
          <w:tcPr>
            <w:tcW w:w="1223" w:type="dxa"/>
            <w:vMerge/>
            <w:tcBorders>
              <w:bottom w:val="single" w:sz="4" w:space="0" w:color="17365D"/>
            </w:tcBorders>
            <w:vAlign w:val="center"/>
            <w:hideMark/>
          </w:tcPr>
          <w:p w14:paraId="198C12EC" w14:textId="77777777" w:rsidR="00C52348" w:rsidRPr="00A27896" w:rsidRDefault="00C52348" w:rsidP="00F20D24">
            <w:pPr>
              <w:spacing w:after="0" w:line="240" w:lineRule="auto"/>
              <w:rPr>
                <w:rFonts w:eastAsia="Times New Roman" w:cs="Times New Roman"/>
                <w:b/>
                <w:bCs/>
                <w:color w:val="17365D"/>
                <w:sz w:val="18"/>
                <w:szCs w:val="18"/>
                <w:lang w:eastAsia="lv-LV"/>
              </w:rPr>
            </w:pPr>
          </w:p>
        </w:tc>
        <w:tc>
          <w:tcPr>
            <w:tcW w:w="1417" w:type="dxa"/>
            <w:tcBorders>
              <w:top w:val="single" w:sz="4" w:space="0" w:color="17365D"/>
              <w:bottom w:val="single" w:sz="4" w:space="0" w:color="17365D"/>
            </w:tcBorders>
            <w:shd w:val="clear" w:color="000000" w:fill="B9CDE5"/>
            <w:vAlign w:val="center"/>
            <w:hideMark/>
          </w:tcPr>
          <w:p w14:paraId="2DBE9BD0"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1134" w:type="dxa"/>
            <w:tcBorders>
              <w:top w:val="single" w:sz="4" w:space="0" w:color="17365D"/>
              <w:bottom w:val="single" w:sz="4" w:space="0" w:color="17365D"/>
            </w:tcBorders>
            <w:shd w:val="clear" w:color="000000" w:fill="B9CDE5"/>
            <w:vAlign w:val="center"/>
            <w:hideMark/>
          </w:tcPr>
          <w:p w14:paraId="046C3742" w14:textId="7F6988ED" w:rsidR="00C52348" w:rsidRPr="00A27896" w:rsidRDefault="00C52348"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DF1D35">
              <w:rPr>
                <w:rFonts w:eastAsia="Times New Roman" w:cs="Times New Roman"/>
                <w:b/>
                <w:bCs/>
                <w:color w:val="17365D"/>
                <w:sz w:val="18"/>
                <w:szCs w:val="18"/>
                <w:lang w:eastAsia="lv-LV"/>
              </w:rPr>
              <w:t>5</w:t>
            </w:r>
          </w:p>
        </w:tc>
        <w:tc>
          <w:tcPr>
            <w:tcW w:w="1134" w:type="dxa"/>
            <w:tcBorders>
              <w:top w:val="single" w:sz="4" w:space="0" w:color="17365D"/>
              <w:bottom w:val="single" w:sz="4" w:space="0" w:color="17365D"/>
            </w:tcBorders>
            <w:shd w:val="clear" w:color="000000" w:fill="B9CDE5"/>
            <w:vAlign w:val="center"/>
          </w:tcPr>
          <w:p w14:paraId="46909766" w14:textId="19802423" w:rsidR="00C52348" w:rsidRPr="00A27896" w:rsidRDefault="00C52348"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DF1D35">
              <w:rPr>
                <w:rFonts w:eastAsia="Times New Roman" w:cs="Times New Roman"/>
                <w:b/>
                <w:bCs/>
                <w:color w:val="17365D"/>
                <w:sz w:val="18"/>
                <w:szCs w:val="18"/>
                <w:lang w:eastAsia="lv-LV"/>
              </w:rPr>
              <w:t>6</w:t>
            </w:r>
          </w:p>
        </w:tc>
        <w:tc>
          <w:tcPr>
            <w:tcW w:w="1134" w:type="dxa"/>
            <w:tcBorders>
              <w:top w:val="single" w:sz="4" w:space="0" w:color="17365D"/>
              <w:bottom w:val="single" w:sz="4" w:space="0" w:color="17365D"/>
            </w:tcBorders>
            <w:shd w:val="clear" w:color="000000" w:fill="B9CDE5"/>
            <w:vAlign w:val="center"/>
            <w:hideMark/>
          </w:tcPr>
          <w:p w14:paraId="340CF547" w14:textId="197B5788" w:rsidR="00C52348" w:rsidRPr="00A27896" w:rsidRDefault="00C52348"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DF1D35">
              <w:rPr>
                <w:rFonts w:eastAsia="Times New Roman" w:cs="Times New Roman"/>
                <w:b/>
                <w:bCs/>
                <w:color w:val="17365D"/>
                <w:sz w:val="18"/>
                <w:szCs w:val="18"/>
                <w:lang w:eastAsia="lv-LV"/>
              </w:rPr>
              <w:t>7</w:t>
            </w:r>
          </w:p>
        </w:tc>
        <w:tc>
          <w:tcPr>
            <w:tcW w:w="1116" w:type="dxa"/>
            <w:vMerge/>
            <w:tcBorders>
              <w:bottom w:val="single" w:sz="4" w:space="0" w:color="17365D"/>
            </w:tcBorders>
            <w:vAlign w:val="center"/>
            <w:hideMark/>
          </w:tcPr>
          <w:p w14:paraId="702A7ABC" w14:textId="77777777" w:rsidR="00C52348" w:rsidRPr="00A27896" w:rsidRDefault="00C52348" w:rsidP="00F20D24">
            <w:pPr>
              <w:spacing w:after="0" w:line="240" w:lineRule="auto"/>
              <w:rPr>
                <w:rFonts w:eastAsia="Times New Roman" w:cs="Times New Roman"/>
                <w:b/>
                <w:bCs/>
                <w:color w:val="17365D"/>
                <w:sz w:val="18"/>
                <w:szCs w:val="18"/>
                <w:lang w:eastAsia="lv-LV"/>
              </w:rPr>
            </w:pPr>
          </w:p>
        </w:tc>
      </w:tr>
      <w:tr w:rsidR="000C1009" w:rsidRPr="00A27896" w14:paraId="664494CA" w14:textId="77777777" w:rsidTr="001231AF">
        <w:trPr>
          <w:trHeight w:val="96"/>
        </w:trPr>
        <w:tc>
          <w:tcPr>
            <w:tcW w:w="2198" w:type="dxa"/>
            <w:tcBorders>
              <w:top w:val="single" w:sz="4" w:space="0" w:color="17365D"/>
              <w:bottom w:val="single" w:sz="4" w:space="0" w:color="17365D"/>
            </w:tcBorders>
            <w:shd w:val="clear" w:color="auto" w:fill="auto"/>
            <w:vAlign w:val="center"/>
            <w:hideMark/>
          </w:tcPr>
          <w:p w14:paraId="054011E9"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23" w:type="dxa"/>
            <w:tcBorders>
              <w:top w:val="single" w:sz="4" w:space="0" w:color="17365D"/>
              <w:bottom w:val="single" w:sz="4" w:space="0" w:color="17365D"/>
            </w:tcBorders>
            <w:shd w:val="clear" w:color="auto" w:fill="auto"/>
            <w:vAlign w:val="center"/>
            <w:hideMark/>
          </w:tcPr>
          <w:p w14:paraId="05FBB9F7"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417" w:type="dxa"/>
            <w:tcBorders>
              <w:top w:val="single" w:sz="4" w:space="0" w:color="17365D"/>
              <w:bottom w:val="single" w:sz="4" w:space="0" w:color="17365D"/>
            </w:tcBorders>
            <w:shd w:val="clear" w:color="auto" w:fill="auto"/>
            <w:vAlign w:val="center"/>
            <w:hideMark/>
          </w:tcPr>
          <w:p w14:paraId="2519F38D"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134" w:type="dxa"/>
            <w:tcBorders>
              <w:top w:val="single" w:sz="4" w:space="0" w:color="17365D"/>
              <w:bottom w:val="single" w:sz="4" w:space="0" w:color="17365D"/>
            </w:tcBorders>
            <w:shd w:val="clear" w:color="auto" w:fill="auto"/>
            <w:vAlign w:val="center"/>
            <w:hideMark/>
          </w:tcPr>
          <w:p w14:paraId="6FA13240"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134" w:type="dxa"/>
            <w:tcBorders>
              <w:top w:val="single" w:sz="4" w:space="0" w:color="17365D"/>
              <w:bottom w:val="single" w:sz="4" w:space="0" w:color="17365D"/>
            </w:tcBorders>
            <w:shd w:val="clear" w:color="auto" w:fill="auto"/>
            <w:vAlign w:val="center"/>
            <w:hideMark/>
          </w:tcPr>
          <w:p w14:paraId="1611ACC6"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134" w:type="dxa"/>
            <w:tcBorders>
              <w:top w:val="single" w:sz="4" w:space="0" w:color="17365D"/>
              <w:bottom w:val="single" w:sz="4" w:space="0" w:color="17365D"/>
            </w:tcBorders>
            <w:shd w:val="clear" w:color="auto" w:fill="auto"/>
            <w:vAlign w:val="center"/>
            <w:hideMark/>
          </w:tcPr>
          <w:p w14:paraId="3F1DF495"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16" w:type="dxa"/>
            <w:tcBorders>
              <w:top w:val="single" w:sz="4" w:space="0" w:color="17365D"/>
              <w:bottom w:val="single" w:sz="4" w:space="0" w:color="17365D"/>
            </w:tcBorders>
            <w:shd w:val="clear" w:color="auto" w:fill="auto"/>
            <w:vAlign w:val="center"/>
            <w:hideMark/>
          </w:tcPr>
          <w:p w14:paraId="7B3CCAFF"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DF1D35" w:rsidRPr="00A27896" w14:paraId="735A7F8D" w14:textId="77777777" w:rsidTr="009A4177">
        <w:trPr>
          <w:trHeight w:val="122"/>
        </w:trPr>
        <w:tc>
          <w:tcPr>
            <w:tcW w:w="2198" w:type="dxa"/>
            <w:tcBorders>
              <w:top w:val="single" w:sz="4" w:space="0" w:color="17365D"/>
              <w:left w:val="nil"/>
              <w:bottom w:val="single" w:sz="4" w:space="0" w:color="17365D"/>
              <w:right w:val="nil"/>
            </w:tcBorders>
            <w:shd w:val="clear" w:color="auto" w:fill="auto"/>
            <w:vAlign w:val="center"/>
          </w:tcPr>
          <w:p w14:paraId="700D08D5" w14:textId="3E561EFE" w:rsidR="00DF1D35" w:rsidRPr="00A27896" w:rsidRDefault="00DF1D35" w:rsidP="00DF1D35">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Ilgtermiņa ieguldījumi </w:t>
            </w:r>
          </w:p>
        </w:tc>
        <w:tc>
          <w:tcPr>
            <w:tcW w:w="1223" w:type="dxa"/>
            <w:tcBorders>
              <w:top w:val="single" w:sz="4" w:space="0" w:color="17365D"/>
              <w:left w:val="nil"/>
              <w:bottom w:val="single" w:sz="4" w:space="0" w:color="17365D"/>
              <w:right w:val="nil"/>
            </w:tcBorders>
            <w:shd w:val="clear" w:color="auto" w:fill="auto"/>
            <w:vAlign w:val="center"/>
          </w:tcPr>
          <w:p w14:paraId="3F18D275" w14:textId="1CD1C2BE" w:rsidR="00DF1D35" w:rsidRPr="00DF1D35" w:rsidRDefault="00DF1D35" w:rsidP="00DF1D35">
            <w:pPr>
              <w:spacing w:after="0" w:line="240" w:lineRule="auto"/>
              <w:jc w:val="right"/>
              <w:rPr>
                <w:b/>
                <w:bCs/>
                <w:color w:val="17365D"/>
                <w:sz w:val="18"/>
                <w:szCs w:val="18"/>
              </w:rPr>
            </w:pPr>
            <w:r w:rsidRPr="00DF1D35">
              <w:rPr>
                <w:b/>
                <w:bCs/>
                <w:color w:val="17365D"/>
                <w:sz w:val="18"/>
                <w:szCs w:val="18"/>
              </w:rPr>
              <w:t>33 136 864</w:t>
            </w:r>
          </w:p>
        </w:tc>
        <w:tc>
          <w:tcPr>
            <w:tcW w:w="1417" w:type="dxa"/>
            <w:tcBorders>
              <w:top w:val="single" w:sz="4" w:space="0" w:color="17365D"/>
              <w:left w:val="nil"/>
              <w:bottom w:val="single" w:sz="4" w:space="0" w:color="17365D"/>
              <w:right w:val="nil"/>
            </w:tcBorders>
            <w:shd w:val="clear" w:color="auto" w:fill="auto"/>
            <w:vAlign w:val="center"/>
          </w:tcPr>
          <w:p w14:paraId="364EAEBE" w14:textId="50491104" w:rsidR="00DF1D35" w:rsidRPr="00DF1D35" w:rsidRDefault="00DF1D35" w:rsidP="00DF1D35">
            <w:pPr>
              <w:spacing w:after="0" w:line="240" w:lineRule="auto"/>
              <w:jc w:val="right"/>
              <w:rPr>
                <w:b/>
                <w:bCs/>
                <w:color w:val="17365D"/>
                <w:sz w:val="18"/>
                <w:szCs w:val="18"/>
              </w:rPr>
            </w:pPr>
            <w:r w:rsidRPr="00DF1D35">
              <w:rPr>
                <w:b/>
                <w:bCs/>
                <w:color w:val="17365D"/>
                <w:sz w:val="18"/>
                <w:szCs w:val="18"/>
              </w:rPr>
              <w:t>12 104 148</w:t>
            </w:r>
          </w:p>
        </w:tc>
        <w:tc>
          <w:tcPr>
            <w:tcW w:w="1134" w:type="dxa"/>
            <w:tcBorders>
              <w:top w:val="single" w:sz="4" w:space="0" w:color="17365D"/>
              <w:left w:val="nil"/>
              <w:bottom w:val="single" w:sz="4" w:space="0" w:color="17365D"/>
              <w:right w:val="nil"/>
            </w:tcBorders>
            <w:shd w:val="clear" w:color="auto" w:fill="auto"/>
            <w:vAlign w:val="center"/>
          </w:tcPr>
          <w:p w14:paraId="03927982" w14:textId="19FD97A4" w:rsidR="00DF1D35" w:rsidRPr="00DF1D35" w:rsidRDefault="00DF1D35" w:rsidP="00DF1D35">
            <w:pPr>
              <w:spacing w:after="0" w:line="240" w:lineRule="auto"/>
              <w:jc w:val="right"/>
              <w:rPr>
                <w:b/>
                <w:bCs/>
                <w:color w:val="17365D"/>
                <w:sz w:val="18"/>
                <w:szCs w:val="18"/>
              </w:rPr>
            </w:pPr>
            <w:r w:rsidRPr="00DF1D35">
              <w:rPr>
                <w:b/>
                <w:bCs/>
                <w:color w:val="17365D"/>
                <w:sz w:val="18"/>
                <w:szCs w:val="18"/>
              </w:rPr>
              <w:t>3 023 756</w:t>
            </w:r>
          </w:p>
        </w:tc>
        <w:tc>
          <w:tcPr>
            <w:tcW w:w="1134" w:type="dxa"/>
            <w:tcBorders>
              <w:top w:val="single" w:sz="4" w:space="0" w:color="17365D"/>
              <w:left w:val="nil"/>
              <w:bottom w:val="single" w:sz="4" w:space="0" w:color="17365D"/>
              <w:right w:val="nil"/>
            </w:tcBorders>
            <w:shd w:val="clear" w:color="auto" w:fill="auto"/>
            <w:vAlign w:val="center"/>
          </w:tcPr>
          <w:p w14:paraId="254C1279" w14:textId="4D7A5990" w:rsidR="00DF1D35" w:rsidRPr="00DF1D35" w:rsidRDefault="00DF1D35" w:rsidP="00DF1D35">
            <w:pPr>
              <w:spacing w:after="0" w:line="240" w:lineRule="auto"/>
              <w:jc w:val="right"/>
              <w:rPr>
                <w:b/>
                <w:bCs/>
                <w:color w:val="17365D"/>
                <w:sz w:val="18"/>
                <w:szCs w:val="18"/>
              </w:rPr>
            </w:pPr>
            <w:r w:rsidRPr="00DF1D35">
              <w:rPr>
                <w:b/>
                <w:bCs/>
                <w:color w:val="17365D"/>
                <w:sz w:val="18"/>
                <w:szCs w:val="18"/>
              </w:rPr>
              <w:t>2 625 096</w:t>
            </w:r>
          </w:p>
        </w:tc>
        <w:tc>
          <w:tcPr>
            <w:tcW w:w="1134" w:type="dxa"/>
            <w:tcBorders>
              <w:top w:val="single" w:sz="4" w:space="0" w:color="17365D"/>
              <w:left w:val="nil"/>
              <w:bottom w:val="single" w:sz="4" w:space="0" w:color="17365D"/>
              <w:right w:val="nil"/>
            </w:tcBorders>
            <w:shd w:val="clear" w:color="auto" w:fill="auto"/>
            <w:vAlign w:val="center"/>
          </w:tcPr>
          <w:p w14:paraId="726D5FCE" w14:textId="234E799A" w:rsidR="00DF1D35" w:rsidRPr="00DF1D35" w:rsidRDefault="00DF1D35" w:rsidP="00DF1D35">
            <w:pPr>
              <w:spacing w:after="0" w:line="240" w:lineRule="auto"/>
              <w:jc w:val="right"/>
              <w:rPr>
                <w:b/>
                <w:bCs/>
                <w:color w:val="17365D"/>
                <w:sz w:val="18"/>
                <w:szCs w:val="18"/>
              </w:rPr>
            </w:pPr>
            <w:r w:rsidRPr="00DF1D35">
              <w:rPr>
                <w:b/>
                <w:bCs/>
                <w:color w:val="17365D"/>
                <w:sz w:val="18"/>
                <w:szCs w:val="18"/>
              </w:rPr>
              <w:t>2 557 809</w:t>
            </w:r>
          </w:p>
        </w:tc>
        <w:tc>
          <w:tcPr>
            <w:tcW w:w="1116" w:type="dxa"/>
            <w:tcBorders>
              <w:top w:val="single" w:sz="4" w:space="0" w:color="17365D"/>
              <w:left w:val="nil"/>
              <w:bottom w:val="single" w:sz="4" w:space="0" w:color="17365D"/>
              <w:right w:val="nil"/>
            </w:tcBorders>
            <w:shd w:val="clear" w:color="auto" w:fill="auto"/>
            <w:vAlign w:val="center"/>
          </w:tcPr>
          <w:p w14:paraId="69015659" w14:textId="35700EB8" w:rsidR="00DF1D35" w:rsidRPr="00DF1D35" w:rsidRDefault="00DF1D35" w:rsidP="00DF1D35">
            <w:pPr>
              <w:spacing w:after="0" w:line="240" w:lineRule="auto"/>
              <w:jc w:val="right"/>
              <w:rPr>
                <w:b/>
                <w:bCs/>
                <w:color w:val="17365D"/>
                <w:sz w:val="18"/>
                <w:szCs w:val="18"/>
              </w:rPr>
            </w:pPr>
            <w:r w:rsidRPr="00DF1D35">
              <w:rPr>
                <w:b/>
                <w:bCs/>
                <w:color w:val="17365D"/>
                <w:sz w:val="18"/>
                <w:szCs w:val="18"/>
              </w:rPr>
              <w:t>11 689 898</w:t>
            </w:r>
          </w:p>
        </w:tc>
      </w:tr>
      <w:tr w:rsidR="00DF1D35" w:rsidRPr="00A27896" w14:paraId="3AEB3269" w14:textId="77777777" w:rsidTr="009A4177">
        <w:trPr>
          <w:trHeight w:val="122"/>
        </w:trPr>
        <w:tc>
          <w:tcPr>
            <w:tcW w:w="2198" w:type="dxa"/>
            <w:tcBorders>
              <w:top w:val="single" w:sz="4" w:space="0" w:color="17365D"/>
              <w:left w:val="nil"/>
              <w:bottom w:val="single" w:sz="4" w:space="0" w:color="17365D"/>
              <w:right w:val="nil"/>
            </w:tcBorders>
            <w:shd w:val="clear" w:color="auto" w:fill="auto"/>
            <w:vAlign w:val="center"/>
          </w:tcPr>
          <w:p w14:paraId="71DC41A6" w14:textId="3738BAC1" w:rsidR="00DF1D35" w:rsidRPr="00A27896" w:rsidRDefault="00DF1D35" w:rsidP="00DF1D35">
            <w:pPr>
              <w:spacing w:after="0" w:line="240" w:lineRule="auto"/>
              <w:rPr>
                <w:rFonts w:eastAsia="Times New Roman" w:cs="Times New Roman"/>
                <w:color w:val="17365D"/>
                <w:sz w:val="18"/>
                <w:szCs w:val="18"/>
                <w:lang w:eastAsia="lv-LV"/>
              </w:rPr>
            </w:pPr>
            <w:r w:rsidRPr="00A27896">
              <w:rPr>
                <w:rFonts w:cs="Times New Roman"/>
                <w:color w:val="17365D"/>
                <w:sz w:val="18"/>
                <w:szCs w:val="18"/>
              </w:rPr>
              <w:t>Licences, koncesijas un patenti, preču zīmes un tamlīdzīgas tiesības</w:t>
            </w:r>
          </w:p>
        </w:tc>
        <w:tc>
          <w:tcPr>
            <w:tcW w:w="1223" w:type="dxa"/>
            <w:tcBorders>
              <w:top w:val="single" w:sz="4" w:space="0" w:color="17365D"/>
              <w:left w:val="nil"/>
              <w:bottom w:val="single" w:sz="4" w:space="0" w:color="17365D"/>
              <w:right w:val="nil"/>
            </w:tcBorders>
            <w:shd w:val="clear" w:color="auto" w:fill="auto"/>
            <w:vAlign w:val="center"/>
          </w:tcPr>
          <w:p w14:paraId="29CF8035" w14:textId="63FF48CD" w:rsidR="00DF1D35" w:rsidRPr="00DF1D35" w:rsidRDefault="00DF1D35" w:rsidP="00DF1D35">
            <w:pPr>
              <w:spacing w:after="0" w:line="240" w:lineRule="auto"/>
              <w:jc w:val="right"/>
              <w:rPr>
                <w:color w:val="17365D"/>
                <w:sz w:val="18"/>
                <w:szCs w:val="18"/>
              </w:rPr>
            </w:pPr>
            <w:r w:rsidRPr="00DF1D35">
              <w:rPr>
                <w:color w:val="17365D"/>
                <w:sz w:val="18"/>
                <w:szCs w:val="18"/>
              </w:rPr>
              <w:t>4 502</w:t>
            </w:r>
          </w:p>
        </w:tc>
        <w:tc>
          <w:tcPr>
            <w:tcW w:w="1417" w:type="dxa"/>
            <w:tcBorders>
              <w:top w:val="single" w:sz="4" w:space="0" w:color="17365D"/>
              <w:left w:val="nil"/>
              <w:bottom w:val="single" w:sz="4" w:space="0" w:color="17365D"/>
              <w:right w:val="nil"/>
            </w:tcBorders>
            <w:shd w:val="clear" w:color="auto" w:fill="auto"/>
            <w:vAlign w:val="center"/>
          </w:tcPr>
          <w:p w14:paraId="18763152" w14:textId="2691F0D4" w:rsidR="00DF1D35" w:rsidRPr="00DF1D35" w:rsidRDefault="00DF1D35" w:rsidP="00DF1D35">
            <w:pPr>
              <w:spacing w:after="0" w:line="240" w:lineRule="auto"/>
              <w:jc w:val="right"/>
              <w:rPr>
                <w:color w:val="17365D"/>
                <w:sz w:val="18"/>
                <w:szCs w:val="18"/>
              </w:rPr>
            </w:pPr>
            <w:r w:rsidRPr="00DF1D35">
              <w:rPr>
                <w:color w:val="17365D"/>
                <w:sz w:val="18"/>
                <w:szCs w:val="18"/>
              </w:rPr>
              <w:t>5 260</w:t>
            </w:r>
          </w:p>
        </w:tc>
        <w:tc>
          <w:tcPr>
            <w:tcW w:w="1134" w:type="dxa"/>
            <w:tcBorders>
              <w:top w:val="single" w:sz="4" w:space="0" w:color="17365D"/>
              <w:left w:val="nil"/>
              <w:bottom w:val="single" w:sz="4" w:space="0" w:color="17365D"/>
              <w:right w:val="nil"/>
            </w:tcBorders>
            <w:shd w:val="clear" w:color="auto" w:fill="auto"/>
            <w:vAlign w:val="center"/>
          </w:tcPr>
          <w:p w14:paraId="094ED5E2" w14:textId="2F51E81B" w:rsidR="00DF1D35" w:rsidRPr="00DF1D35" w:rsidRDefault="00DF1D35" w:rsidP="00DF1D35">
            <w:pPr>
              <w:spacing w:after="0" w:line="240" w:lineRule="auto"/>
              <w:jc w:val="right"/>
              <w:rPr>
                <w:color w:val="17365D"/>
                <w:sz w:val="18"/>
                <w:szCs w:val="18"/>
              </w:rPr>
            </w:pPr>
            <w:r w:rsidRPr="00DF1D35">
              <w:rPr>
                <w:color w:val="17365D"/>
                <w:sz w:val="18"/>
                <w:szCs w:val="18"/>
              </w:rPr>
              <w:t>2 730</w:t>
            </w:r>
          </w:p>
        </w:tc>
        <w:tc>
          <w:tcPr>
            <w:tcW w:w="1134" w:type="dxa"/>
            <w:tcBorders>
              <w:top w:val="single" w:sz="4" w:space="0" w:color="17365D"/>
              <w:left w:val="nil"/>
              <w:bottom w:val="single" w:sz="4" w:space="0" w:color="17365D"/>
              <w:right w:val="nil"/>
            </w:tcBorders>
            <w:shd w:val="clear" w:color="auto" w:fill="auto"/>
            <w:vAlign w:val="center"/>
          </w:tcPr>
          <w:p w14:paraId="306FF055" w14:textId="26155690" w:rsidR="00DF1D35" w:rsidRPr="00DF1D35" w:rsidRDefault="00DF1D35" w:rsidP="00DF1D35">
            <w:pPr>
              <w:spacing w:after="0" w:line="240" w:lineRule="auto"/>
              <w:jc w:val="right"/>
              <w:rPr>
                <w:color w:val="17365D"/>
                <w:sz w:val="18"/>
                <w:szCs w:val="18"/>
              </w:rPr>
            </w:pPr>
            <w:r w:rsidRPr="00DF1D35">
              <w:rPr>
                <w:color w:val="17365D"/>
                <w:sz w:val="18"/>
                <w:szCs w:val="18"/>
              </w:rPr>
              <w:t>0</w:t>
            </w:r>
          </w:p>
        </w:tc>
        <w:tc>
          <w:tcPr>
            <w:tcW w:w="1134" w:type="dxa"/>
            <w:tcBorders>
              <w:top w:val="single" w:sz="4" w:space="0" w:color="17365D"/>
              <w:left w:val="nil"/>
              <w:bottom w:val="single" w:sz="4" w:space="0" w:color="17365D"/>
              <w:right w:val="nil"/>
            </w:tcBorders>
            <w:shd w:val="clear" w:color="auto" w:fill="auto"/>
            <w:vAlign w:val="center"/>
          </w:tcPr>
          <w:p w14:paraId="5163AD51" w14:textId="5F811B61" w:rsidR="00DF1D35" w:rsidRPr="00DF1D35" w:rsidRDefault="00DF1D35" w:rsidP="00DF1D35">
            <w:pPr>
              <w:spacing w:after="0" w:line="240" w:lineRule="auto"/>
              <w:jc w:val="right"/>
              <w:rPr>
                <w:color w:val="17365D"/>
                <w:sz w:val="18"/>
                <w:szCs w:val="18"/>
              </w:rPr>
            </w:pPr>
            <w:r w:rsidRPr="00DF1D35">
              <w:rPr>
                <w:color w:val="17365D"/>
                <w:sz w:val="18"/>
                <w:szCs w:val="18"/>
              </w:rPr>
              <w:t>0</w:t>
            </w:r>
          </w:p>
        </w:tc>
        <w:tc>
          <w:tcPr>
            <w:tcW w:w="1116" w:type="dxa"/>
            <w:tcBorders>
              <w:top w:val="single" w:sz="4" w:space="0" w:color="17365D"/>
              <w:left w:val="nil"/>
              <w:bottom w:val="single" w:sz="4" w:space="0" w:color="17365D"/>
              <w:right w:val="nil"/>
            </w:tcBorders>
            <w:shd w:val="clear" w:color="auto" w:fill="auto"/>
            <w:vAlign w:val="center"/>
          </w:tcPr>
          <w:p w14:paraId="77FCDE5B" w14:textId="79A85C6A" w:rsidR="00DF1D35" w:rsidRPr="00DF1D35" w:rsidRDefault="00DF1D35" w:rsidP="00DF1D35">
            <w:pPr>
              <w:spacing w:after="0" w:line="240" w:lineRule="auto"/>
              <w:jc w:val="right"/>
              <w:rPr>
                <w:color w:val="17365D"/>
                <w:sz w:val="18"/>
                <w:szCs w:val="18"/>
              </w:rPr>
            </w:pPr>
            <w:r w:rsidRPr="00DF1D35">
              <w:rPr>
                <w:color w:val="17365D"/>
                <w:sz w:val="18"/>
                <w:szCs w:val="18"/>
              </w:rPr>
              <w:t>5 213</w:t>
            </w:r>
          </w:p>
        </w:tc>
      </w:tr>
      <w:tr w:rsidR="00DF1D35" w:rsidRPr="00A27896" w14:paraId="375D76F5" w14:textId="77777777" w:rsidTr="009A4177">
        <w:trPr>
          <w:trHeight w:val="218"/>
        </w:trPr>
        <w:tc>
          <w:tcPr>
            <w:tcW w:w="2198" w:type="dxa"/>
            <w:tcBorders>
              <w:top w:val="single" w:sz="4" w:space="0" w:color="17365D"/>
              <w:left w:val="nil"/>
              <w:bottom w:val="single" w:sz="4" w:space="0" w:color="17365D"/>
              <w:right w:val="nil"/>
            </w:tcBorders>
            <w:shd w:val="clear" w:color="auto" w:fill="auto"/>
            <w:vAlign w:val="center"/>
            <w:hideMark/>
          </w:tcPr>
          <w:p w14:paraId="6BF9A89B" w14:textId="49B2F93B"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pamatlīdzekļi</w:t>
            </w:r>
          </w:p>
        </w:tc>
        <w:tc>
          <w:tcPr>
            <w:tcW w:w="1223" w:type="dxa"/>
            <w:tcBorders>
              <w:top w:val="single" w:sz="4" w:space="0" w:color="17365D"/>
              <w:left w:val="nil"/>
              <w:bottom w:val="single" w:sz="4" w:space="0" w:color="17365D"/>
              <w:right w:val="nil"/>
            </w:tcBorders>
            <w:shd w:val="clear" w:color="auto" w:fill="auto"/>
            <w:vAlign w:val="center"/>
          </w:tcPr>
          <w:p w14:paraId="63C62091" w14:textId="5A152D3D" w:rsidR="00DF1D35" w:rsidRPr="00DF1D35" w:rsidRDefault="00DF1D35" w:rsidP="00DF1D35">
            <w:pPr>
              <w:spacing w:after="0" w:line="240" w:lineRule="auto"/>
              <w:jc w:val="right"/>
              <w:rPr>
                <w:color w:val="17365D"/>
                <w:sz w:val="18"/>
                <w:szCs w:val="18"/>
              </w:rPr>
            </w:pPr>
            <w:r w:rsidRPr="00DF1D35">
              <w:rPr>
                <w:color w:val="17365D"/>
                <w:sz w:val="18"/>
                <w:szCs w:val="18"/>
              </w:rPr>
              <w:t>901 037</w:t>
            </w:r>
          </w:p>
        </w:tc>
        <w:tc>
          <w:tcPr>
            <w:tcW w:w="1417" w:type="dxa"/>
            <w:tcBorders>
              <w:top w:val="single" w:sz="4" w:space="0" w:color="17365D"/>
              <w:left w:val="nil"/>
              <w:bottom w:val="single" w:sz="4" w:space="0" w:color="17365D"/>
              <w:right w:val="nil"/>
            </w:tcBorders>
            <w:shd w:val="clear" w:color="auto" w:fill="auto"/>
            <w:vAlign w:val="center"/>
          </w:tcPr>
          <w:p w14:paraId="42DC47FF" w14:textId="24B4625B" w:rsidR="00DF1D35" w:rsidRPr="00DF1D35" w:rsidRDefault="00DF1D35" w:rsidP="00DF1D35">
            <w:pPr>
              <w:spacing w:after="0" w:line="240" w:lineRule="auto"/>
              <w:jc w:val="right"/>
              <w:rPr>
                <w:color w:val="17365D"/>
                <w:sz w:val="18"/>
                <w:szCs w:val="18"/>
              </w:rPr>
            </w:pPr>
            <w:r w:rsidRPr="00DF1D35">
              <w:rPr>
                <w:color w:val="17365D"/>
                <w:sz w:val="18"/>
                <w:szCs w:val="18"/>
              </w:rPr>
              <w:t>868 704</w:t>
            </w:r>
          </w:p>
        </w:tc>
        <w:tc>
          <w:tcPr>
            <w:tcW w:w="1134" w:type="dxa"/>
            <w:tcBorders>
              <w:top w:val="single" w:sz="4" w:space="0" w:color="17365D"/>
              <w:left w:val="nil"/>
              <w:bottom w:val="single" w:sz="4" w:space="0" w:color="17365D"/>
              <w:right w:val="nil"/>
            </w:tcBorders>
            <w:shd w:val="clear" w:color="auto" w:fill="auto"/>
            <w:vAlign w:val="center"/>
          </w:tcPr>
          <w:p w14:paraId="17C2DC01" w14:textId="79F877DA" w:rsidR="00DF1D35" w:rsidRPr="00DF1D35" w:rsidRDefault="00DF1D35" w:rsidP="00DF1D35">
            <w:pPr>
              <w:spacing w:after="0" w:line="240" w:lineRule="auto"/>
              <w:jc w:val="right"/>
              <w:rPr>
                <w:color w:val="17365D"/>
                <w:sz w:val="18"/>
                <w:szCs w:val="18"/>
              </w:rPr>
            </w:pPr>
            <w:r w:rsidRPr="00DF1D35">
              <w:rPr>
                <w:color w:val="17365D"/>
                <w:sz w:val="18"/>
                <w:szCs w:val="18"/>
              </w:rPr>
              <w:t>296 269</w:t>
            </w:r>
          </w:p>
        </w:tc>
        <w:tc>
          <w:tcPr>
            <w:tcW w:w="1134" w:type="dxa"/>
            <w:tcBorders>
              <w:top w:val="single" w:sz="4" w:space="0" w:color="17365D"/>
              <w:left w:val="nil"/>
              <w:bottom w:val="single" w:sz="4" w:space="0" w:color="17365D"/>
              <w:right w:val="nil"/>
            </w:tcBorders>
            <w:shd w:val="clear" w:color="auto" w:fill="auto"/>
            <w:vAlign w:val="center"/>
          </w:tcPr>
          <w:p w14:paraId="297EC817" w14:textId="3B7391ED" w:rsidR="00DF1D35" w:rsidRPr="00DF1D35" w:rsidRDefault="00DF1D35" w:rsidP="00DF1D35">
            <w:pPr>
              <w:spacing w:after="0" w:line="240" w:lineRule="auto"/>
              <w:jc w:val="right"/>
              <w:rPr>
                <w:color w:val="17365D"/>
                <w:sz w:val="18"/>
                <w:szCs w:val="18"/>
              </w:rPr>
            </w:pPr>
            <w:r w:rsidRPr="00DF1D35">
              <w:rPr>
                <w:color w:val="17365D"/>
                <w:sz w:val="18"/>
                <w:szCs w:val="18"/>
              </w:rPr>
              <w:t>293 870</w:t>
            </w:r>
          </w:p>
        </w:tc>
        <w:tc>
          <w:tcPr>
            <w:tcW w:w="1134" w:type="dxa"/>
            <w:tcBorders>
              <w:top w:val="single" w:sz="4" w:space="0" w:color="17365D"/>
              <w:left w:val="nil"/>
              <w:bottom w:val="single" w:sz="4" w:space="0" w:color="17365D"/>
              <w:right w:val="nil"/>
            </w:tcBorders>
            <w:shd w:val="clear" w:color="auto" w:fill="auto"/>
            <w:vAlign w:val="center"/>
          </w:tcPr>
          <w:p w14:paraId="7FCED6E5" w14:textId="5A403501" w:rsidR="00DF1D35" w:rsidRPr="00DF1D35" w:rsidRDefault="00DF1D35" w:rsidP="00DF1D35">
            <w:pPr>
              <w:spacing w:after="0" w:line="240" w:lineRule="auto"/>
              <w:jc w:val="right"/>
              <w:rPr>
                <w:color w:val="17365D"/>
                <w:sz w:val="18"/>
                <w:szCs w:val="18"/>
              </w:rPr>
            </w:pPr>
            <w:r w:rsidRPr="00DF1D35">
              <w:rPr>
                <w:color w:val="17365D"/>
                <w:sz w:val="18"/>
                <w:szCs w:val="18"/>
              </w:rPr>
              <w:t>226 583</w:t>
            </w:r>
          </w:p>
        </w:tc>
        <w:tc>
          <w:tcPr>
            <w:tcW w:w="1116" w:type="dxa"/>
            <w:tcBorders>
              <w:top w:val="single" w:sz="4" w:space="0" w:color="17365D"/>
              <w:left w:val="nil"/>
              <w:bottom w:val="single" w:sz="4" w:space="0" w:color="17365D"/>
              <w:right w:val="nil"/>
            </w:tcBorders>
            <w:shd w:val="clear" w:color="auto" w:fill="auto"/>
            <w:vAlign w:val="center"/>
          </w:tcPr>
          <w:p w14:paraId="3D170667" w14:textId="2A63E48F" w:rsidR="00DF1D35" w:rsidRPr="00DF1D35" w:rsidRDefault="00DF1D35" w:rsidP="00DF1D35">
            <w:pPr>
              <w:spacing w:after="0" w:line="240" w:lineRule="auto"/>
              <w:jc w:val="right"/>
              <w:rPr>
                <w:color w:val="17365D"/>
                <w:sz w:val="18"/>
                <w:szCs w:val="18"/>
              </w:rPr>
            </w:pPr>
            <w:r w:rsidRPr="00DF1D35">
              <w:rPr>
                <w:color w:val="17365D"/>
                <w:sz w:val="18"/>
                <w:szCs w:val="18"/>
              </w:rPr>
              <w:t>848 033</w:t>
            </w:r>
          </w:p>
        </w:tc>
      </w:tr>
      <w:tr w:rsidR="00DF1D35" w:rsidRPr="00A27896" w14:paraId="2EF3BD9D" w14:textId="77777777" w:rsidTr="009A4177">
        <w:trPr>
          <w:trHeight w:val="263"/>
        </w:trPr>
        <w:tc>
          <w:tcPr>
            <w:tcW w:w="2198" w:type="dxa"/>
            <w:tcBorders>
              <w:top w:val="single" w:sz="4" w:space="0" w:color="17365D"/>
              <w:left w:val="nil"/>
              <w:bottom w:val="single" w:sz="4" w:space="0" w:color="17365D"/>
              <w:right w:val="nil"/>
            </w:tcBorders>
            <w:shd w:val="clear" w:color="auto" w:fill="auto"/>
            <w:vAlign w:val="center"/>
            <w:hideMark/>
          </w:tcPr>
          <w:p w14:paraId="17A9712B" w14:textId="1663BCBD"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1223" w:type="dxa"/>
            <w:tcBorders>
              <w:top w:val="single" w:sz="4" w:space="0" w:color="17365D"/>
              <w:left w:val="nil"/>
              <w:bottom w:val="single" w:sz="4" w:space="0" w:color="17365D"/>
              <w:right w:val="nil"/>
            </w:tcBorders>
            <w:shd w:val="clear" w:color="auto" w:fill="auto"/>
            <w:vAlign w:val="center"/>
          </w:tcPr>
          <w:p w14:paraId="5A674221" w14:textId="620852D2" w:rsidR="00DF1D35" w:rsidRPr="00DF1D35" w:rsidRDefault="00DF1D35" w:rsidP="00DF1D35">
            <w:pPr>
              <w:spacing w:after="0" w:line="240" w:lineRule="auto"/>
              <w:jc w:val="right"/>
              <w:rPr>
                <w:color w:val="17365D"/>
                <w:sz w:val="18"/>
                <w:szCs w:val="18"/>
              </w:rPr>
            </w:pPr>
            <w:r w:rsidRPr="00DF1D35">
              <w:rPr>
                <w:color w:val="17365D"/>
                <w:sz w:val="18"/>
                <w:szCs w:val="18"/>
              </w:rPr>
              <w:t>32 231 325</w:t>
            </w:r>
          </w:p>
        </w:tc>
        <w:tc>
          <w:tcPr>
            <w:tcW w:w="1417" w:type="dxa"/>
            <w:tcBorders>
              <w:top w:val="single" w:sz="4" w:space="0" w:color="17365D"/>
              <w:left w:val="nil"/>
              <w:bottom w:val="single" w:sz="4" w:space="0" w:color="17365D"/>
              <w:right w:val="nil"/>
            </w:tcBorders>
            <w:shd w:val="clear" w:color="auto" w:fill="auto"/>
            <w:vAlign w:val="center"/>
          </w:tcPr>
          <w:p w14:paraId="4660DF14" w14:textId="5CA8AA49" w:rsidR="00DF1D35" w:rsidRPr="00DF1D35" w:rsidRDefault="00DF1D35" w:rsidP="00DF1D35">
            <w:pPr>
              <w:spacing w:after="0" w:line="240" w:lineRule="auto"/>
              <w:jc w:val="right"/>
              <w:rPr>
                <w:color w:val="17365D"/>
                <w:sz w:val="18"/>
                <w:szCs w:val="18"/>
              </w:rPr>
            </w:pPr>
            <w:r w:rsidRPr="00DF1D35">
              <w:rPr>
                <w:color w:val="17365D"/>
                <w:sz w:val="18"/>
                <w:szCs w:val="18"/>
              </w:rPr>
              <w:t>11 230 184</w:t>
            </w:r>
          </w:p>
        </w:tc>
        <w:tc>
          <w:tcPr>
            <w:tcW w:w="1134" w:type="dxa"/>
            <w:tcBorders>
              <w:top w:val="single" w:sz="4" w:space="0" w:color="17365D"/>
              <w:left w:val="nil"/>
              <w:bottom w:val="single" w:sz="4" w:space="0" w:color="17365D"/>
              <w:right w:val="nil"/>
            </w:tcBorders>
            <w:shd w:val="clear" w:color="auto" w:fill="auto"/>
            <w:vAlign w:val="center"/>
          </w:tcPr>
          <w:p w14:paraId="0D5ADC1C" w14:textId="1659FAB8" w:rsidR="00DF1D35" w:rsidRPr="00DF1D35" w:rsidRDefault="00DF1D35" w:rsidP="00DF1D35">
            <w:pPr>
              <w:spacing w:after="0" w:line="240" w:lineRule="auto"/>
              <w:jc w:val="right"/>
              <w:rPr>
                <w:color w:val="17365D"/>
                <w:sz w:val="18"/>
                <w:szCs w:val="18"/>
              </w:rPr>
            </w:pPr>
            <w:r w:rsidRPr="00DF1D35">
              <w:rPr>
                <w:color w:val="17365D"/>
                <w:sz w:val="18"/>
                <w:szCs w:val="18"/>
              </w:rPr>
              <w:t>2 724 757</w:t>
            </w:r>
          </w:p>
        </w:tc>
        <w:tc>
          <w:tcPr>
            <w:tcW w:w="1134" w:type="dxa"/>
            <w:tcBorders>
              <w:top w:val="single" w:sz="4" w:space="0" w:color="17365D"/>
              <w:left w:val="nil"/>
              <w:bottom w:val="single" w:sz="4" w:space="0" w:color="17365D"/>
              <w:right w:val="nil"/>
            </w:tcBorders>
            <w:shd w:val="clear" w:color="auto" w:fill="auto"/>
            <w:vAlign w:val="center"/>
          </w:tcPr>
          <w:p w14:paraId="71BAC97A" w14:textId="735013B7" w:rsidR="00DF1D35" w:rsidRPr="00DF1D35" w:rsidRDefault="00DF1D35" w:rsidP="00DF1D35">
            <w:pPr>
              <w:spacing w:after="0" w:line="240" w:lineRule="auto"/>
              <w:jc w:val="right"/>
              <w:rPr>
                <w:color w:val="17365D"/>
                <w:sz w:val="18"/>
                <w:szCs w:val="18"/>
              </w:rPr>
            </w:pPr>
            <w:r w:rsidRPr="00DF1D35">
              <w:rPr>
                <w:color w:val="17365D"/>
                <w:sz w:val="18"/>
                <w:szCs w:val="18"/>
              </w:rPr>
              <w:t>2 331 226</w:t>
            </w:r>
          </w:p>
        </w:tc>
        <w:tc>
          <w:tcPr>
            <w:tcW w:w="1134" w:type="dxa"/>
            <w:tcBorders>
              <w:top w:val="single" w:sz="4" w:space="0" w:color="17365D"/>
              <w:left w:val="nil"/>
              <w:bottom w:val="single" w:sz="4" w:space="0" w:color="17365D"/>
              <w:right w:val="nil"/>
            </w:tcBorders>
            <w:shd w:val="clear" w:color="auto" w:fill="auto"/>
            <w:vAlign w:val="center"/>
          </w:tcPr>
          <w:p w14:paraId="25D04D13" w14:textId="4EEF24DF" w:rsidR="00DF1D35" w:rsidRPr="00DF1D35" w:rsidRDefault="00DF1D35" w:rsidP="00DF1D35">
            <w:pPr>
              <w:spacing w:after="0" w:line="240" w:lineRule="auto"/>
              <w:jc w:val="right"/>
              <w:rPr>
                <w:color w:val="17365D"/>
                <w:sz w:val="18"/>
                <w:szCs w:val="18"/>
              </w:rPr>
            </w:pPr>
            <w:r w:rsidRPr="00DF1D35">
              <w:rPr>
                <w:color w:val="17365D"/>
                <w:sz w:val="18"/>
                <w:szCs w:val="18"/>
              </w:rPr>
              <w:t>2 331 226</w:t>
            </w:r>
          </w:p>
        </w:tc>
        <w:tc>
          <w:tcPr>
            <w:tcW w:w="1116" w:type="dxa"/>
            <w:tcBorders>
              <w:top w:val="single" w:sz="4" w:space="0" w:color="17365D"/>
              <w:left w:val="nil"/>
              <w:bottom w:val="single" w:sz="4" w:space="0" w:color="17365D"/>
              <w:right w:val="nil"/>
            </w:tcBorders>
            <w:shd w:val="clear" w:color="auto" w:fill="auto"/>
            <w:vAlign w:val="center"/>
          </w:tcPr>
          <w:p w14:paraId="4329A034" w14:textId="3C6894FF" w:rsidR="00DF1D35" w:rsidRPr="00DF1D35" w:rsidRDefault="00DF1D35" w:rsidP="00DF1D35">
            <w:pPr>
              <w:spacing w:after="0" w:line="240" w:lineRule="auto"/>
              <w:jc w:val="right"/>
              <w:rPr>
                <w:color w:val="17365D"/>
                <w:sz w:val="18"/>
                <w:szCs w:val="18"/>
              </w:rPr>
            </w:pPr>
            <w:r w:rsidRPr="00DF1D35">
              <w:rPr>
                <w:color w:val="17365D"/>
                <w:sz w:val="18"/>
                <w:szCs w:val="18"/>
              </w:rPr>
              <w:t>10 836 652</w:t>
            </w:r>
          </w:p>
        </w:tc>
      </w:tr>
      <w:tr w:rsidR="00DF1D35" w:rsidRPr="00A27896" w14:paraId="22E0FF3D" w14:textId="77777777" w:rsidTr="009A4177">
        <w:trPr>
          <w:trHeight w:val="263"/>
        </w:trPr>
        <w:tc>
          <w:tcPr>
            <w:tcW w:w="2198" w:type="dxa"/>
            <w:tcBorders>
              <w:top w:val="single" w:sz="4" w:space="0" w:color="17365D"/>
              <w:left w:val="nil"/>
              <w:bottom w:val="single" w:sz="4" w:space="0" w:color="17365D"/>
              <w:right w:val="nil"/>
            </w:tcBorders>
            <w:shd w:val="clear" w:color="auto" w:fill="auto"/>
            <w:vAlign w:val="center"/>
          </w:tcPr>
          <w:p w14:paraId="57BDF7E4" w14:textId="4FE5920D" w:rsidR="00DF1D35" w:rsidRPr="00A27896" w:rsidRDefault="00DF1D35" w:rsidP="00DF1D35">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Apgrozāmie līdzekļi</w:t>
            </w:r>
          </w:p>
        </w:tc>
        <w:tc>
          <w:tcPr>
            <w:tcW w:w="1223" w:type="dxa"/>
            <w:tcBorders>
              <w:top w:val="single" w:sz="4" w:space="0" w:color="17365D"/>
              <w:left w:val="nil"/>
              <w:bottom w:val="single" w:sz="4" w:space="0" w:color="17365D"/>
              <w:right w:val="nil"/>
            </w:tcBorders>
            <w:shd w:val="clear" w:color="auto" w:fill="auto"/>
            <w:vAlign w:val="center"/>
          </w:tcPr>
          <w:p w14:paraId="2DDBC716" w14:textId="39FEE61C" w:rsidR="00DF1D35" w:rsidRPr="00DF1D35" w:rsidRDefault="00DF1D35" w:rsidP="00DF1D35">
            <w:pPr>
              <w:spacing w:after="0" w:line="240" w:lineRule="auto"/>
              <w:jc w:val="right"/>
              <w:rPr>
                <w:b/>
                <w:bCs/>
                <w:color w:val="17365D"/>
                <w:sz w:val="18"/>
                <w:szCs w:val="18"/>
              </w:rPr>
            </w:pPr>
            <w:r w:rsidRPr="00DF1D35">
              <w:rPr>
                <w:b/>
                <w:bCs/>
                <w:color w:val="17365D"/>
                <w:sz w:val="18"/>
                <w:szCs w:val="18"/>
              </w:rPr>
              <w:t>75 422</w:t>
            </w:r>
          </w:p>
        </w:tc>
        <w:tc>
          <w:tcPr>
            <w:tcW w:w="1417" w:type="dxa"/>
            <w:tcBorders>
              <w:top w:val="single" w:sz="4" w:space="0" w:color="17365D"/>
              <w:left w:val="nil"/>
              <w:bottom w:val="single" w:sz="4" w:space="0" w:color="17365D"/>
              <w:right w:val="nil"/>
            </w:tcBorders>
            <w:shd w:val="clear" w:color="auto" w:fill="auto"/>
            <w:vAlign w:val="center"/>
          </w:tcPr>
          <w:p w14:paraId="637167FD" w14:textId="48A43188" w:rsidR="00DF1D35" w:rsidRPr="00DF1D35" w:rsidRDefault="00DF1D35" w:rsidP="00DF1D35">
            <w:pPr>
              <w:spacing w:after="0" w:line="240" w:lineRule="auto"/>
              <w:jc w:val="right"/>
              <w:rPr>
                <w:b/>
                <w:bCs/>
                <w:color w:val="17365D"/>
                <w:sz w:val="18"/>
                <w:szCs w:val="18"/>
              </w:rPr>
            </w:pPr>
            <w:r w:rsidRPr="00DF1D35">
              <w:rPr>
                <w:b/>
                <w:bCs/>
                <w:color w:val="17365D"/>
                <w:sz w:val="18"/>
                <w:szCs w:val="18"/>
              </w:rPr>
              <w:t>1 133 216</w:t>
            </w:r>
          </w:p>
        </w:tc>
        <w:tc>
          <w:tcPr>
            <w:tcW w:w="1134" w:type="dxa"/>
            <w:tcBorders>
              <w:top w:val="single" w:sz="4" w:space="0" w:color="17365D"/>
              <w:left w:val="nil"/>
              <w:bottom w:val="single" w:sz="4" w:space="0" w:color="17365D"/>
              <w:right w:val="nil"/>
            </w:tcBorders>
            <w:shd w:val="clear" w:color="auto" w:fill="auto"/>
            <w:vAlign w:val="center"/>
          </w:tcPr>
          <w:p w14:paraId="10AF3C50" w14:textId="364CD2B1" w:rsidR="00DF1D35" w:rsidRPr="00DF1D35" w:rsidRDefault="00DF1D35" w:rsidP="00DF1D35">
            <w:pPr>
              <w:spacing w:after="0" w:line="240" w:lineRule="auto"/>
              <w:jc w:val="right"/>
              <w:rPr>
                <w:b/>
                <w:bCs/>
                <w:color w:val="17365D"/>
                <w:sz w:val="18"/>
                <w:szCs w:val="18"/>
              </w:rPr>
            </w:pPr>
            <w:r w:rsidRPr="00DF1D35">
              <w:rPr>
                <w:b/>
                <w:bCs/>
                <w:color w:val="17365D"/>
                <w:sz w:val="18"/>
                <w:szCs w:val="18"/>
              </w:rPr>
              <w:t>189 172</w:t>
            </w:r>
          </w:p>
        </w:tc>
        <w:tc>
          <w:tcPr>
            <w:tcW w:w="1134" w:type="dxa"/>
            <w:tcBorders>
              <w:top w:val="single" w:sz="4" w:space="0" w:color="17365D"/>
              <w:left w:val="nil"/>
              <w:bottom w:val="single" w:sz="4" w:space="0" w:color="17365D"/>
              <w:right w:val="nil"/>
            </w:tcBorders>
            <w:shd w:val="clear" w:color="auto" w:fill="auto"/>
            <w:vAlign w:val="center"/>
          </w:tcPr>
          <w:p w14:paraId="2DA99604" w14:textId="5485A095" w:rsidR="00DF1D35" w:rsidRPr="00DF1D35" w:rsidRDefault="00DF1D35" w:rsidP="00DF1D35">
            <w:pPr>
              <w:spacing w:after="0" w:line="240" w:lineRule="auto"/>
              <w:jc w:val="right"/>
              <w:rPr>
                <w:b/>
                <w:bCs/>
                <w:color w:val="17365D"/>
                <w:sz w:val="18"/>
                <w:szCs w:val="18"/>
              </w:rPr>
            </w:pPr>
            <w:r w:rsidRPr="00DF1D35">
              <w:rPr>
                <w:b/>
                <w:bCs/>
                <w:color w:val="17365D"/>
                <w:sz w:val="18"/>
                <w:szCs w:val="18"/>
              </w:rPr>
              <w:t>185 972</w:t>
            </w:r>
          </w:p>
        </w:tc>
        <w:tc>
          <w:tcPr>
            <w:tcW w:w="1134" w:type="dxa"/>
            <w:tcBorders>
              <w:top w:val="single" w:sz="4" w:space="0" w:color="17365D"/>
              <w:left w:val="nil"/>
              <w:bottom w:val="single" w:sz="4" w:space="0" w:color="17365D"/>
              <w:right w:val="nil"/>
            </w:tcBorders>
            <w:shd w:val="clear" w:color="auto" w:fill="auto"/>
            <w:vAlign w:val="center"/>
          </w:tcPr>
          <w:p w14:paraId="5DECDFD5" w14:textId="141F2FDB" w:rsidR="00DF1D35" w:rsidRPr="00DF1D35" w:rsidRDefault="00DF1D35" w:rsidP="00DF1D35">
            <w:pPr>
              <w:spacing w:after="0" w:line="240" w:lineRule="auto"/>
              <w:jc w:val="right"/>
              <w:rPr>
                <w:b/>
                <w:bCs/>
                <w:color w:val="17365D"/>
                <w:sz w:val="18"/>
                <w:szCs w:val="18"/>
              </w:rPr>
            </w:pPr>
            <w:r w:rsidRPr="00DF1D35">
              <w:rPr>
                <w:b/>
                <w:bCs/>
                <w:color w:val="17365D"/>
                <w:sz w:val="18"/>
                <w:szCs w:val="18"/>
              </w:rPr>
              <w:t>185 370</w:t>
            </w:r>
          </w:p>
        </w:tc>
        <w:tc>
          <w:tcPr>
            <w:tcW w:w="1116" w:type="dxa"/>
            <w:tcBorders>
              <w:top w:val="single" w:sz="4" w:space="0" w:color="17365D"/>
              <w:left w:val="nil"/>
              <w:bottom w:val="single" w:sz="4" w:space="0" w:color="17365D"/>
              <w:right w:val="nil"/>
            </w:tcBorders>
            <w:shd w:val="clear" w:color="auto" w:fill="auto"/>
            <w:vAlign w:val="center"/>
          </w:tcPr>
          <w:p w14:paraId="6353DA0D" w14:textId="1EFA6927" w:rsidR="00DF1D35" w:rsidRPr="00DF1D35" w:rsidRDefault="00DF1D35" w:rsidP="00DF1D35">
            <w:pPr>
              <w:spacing w:after="0" w:line="240" w:lineRule="auto"/>
              <w:jc w:val="right"/>
              <w:rPr>
                <w:b/>
                <w:bCs/>
                <w:color w:val="17365D"/>
                <w:sz w:val="18"/>
                <w:szCs w:val="18"/>
              </w:rPr>
            </w:pPr>
            <w:r w:rsidRPr="00DF1D35">
              <w:rPr>
                <w:b/>
                <w:bCs/>
                <w:color w:val="17365D"/>
                <w:sz w:val="18"/>
                <w:szCs w:val="18"/>
              </w:rPr>
              <w:t>900 000</w:t>
            </w:r>
          </w:p>
        </w:tc>
      </w:tr>
      <w:tr w:rsidR="00DF1D35" w:rsidRPr="00A27896" w14:paraId="77DC02A0" w14:textId="77777777" w:rsidTr="009A4177">
        <w:trPr>
          <w:trHeight w:val="263"/>
        </w:trPr>
        <w:tc>
          <w:tcPr>
            <w:tcW w:w="2198" w:type="dxa"/>
            <w:tcBorders>
              <w:top w:val="single" w:sz="4" w:space="0" w:color="17365D"/>
              <w:left w:val="nil"/>
              <w:bottom w:val="single" w:sz="4" w:space="0" w:color="17365D"/>
              <w:right w:val="nil"/>
            </w:tcBorders>
            <w:shd w:val="clear" w:color="auto" w:fill="auto"/>
            <w:vAlign w:val="center"/>
          </w:tcPr>
          <w:p w14:paraId="2CAC8AD2" w14:textId="08B27231" w:rsidR="00DF1D35" w:rsidRPr="00A27896" w:rsidRDefault="00DF1D35" w:rsidP="00DF1D3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Inventārs</w:t>
            </w:r>
          </w:p>
        </w:tc>
        <w:tc>
          <w:tcPr>
            <w:tcW w:w="1223" w:type="dxa"/>
            <w:tcBorders>
              <w:top w:val="single" w:sz="4" w:space="0" w:color="17365D"/>
              <w:left w:val="nil"/>
              <w:bottom w:val="single" w:sz="4" w:space="0" w:color="17365D"/>
              <w:right w:val="nil"/>
            </w:tcBorders>
            <w:shd w:val="clear" w:color="auto" w:fill="auto"/>
            <w:vAlign w:val="center"/>
          </w:tcPr>
          <w:p w14:paraId="725674F3" w14:textId="6791BD4E" w:rsidR="00DF1D35" w:rsidRPr="00DF1D35" w:rsidRDefault="00DF1D35" w:rsidP="00DF1D35">
            <w:pPr>
              <w:spacing w:after="0" w:line="240" w:lineRule="auto"/>
              <w:jc w:val="right"/>
              <w:rPr>
                <w:color w:val="17365D"/>
                <w:sz w:val="18"/>
                <w:szCs w:val="18"/>
              </w:rPr>
            </w:pPr>
            <w:r w:rsidRPr="00DF1D35">
              <w:rPr>
                <w:color w:val="17365D"/>
                <w:sz w:val="18"/>
                <w:szCs w:val="18"/>
              </w:rPr>
              <w:t>75 422</w:t>
            </w:r>
          </w:p>
        </w:tc>
        <w:tc>
          <w:tcPr>
            <w:tcW w:w="1417" w:type="dxa"/>
            <w:tcBorders>
              <w:top w:val="single" w:sz="4" w:space="0" w:color="17365D"/>
              <w:left w:val="nil"/>
              <w:bottom w:val="single" w:sz="4" w:space="0" w:color="17365D"/>
              <w:right w:val="nil"/>
            </w:tcBorders>
            <w:shd w:val="clear" w:color="000000" w:fill="FFFFFF"/>
            <w:vAlign w:val="center"/>
          </w:tcPr>
          <w:p w14:paraId="79D1863C" w14:textId="062DA2FA" w:rsidR="00DF1D35" w:rsidRPr="00DF1D35" w:rsidRDefault="00DF1D35" w:rsidP="00DF1D35">
            <w:pPr>
              <w:spacing w:after="0" w:line="240" w:lineRule="auto"/>
              <w:jc w:val="right"/>
              <w:rPr>
                <w:color w:val="17365D"/>
                <w:sz w:val="18"/>
                <w:szCs w:val="18"/>
              </w:rPr>
            </w:pPr>
            <w:r w:rsidRPr="00DF1D35">
              <w:rPr>
                <w:color w:val="17365D"/>
                <w:sz w:val="18"/>
                <w:szCs w:val="18"/>
              </w:rPr>
              <w:t>1 133 216</w:t>
            </w:r>
          </w:p>
        </w:tc>
        <w:tc>
          <w:tcPr>
            <w:tcW w:w="1134" w:type="dxa"/>
            <w:tcBorders>
              <w:top w:val="single" w:sz="4" w:space="0" w:color="17365D"/>
              <w:left w:val="nil"/>
              <w:bottom w:val="single" w:sz="4" w:space="0" w:color="17365D"/>
              <w:right w:val="nil"/>
            </w:tcBorders>
            <w:shd w:val="clear" w:color="000000" w:fill="FFFFFF"/>
            <w:vAlign w:val="center"/>
          </w:tcPr>
          <w:p w14:paraId="7617A4A7" w14:textId="58ECF2E8" w:rsidR="00DF1D35" w:rsidRPr="00DF1D35" w:rsidRDefault="00DF1D35" w:rsidP="00DF1D35">
            <w:pPr>
              <w:spacing w:after="0" w:line="240" w:lineRule="auto"/>
              <w:jc w:val="right"/>
              <w:rPr>
                <w:color w:val="17365D"/>
                <w:sz w:val="18"/>
                <w:szCs w:val="18"/>
              </w:rPr>
            </w:pPr>
            <w:r w:rsidRPr="00DF1D35">
              <w:rPr>
                <w:color w:val="17365D"/>
                <w:sz w:val="18"/>
                <w:szCs w:val="18"/>
              </w:rPr>
              <w:t>189 172</w:t>
            </w:r>
          </w:p>
        </w:tc>
        <w:tc>
          <w:tcPr>
            <w:tcW w:w="1134" w:type="dxa"/>
            <w:tcBorders>
              <w:top w:val="single" w:sz="4" w:space="0" w:color="17365D"/>
              <w:left w:val="nil"/>
              <w:bottom w:val="single" w:sz="4" w:space="0" w:color="17365D"/>
              <w:right w:val="nil"/>
            </w:tcBorders>
            <w:shd w:val="clear" w:color="000000" w:fill="FFFFFF"/>
            <w:vAlign w:val="center"/>
          </w:tcPr>
          <w:p w14:paraId="04149A6D" w14:textId="5DD8E429" w:rsidR="00DF1D35" w:rsidRPr="00DF1D35" w:rsidRDefault="00DF1D35" w:rsidP="00DF1D35">
            <w:pPr>
              <w:spacing w:after="0" w:line="240" w:lineRule="auto"/>
              <w:jc w:val="right"/>
              <w:rPr>
                <w:color w:val="17365D"/>
                <w:sz w:val="18"/>
                <w:szCs w:val="18"/>
              </w:rPr>
            </w:pPr>
            <w:r w:rsidRPr="00DF1D35">
              <w:rPr>
                <w:color w:val="17365D"/>
                <w:sz w:val="18"/>
                <w:szCs w:val="18"/>
              </w:rPr>
              <w:t>185 972</w:t>
            </w:r>
          </w:p>
        </w:tc>
        <w:tc>
          <w:tcPr>
            <w:tcW w:w="1134" w:type="dxa"/>
            <w:tcBorders>
              <w:top w:val="single" w:sz="4" w:space="0" w:color="17365D"/>
              <w:left w:val="nil"/>
              <w:bottom w:val="single" w:sz="4" w:space="0" w:color="17365D"/>
              <w:right w:val="nil"/>
            </w:tcBorders>
            <w:shd w:val="clear" w:color="000000" w:fill="FFFFFF"/>
            <w:vAlign w:val="center"/>
          </w:tcPr>
          <w:p w14:paraId="2574EF89" w14:textId="32B4F62E" w:rsidR="00DF1D35" w:rsidRPr="00DF1D35" w:rsidRDefault="00DF1D35" w:rsidP="00DF1D35">
            <w:pPr>
              <w:spacing w:after="0" w:line="240" w:lineRule="auto"/>
              <w:jc w:val="right"/>
              <w:rPr>
                <w:color w:val="17365D"/>
                <w:sz w:val="18"/>
                <w:szCs w:val="18"/>
              </w:rPr>
            </w:pPr>
            <w:r w:rsidRPr="00DF1D35">
              <w:rPr>
                <w:color w:val="17365D"/>
                <w:sz w:val="18"/>
                <w:szCs w:val="18"/>
              </w:rPr>
              <w:t>185 370</w:t>
            </w:r>
          </w:p>
        </w:tc>
        <w:tc>
          <w:tcPr>
            <w:tcW w:w="1116" w:type="dxa"/>
            <w:tcBorders>
              <w:top w:val="single" w:sz="4" w:space="0" w:color="17365D"/>
              <w:left w:val="nil"/>
              <w:bottom w:val="single" w:sz="4" w:space="0" w:color="17365D"/>
              <w:right w:val="nil"/>
            </w:tcBorders>
            <w:shd w:val="clear" w:color="000000" w:fill="FFFFFF"/>
            <w:vAlign w:val="center"/>
          </w:tcPr>
          <w:p w14:paraId="12162D7E" w14:textId="5115D756" w:rsidR="00DF1D35" w:rsidRPr="00DF1D35" w:rsidRDefault="00DF1D35" w:rsidP="00DF1D35">
            <w:pPr>
              <w:spacing w:after="0" w:line="240" w:lineRule="auto"/>
              <w:jc w:val="right"/>
              <w:rPr>
                <w:color w:val="17365D"/>
                <w:sz w:val="18"/>
                <w:szCs w:val="18"/>
              </w:rPr>
            </w:pPr>
            <w:r w:rsidRPr="00DF1D35">
              <w:rPr>
                <w:color w:val="17365D"/>
                <w:sz w:val="18"/>
                <w:szCs w:val="18"/>
              </w:rPr>
              <w:t>900 000</w:t>
            </w:r>
          </w:p>
        </w:tc>
      </w:tr>
      <w:tr w:rsidR="000C1009" w:rsidRPr="00A27896" w14:paraId="5AC3D29A" w14:textId="77777777" w:rsidTr="009A4177">
        <w:trPr>
          <w:trHeight w:val="140"/>
        </w:trPr>
        <w:tc>
          <w:tcPr>
            <w:tcW w:w="2198" w:type="dxa"/>
            <w:tcBorders>
              <w:top w:val="single" w:sz="4" w:space="0" w:color="17365D"/>
            </w:tcBorders>
            <w:shd w:val="clear" w:color="000000" w:fill="B9CDE5"/>
            <w:vAlign w:val="center"/>
            <w:hideMark/>
          </w:tcPr>
          <w:p w14:paraId="4E5DBBBF" w14:textId="77777777" w:rsidR="00C52348" w:rsidRPr="00A27896" w:rsidRDefault="00C52348" w:rsidP="00F20D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23" w:type="dxa"/>
            <w:tcBorders>
              <w:top w:val="single" w:sz="4" w:space="0" w:color="17365D"/>
            </w:tcBorders>
            <w:shd w:val="clear" w:color="000000" w:fill="B9CDE5"/>
            <w:vAlign w:val="center"/>
            <w:hideMark/>
          </w:tcPr>
          <w:p w14:paraId="7CF85F88" w14:textId="77777777" w:rsidR="00C52348" w:rsidRPr="00A27896" w:rsidRDefault="00C52348" w:rsidP="00F20D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417" w:type="dxa"/>
            <w:tcBorders>
              <w:top w:val="single" w:sz="4" w:space="0" w:color="17365D"/>
            </w:tcBorders>
            <w:shd w:val="clear" w:color="000000" w:fill="B9CDE5"/>
            <w:noWrap/>
            <w:vAlign w:val="center"/>
            <w:hideMark/>
          </w:tcPr>
          <w:p w14:paraId="5F75D9BE" w14:textId="77777777" w:rsidR="00C52348" w:rsidRPr="00A27896" w:rsidRDefault="00C52348" w:rsidP="00F20D24">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tcBorders>
            <w:shd w:val="clear" w:color="000000" w:fill="B9CDE5"/>
            <w:noWrap/>
            <w:vAlign w:val="center"/>
            <w:hideMark/>
          </w:tcPr>
          <w:p w14:paraId="472F393F"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tcBorders>
            <w:shd w:val="clear" w:color="000000" w:fill="B9CDE5"/>
            <w:noWrap/>
            <w:vAlign w:val="center"/>
            <w:hideMark/>
          </w:tcPr>
          <w:p w14:paraId="79B3FCF3"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tcBorders>
            <w:shd w:val="clear" w:color="000000" w:fill="B9CDE5"/>
            <w:noWrap/>
            <w:vAlign w:val="center"/>
            <w:hideMark/>
          </w:tcPr>
          <w:p w14:paraId="08FBF908"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16" w:type="dxa"/>
            <w:tcBorders>
              <w:top w:val="single" w:sz="4" w:space="0" w:color="17365D"/>
            </w:tcBorders>
            <w:shd w:val="clear" w:color="000000" w:fill="B9CDE5"/>
            <w:noWrap/>
            <w:vAlign w:val="center"/>
            <w:hideMark/>
          </w:tcPr>
          <w:p w14:paraId="458D5A09"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3CA4A72D" w14:textId="10E3764D" w:rsidR="00C52348" w:rsidRPr="00A27896" w:rsidRDefault="00C52348" w:rsidP="005311E7">
      <w:pPr>
        <w:spacing w:after="0" w:line="240" w:lineRule="auto"/>
        <w:jc w:val="right"/>
        <w:rPr>
          <w:rFonts w:cs="Times New Roman"/>
          <w:i/>
          <w:color w:val="17365D"/>
          <w:sz w:val="16"/>
          <w:szCs w:val="24"/>
        </w:rPr>
      </w:pPr>
    </w:p>
    <w:p w14:paraId="0E3696EB" w14:textId="77777777" w:rsidR="0019458D" w:rsidRPr="00A27896" w:rsidRDefault="0019458D" w:rsidP="004368D0">
      <w:pPr>
        <w:pStyle w:val="Heading4"/>
        <w:spacing w:line="240" w:lineRule="auto"/>
        <w:rPr>
          <w:rFonts w:cs="Times New Roman"/>
        </w:rPr>
      </w:pPr>
      <w:r w:rsidRPr="00A27896">
        <w:rPr>
          <w:rFonts w:cs="Times New Roman"/>
        </w:rPr>
        <w:t>Piezīme Nr. V4. Informācija par operatīvo nomu</w:t>
      </w:r>
    </w:p>
    <w:p w14:paraId="0CE255D1" w14:textId="399BB08E" w:rsidR="007B7D77" w:rsidRPr="00A27896" w:rsidRDefault="007B7D77" w:rsidP="000D2C39">
      <w:pPr>
        <w:pStyle w:val="Heading5"/>
      </w:pPr>
      <w:r w:rsidRPr="00A27896">
        <w:t>Piezīme</w:t>
      </w:r>
      <w:r w:rsidR="00AC754B" w:rsidRPr="00A27896">
        <w:t xml:space="preserve"> Nr.</w:t>
      </w:r>
      <w:r w:rsidRPr="00A27896">
        <w:t xml:space="preserve"> V4. Informācija par operatīvajā nomā nodotajiem aktīviem un saņemamajiem maksājumiem</w:t>
      </w:r>
    </w:p>
    <w:p w14:paraId="58CB7835" w14:textId="7077DE44" w:rsidR="004071BD" w:rsidRPr="00A27896" w:rsidRDefault="004071BD" w:rsidP="002A2F6E">
      <w:pPr>
        <w:pStyle w:val="Pamatteksts1"/>
      </w:pPr>
      <w:r w:rsidRPr="00A27896">
        <w:t>Saskaņā ar ministriju, centrālo valsts iestāžu un pašvaldību sniegto informāciju par operatīvajā nomā nodotajiem aktīviem un saņemamajiem maksājumiem aktīv</w:t>
      </w:r>
      <w:r w:rsidR="007430C7" w:rsidRPr="00A27896">
        <w:t>u</w:t>
      </w:r>
      <w:r w:rsidRPr="00A27896">
        <w:t xml:space="preserve"> bilances vērtība pārskata perioda beigās ir </w:t>
      </w:r>
      <w:r w:rsidR="00A91188">
        <w:t>372,3 milj.</w:t>
      </w:r>
      <w:r w:rsidR="00A10ECB" w:rsidRPr="00CB6B88">
        <w:t xml:space="preserve"> </w:t>
      </w:r>
      <w:r w:rsidRPr="00CB6B88">
        <w:rPr>
          <w:i/>
        </w:rPr>
        <w:t>euro</w:t>
      </w:r>
      <w:r w:rsidRPr="00A27896">
        <w:t xml:space="preserve"> un tā sadalījumā pa aktīvu bilances posteņiem un saņ</w:t>
      </w:r>
      <w:r w:rsidR="007430C7" w:rsidRPr="00A27896">
        <w:t xml:space="preserve">emamiem maksājumiem norādīta </w:t>
      </w:r>
      <w:r w:rsidR="00095197">
        <w:t>1.</w:t>
      </w:r>
      <w:r w:rsidR="00F9248E" w:rsidRPr="00A27896">
        <w:t>2</w:t>
      </w:r>
      <w:r w:rsidR="00F128AB">
        <w:t>7</w:t>
      </w:r>
      <w:r w:rsidRPr="00A27896">
        <w:t>.tabulā:</w:t>
      </w:r>
    </w:p>
    <w:p w14:paraId="2DD22999" w14:textId="745C7022" w:rsidR="006F7CBB" w:rsidRPr="00D21EEC" w:rsidRDefault="002B5703" w:rsidP="00D21EEC">
      <w:pPr>
        <w:pStyle w:val="Tabnosauk"/>
        <w:ind w:firstLine="5245"/>
      </w:pPr>
      <w:r w:rsidRPr="00D21EEC">
        <w:t>1.</w:t>
      </w:r>
      <w:r w:rsidR="00F9248E" w:rsidRPr="00D21EEC">
        <w:t>2</w:t>
      </w:r>
      <w:r w:rsidR="00F128AB" w:rsidRPr="00D21EEC">
        <w:t>7</w:t>
      </w:r>
      <w:r w:rsidR="00743E0E" w:rsidRPr="00D21EEC">
        <w:t>. </w:t>
      </w:r>
      <w:r w:rsidR="006F7CBB" w:rsidRPr="00D21EEC">
        <w:t>tabula</w:t>
      </w:r>
      <w:r w:rsidR="003877C0" w:rsidRPr="00D21EEC">
        <w:t>.</w:t>
      </w:r>
      <w:r w:rsidR="006F7CBB" w:rsidRPr="00D21EEC">
        <w:t xml:space="preserve"> Informācija par operatīvajā nomā nodotajiem aktīviem un saņemamajiem maksājumiem (euro)</w:t>
      </w:r>
    </w:p>
    <w:tbl>
      <w:tblPr>
        <w:tblW w:w="5000" w:type="pct"/>
        <w:tblBorders>
          <w:insideH w:val="single" w:sz="4" w:space="0" w:color="17365D"/>
        </w:tblBorders>
        <w:tblLayout w:type="fixed"/>
        <w:tblLook w:val="04A0" w:firstRow="1" w:lastRow="0" w:firstColumn="1" w:lastColumn="0" w:noHBand="0" w:noVBand="1"/>
      </w:tblPr>
      <w:tblGrid>
        <w:gridCol w:w="2127"/>
        <w:gridCol w:w="1268"/>
        <w:gridCol w:w="1266"/>
        <w:gridCol w:w="236"/>
        <w:gridCol w:w="1217"/>
        <w:gridCol w:w="1055"/>
        <w:gridCol w:w="1063"/>
        <w:gridCol w:w="1122"/>
      </w:tblGrid>
      <w:tr w:rsidR="005853BF" w:rsidRPr="00A27896" w14:paraId="6C2BC7C0" w14:textId="77777777" w:rsidTr="00AE19E0">
        <w:trPr>
          <w:trHeight w:val="465"/>
          <w:tblHeader/>
        </w:trPr>
        <w:tc>
          <w:tcPr>
            <w:tcW w:w="2127" w:type="dxa"/>
            <w:vMerge w:val="restart"/>
            <w:shd w:val="clear" w:color="000000" w:fill="B9CDE5"/>
            <w:vAlign w:val="center"/>
            <w:hideMark/>
          </w:tcPr>
          <w:p w14:paraId="3EA4B4F9"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2534" w:type="dxa"/>
            <w:gridSpan w:val="2"/>
            <w:tcBorders>
              <w:top w:val="nil"/>
              <w:bottom w:val="single" w:sz="4" w:space="0" w:color="auto"/>
              <w:right w:val="nil"/>
            </w:tcBorders>
            <w:shd w:val="clear" w:color="000000" w:fill="B9CDE5"/>
            <w:vAlign w:val="center"/>
            <w:hideMark/>
          </w:tcPr>
          <w:p w14:paraId="5FC2C03A"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Aktīva atlikusī vērtība</w:t>
            </w:r>
          </w:p>
          <w:p w14:paraId="4FBF9710" w14:textId="46CD60D5"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(bilances vērtība)</w:t>
            </w:r>
          </w:p>
        </w:tc>
        <w:tc>
          <w:tcPr>
            <w:tcW w:w="236" w:type="dxa"/>
            <w:tcBorders>
              <w:top w:val="nil"/>
              <w:left w:val="nil"/>
              <w:bottom w:val="nil"/>
            </w:tcBorders>
            <w:shd w:val="clear" w:color="000000" w:fill="B9CDE5"/>
            <w:vAlign w:val="center"/>
            <w:hideMark/>
          </w:tcPr>
          <w:p w14:paraId="6266C270" w14:textId="7FFDA15C" w:rsidR="005853BF" w:rsidRPr="00A27896" w:rsidRDefault="005853BF" w:rsidP="005853BF">
            <w:pPr>
              <w:spacing w:after="0" w:line="240" w:lineRule="auto"/>
              <w:jc w:val="center"/>
              <w:rPr>
                <w:rFonts w:eastAsia="Times New Roman" w:cs="Times New Roman"/>
                <w:b/>
                <w:bCs/>
                <w:color w:val="17365D"/>
                <w:sz w:val="18"/>
                <w:szCs w:val="18"/>
                <w:lang w:eastAsia="lv-LV"/>
              </w:rPr>
            </w:pPr>
          </w:p>
        </w:tc>
        <w:tc>
          <w:tcPr>
            <w:tcW w:w="4457" w:type="dxa"/>
            <w:gridSpan w:val="4"/>
            <w:tcBorders>
              <w:top w:val="nil"/>
              <w:left w:val="nil"/>
              <w:bottom w:val="single" w:sz="4" w:space="0" w:color="17365D"/>
            </w:tcBorders>
            <w:shd w:val="clear" w:color="000000" w:fill="B9CDE5"/>
            <w:vAlign w:val="center"/>
          </w:tcPr>
          <w:p w14:paraId="04131C27" w14:textId="301DBD8D"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Saņemamie maksājumi</w:t>
            </w:r>
          </w:p>
        </w:tc>
      </w:tr>
      <w:tr w:rsidR="005853BF" w:rsidRPr="00A27896" w14:paraId="203F8A16" w14:textId="77777777" w:rsidTr="009A4177">
        <w:trPr>
          <w:trHeight w:val="735"/>
          <w:tblHeader/>
        </w:trPr>
        <w:tc>
          <w:tcPr>
            <w:tcW w:w="2127" w:type="dxa"/>
            <w:vMerge/>
            <w:tcBorders>
              <w:bottom w:val="single" w:sz="4" w:space="0" w:color="17365D"/>
            </w:tcBorders>
            <w:vAlign w:val="center"/>
            <w:hideMark/>
          </w:tcPr>
          <w:p w14:paraId="669B0ACE" w14:textId="77777777" w:rsidR="005853BF" w:rsidRPr="00A27896" w:rsidRDefault="005853BF" w:rsidP="005853BF">
            <w:pPr>
              <w:spacing w:after="0" w:line="240" w:lineRule="auto"/>
              <w:rPr>
                <w:rFonts w:eastAsia="Times New Roman" w:cs="Times New Roman"/>
                <w:b/>
                <w:bCs/>
                <w:color w:val="17365D"/>
                <w:sz w:val="18"/>
                <w:szCs w:val="18"/>
                <w:lang w:eastAsia="lv-LV"/>
              </w:rPr>
            </w:pPr>
          </w:p>
        </w:tc>
        <w:tc>
          <w:tcPr>
            <w:tcW w:w="1268" w:type="dxa"/>
            <w:tcBorders>
              <w:top w:val="single" w:sz="4" w:space="0" w:color="auto"/>
              <w:bottom w:val="single" w:sz="4" w:space="0" w:color="17365D"/>
            </w:tcBorders>
            <w:shd w:val="clear" w:color="000000" w:fill="B9CDE5"/>
            <w:vAlign w:val="center"/>
            <w:hideMark/>
          </w:tcPr>
          <w:p w14:paraId="64FA7CFD"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1266" w:type="dxa"/>
            <w:tcBorders>
              <w:top w:val="single" w:sz="4" w:space="0" w:color="auto"/>
              <w:bottom w:val="single" w:sz="4" w:space="0" w:color="17365D"/>
              <w:right w:val="nil"/>
            </w:tcBorders>
            <w:shd w:val="clear" w:color="000000" w:fill="B9CDE5"/>
            <w:vAlign w:val="center"/>
            <w:hideMark/>
          </w:tcPr>
          <w:p w14:paraId="7899F549"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453" w:type="dxa"/>
            <w:gridSpan w:val="2"/>
            <w:tcBorders>
              <w:top w:val="nil"/>
              <w:left w:val="nil"/>
              <w:bottom w:val="single" w:sz="4" w:space="0" w:color="17365D"/>
            </w:tcBorders>
            <w:shd w:val="clear" w:color="000000" w:fill="B9CDE5"/>
            <w:vAlign w:val="center"/>
            <w:hideMark/>
          </w:tcPr>
          <w:p w14:paraId="4563E9A1" w14:textId="55CA5F4B"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1055" w:type="dxa"/>
            <w:tcBorders>
              <w:top w:val="nil"/>
              <w:bottom w:val="single" w:sz="4" w:space="0" w:color="17365D"/>
            </w:tcBorders>
            <w:shd w:val="clear" w:color="000000" w:fill="B9CDE5"/>
            <w:vAlign w:val="center"/>
            <w:hideMark/>
          </w:tcPr>
          <w:p w14:paraId="2506A5EC" w14:textId="0823FEF9"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5</w:t>
            </w:r>
          </w:p>
        </w:tc>
        <w:tc>
          <w:tcPr>
            <w:tcW w:w="1063" w:type="dxa"/>
            <w:tcBorders>
              <w:top w:val="nil"/>
              <w:bottom w:val="single" w:sz="4" w:space="0" w:color="17365D"/>
            </w:tcBorders>
            <w:shd w:val="clear" w:color="000000" w:fill="B9CDE5"/>
            <w:vAlign w:val="center"/>
            <w:hideMark/>
          </w:tcPr>
          <w:p w14:paraId="0B181FCF" w14:textId="5F995E63"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6</w:t>
            </w:r>
          </w:p>
        </w:tc>
        <w:tc>
          <w:tcPr>
            <w:tcW w:w="1122" w:type="dxa"/>
            <w:tcBorders>
              <w:top w:val="nil"/>
              <w:bottom w:val="single" w:sz="4" w:space="0" w:color="17365D"/>
            </w:tcBorders>
            <w:shd w:val="clear" w:color="000000" w:fill="B9CDE5"/>
            <w:vAlign w:val="center"/>
            <w:hideMark/>
          </w:tcPr>
          <w:p w14:paraId="37891035" w14:textId="7C07F160"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7</w:t>
            </w:r>
          </w:p>
        </w:tc>
      </w:tr>
      <w:tr w:rsidR="005853BF" w:rsidRPr="00A27896" w14:paraId="19DFCA6A" w14:textId="77777777" w:rsidTr="009A4177">
        <w:trPr>
          <w:trHeight w:val="216"/>
          <w:tblHeader/>
        </w:trPr>
        <w:tc>
          <w:tcPr>
            <w:tcW w:w="2127" w:type="dxa"/>
            <w:tcBorders>
              <w:top w:val="single" w:sz="4" w:space="0" w:color="17365D"/>
              <w:bottom w:val="single" w:sz="4" w:space="0" w:color="17365D"/>
            </w:tcBorders>
            <w:shd w:val="clear" w:color="auto" w:fill="auto"/>
            <w:vAlign w:val="center"/>
            <w:hideMark/>
          </w:tcPr>
          <w:p w14:paraId="40A136BF"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68" w:type="dxa"/>
            <w:tcBorders>
              <w:top w:val="single" w:sz="4" w:space="0" w:color="17365D"/>
              <w:bottom w:val="single" w:sz="4" w:space="0" w:color="17365D"/>
            </w:tcBorders>
            <w:shd w:val="clear" w:color="auto" w:fill="auto"/>
            <w:vAlign w:val="center"/>
            <w:hideMark/>
          </w:tcPr>
          <w:p w14:paraId="03BE258B"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266" w:type="dxa"/>
            <w:tcBorders>
              <w:top w:val="single" w:sz="4" w:space="0" w:color="17365D"/>
              <w:bottom w:val="single" w:sz="4" w:space="0" w:color="17365D"/>
            </w:tcBorders>
            <w:shd w:val="clear" w:color="auto" w:fill="auto"/>
            <w:vAlign w:val="center"/>
            <w:hideMark/>
          </w:tcPr>
          <w:p w14:paraId="30B2E50B"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453" w:type="dxa"/>
            <w:gridSpan w:val="2"/>
            <w:tcBorders>
              <w:top w:val="single" w:sz="4" w:space="0" w:color="17365D"/>
              <w:bottom w:val="single" w:sz="4" w:space="0" w:color="17365D"/>
            </w:tcBorders>
            <w:shd w:val="clear" w:color="auto" w:fill="auto"/>
            <w:vAlign w:val="center"/>
            <w:hideMark/>
          </w:tcPr>
          <w:p w14:paraId="5A099C87" w14:textId="2AD1F4B6"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055" w:type="dxa"/>
            <w:tcBorders>
              <w:top w:val="single" w:sz="4" w:space="0" w:color="17365D"/>
              <w:bottom w:val="single" w:sz="4" w:space="0" w:color="17365D"/>
            </w:tcBorders>
            <w:shd w:val="clear" w:color="auto" w:fill="auto"/>
            <w:vAlign w:val="center"/>
            <w:hideMark/>
          </w:tcPr>
          <w:p w14:paraId="3DC6D676"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063" w:type="dxa"/>
            <w:tcBorders>
              <w:top w:val="single" w:sz="4" w:space="0" w:color="17365D"/>
              <w:bottom w:val="single" w:sz="4" w:space="0" w:color="17365D"/>
            </w:tcBorders>
            <w:shd w:val="clear" w:color="auto" w:fill="auto"/>
            <w:vAlign w:val="center"/>
            <w:hideMark/>
          </w:tcPr>
          <w:p w14:paraId="101E4A88"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22" w:type="dxa"/>
            <w:tcBorders>
              <w:top w:val="single" w:sz="4" w:space="0" w:color="17365D"/>
              <w:bottom w:val="single" w:sz="4" w:space="0" w:color="17365D"/>
            </w:tcBorders>
            <w:shd w:val="clear" w:color="auto" w:fill="auto"/>
            <w:vAlign w:val="center"/>
            <w:hideMark/>
          </w:tcPr>
          <w:p w14:paraId="751DF8D4" w14:textId="77777777" w:rsidR="005853BF" w:rsidRPr="00A27896" w:rsidRDefault="005853BF" w:rsidP="005853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5853BF" w:rsidRPr="00A27896" w14:paraId="2339BD31"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tcPr>
          <w:p w14:paraId="2D39287D" w14:textId="0472EA87" w:rsidR="005853BF" w:rsidRPr="00A27896" w:rsidRDefault="005853BF" w:rsidP="005853BF">
            <w:pPr>
              <w:spacing w:after="0" w:line="240" w:lineRule="auto"/>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Ilgtermiņa ieguldījumi</w:t>
            </w:r>
          </w:p>
        </w:tc>
        <w:tc>
          <w:tcPr>
            <w:tcW w:w="1268" w:type="dxa"/>
            <w:tcBorders>
              <w:top w:val="single" w:sz="4" w:space="0" w:color="17365D"/>
              <w:left w:val="nil"/>
              <w:bottom w:val="single" w:sz="4" w:space="0" w:color="17365D"/>
              <w:right w:val="nil"/>
            </w:tcBorders>
            <w:shd w:val="clear" w:color="auto" w:fill="auto"/>
            <w:vAlign w:val="center"/>
          </w:tcPr>
          <w:p w14:paraId="04D31A42" w14:textId="59B92D81" w:rsidR="005853BF" w:rsidRPr="00A91188" w:rsidRDefault="005853BF" w:rsidP="005853BF">
            <w:pPr>
              <w:spacing w:after="0" w:line="240" w:lineRule="auto"/>
              <w:jc w:val="right"/>
              <w:rPr>
                <w:b/>
                <w:bCs/>
                <w:color w:val="17365D"/>
                <w:sz w:val="18"/>
                <w:szCs w:val="18"/>
              </w:rPr>
            </w:pPr>
            <w:r w:rsidRPr="00A91188">
              <w:rPr>
                <w:b/>
                <w:bCs/>
                <w:color w:val="17365D"/>
                <w:sz w:val="18"/>
                <w:szCs w:val="18"/>
              </w:rPr>
              <w:t>333 057 633</w:t>
            </w:r>
          </w:p>
        </w:tc>
        <w:tc>
          <w:tcPr>
            <w:tcW w:w="1266" w:type="dxa"/>
            <w:tcBorders>
              <w:top w:val="single" w:sz="4" w:space="0" w:color="17365D"/>
              <w:left w:val="nil"/>
              <w:bottom w:val="single" w:sz="4" w:space="0" w:color="17365D"/>
              <w:right w:val="nil"/>
            </w:tcBorders>
            <w:shd w:val="clear" w:color="auto" w:fill="auto"/>
            <w:vAlign w:val="center"/>
          </w:tcPr>
          <w:p w14:paraId="31A2F719" w14:textId="7C65E6BA" w:rsidR="005853BF" w:rsidRPr="00A91188" w:rsidRDefault="005853BF" w:rsidP="005853BF">
            <w:pPr>
              <w:spacing w:after="0" w:line="240" w:lineRule="auto"/>
              <w:jc w:val="right"/>
              <w:rPr>
                <w:b/>
                <w:bCs/>
                <w:color w:val="17365D"/>
                <w:sz w:val="18"/>
                <w:szCs w:val="18"/>
              </w:rPr>
            </w:pPr>
            <w:r w:rsidRPr="00A91188">
              <w:rPr>
                <w:b/>
                <w:bCs/>
                <w:color w:val="17365D"/>
                <w:sz w:val="18"/>
                <w:szCs w:val="18"/>
              </w:rPr>
              <w:t>372 335 561</w:t>
            </w:r>
          </w:p>
        </w:tc>
        <w:tc>
          <w:tcPr>
            <w:tcW w:w="1453" w:type="dxa"/>
            <w:gridSpan w:val="2"/>
            <w:tcBorders>
              <w:top w:val="single" w:sz="4" w:space="0" w:color="17365D"/>
              <w:left w:val="nil"/>
              <w:bottom w:val="single" w:sz="4" w:space="0" w:color="17365D"/>
              <w:right w:val="nil"/>
            </w:tcBorders>
            <w:shd w:val="clear" w:color="auto" w:fill="auto"/>
            <w:vAlign w:val="center"/>
          </w:tcPr>
          <w:p w14:paraId="53EE387F" w14:textId="14A13620" w:rsidR="005853BF" w:rsidRPr="00A91188" w:rsidRDefault="005853BF" w:rsidP="005853BF">
            <w:pPr>
              <w:spacing w:after="0" w:line="240" w:lineRule="auto"/>
              <w:jc w:val="right"/>
              <w:rPr>
                <w:b/>
                <w:bCs/>
                <w:color w:val="17365D"/>
                <w:sz w:val="18"/>
                <w:szCs w:val="18"/>
              </w:rPr>
            </w:pPr>
            <w:r w:rsidRPr="00A91188">
              <w:rPr>
                <w:b/>
                <w:bCs/>
                <w:color w:val="17365D"/>
                <w:sz w:val="18"/>
                <w:szCs w:val="18"/>
              </w:rPr>
              <w:t>266 430 788</w:t>
            </w:r>
          </w:p>
        </w:tc>
        <w:tc>
          <w:tcPr>
            <w:tcW w:w="1055" w:type="dxa"/>
            <w:tcBorders>
              <w:top w:val="single" w:sz="4" w:space="0" w:color="17365D"/>
              <w:left w:val="nil"/>
              <w:bottom w:val="single" w:sz="4" w:space="0" w:color="17365D"/>
              <w:right w:val="nil"/>
            </w:tcBorders>
            <w:shd w:val="clear" w:color="auto" w:fill="auto"/>
            <w:noWrap/>
            <w:vAlign w:val="center"/>
          </w:tcPr>
          <w:p w14:paraId="74FA45BD" w14:textId="17EDB82B" w:rsidR="005853BF" w:rsidRPr="00A91188" w:rsidRDefault="005853BF" w:rsidP="005853BF">
            <w:pPr>
              <w:spacing w:after="0" w:line="240" w:lineRule="auto"/>
              <w:jc w:val="right"/>
              <w:rPr>
                <w:b/>
                <w:bCs/>
                <w:color w:val="17365D"/>
                <w:sz w:val="18"/>
                <w:szCs w:val="18"/>
              </w:rPr>
            </w:pPr>
            <w:r w:rsidRPr="00A91188">
              <w:rPr>
                <w:b/>
                <w:bCs/>
                <w:color w:val="17365D"/>
                <w:sz w:val="18"/>
                <w:szCs w:val="18"/>
              </w:rPr>
              <w:t>28 055 986</w:t>
            </w:r>
          </w:p>
        </w:tc>
        <w:tc>
          <w:tcPr>
            <w:tcW w:w="1063" w:type="dxa"/>
            <w:tcBorders>
              <w:top w:val="single" w:sz="4" w:space="0" w:color="17365D"/>
              <w:left w:val="nil"/>
              <w:bottom w:val="single" w:sz="4" w:space="0" w:color="17365D"/>
              <w:right w:val="nil"/>
            </w:tcBorders>
            <w:shd w:val="clear" w:color="auto" w:fill="auto"/>
            <w:noWrap/>
            <w:vAlign w:val="center"/>
          </w:tcPr>
          <w:p w14:paraId="40524930" w14:textId="5AC13C99" w:rsidR="005853BF" w:rsidRPr="00A91188" w:rsidRDefault="005853BF" w:rsidP="005853BF">
            <w:pPr>
              <w:spacing w:after="0" w:line="240" w:lineRule="auto"/>
              <w:jc w:val="right"/>
              <w:rPr>
                <w:b/>
                <w:bCs/>
                <w:color w:val="17365D"/>
                <w:sz w:val="18"/>
                <w:szCs w:val="18"/>
              </w:rPr>
            </w:pPr>
            <w:r w:rsidRPr="00A91188">
              <w:rPr>
                <w:b/>
                <w:bCs/>
                <w:color w:val="17365D"/>
                <w:sz w:val="18"/>
                <w:szCs w:val="18"/>
              </w:rPr>
              <w:t>23 666 675</w:t>
            </w:r>
          </w:p>
        </w:tc>
        <w:tc>
          <w:tcPr>
            <w:tcW w:w="1122" w:type="dxa"/>
            <w:tcBorders>
              <w:top w:val="single" w:sz="4" w:space="0" w:color="17365D"/>
              <w:left w:val="nil"/>
              <w:bottom w:val="single" w:sz="4" w:space="0" w:color="17365D"/>
              <w:right w:val="nil"/>
            </w:tcBorders>
            <w:shd w:val="clear" w:color="auto" w:fill="auto"/>
            <w:noWrap/>
            <w:vAlign w:val="center"/>
          </w:tcPr>
          <w:p w14:paraId="2FCE9513" w14:textId="77AFD0A0" w:rsidR="005853BF" w:rsidRPr="00A91188" w:rsidRDefault="005853BF" w:rsidP="005853BF">
            <w:pPr>
              <w:spacing w:after="0" w:line="240" w:lineRule="auto"/>
              <w:jc w:val="right"/>
              <w:rPr>
                <w:b/>
                <w:bCs/>
                <w:color w:val="17365D"/>
                <w:sz w:val="18"/>
                <w:szCs w:val="18"/>
              </w:rPr>
            </w:pPr>
            <w:r w:rsidRPr="00A91188">
              <w:rPr>
                <w:b/>
                <w:bCs/>
                <w:color w:val="17365D"/>
                <w:sz w:val="18"/>
                <w:szCs w:val="18"/>
              </w:rPr>
              <w:t>21 239 310</w:t>
            </w:r>
          </w:p>
        </w:tc>
      </w:tr>
      <w:tr w:rsidR="005853BF" w:rsidRPr="00A27896" w14:paraId="6DCBFCF5"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3964FF7A" w14:textId="5E2373CE"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Licences, koncesijas un patenti, preču zīmes un tamlīdzīgas tiesības</w:t>
            </w:r>
          </w:p>
        </w:tc>
        <w:tc>
          <w:tcPr>
            <w:tcW w:w="1268" w:type="dxa"/>
            <w:tcBorders>
              <w:top w:val="single" w:sz="4" w:space="0" w:color="17365D"/>
              <w:left w:val="nil"/>
              <w:bottom w:val="single" w:sz="4" w:space="0" w:color="17365D"/>
              <w:right w:val="nil"/>
            </w:tcBorders>
            <w:shd w:val="clear" w:color="auto" w:fill="auto"/>
            <w:vAlign w:val="center"/>
          </w:tcPr>
          <w:p w14:paraId="72A9C349" w14:textId="552A6470" w:rsidR="005853BF" w:rsidRPr="00A91188" w:rsidRDefault="005853BF" w:rsidP="005853BF">
            <w:pPr>
              <w:spacing w:after="0" w:line="240" w:lineRule="auto"/>
              <w:jc w:val="right"/>
              <w:rPr>
                <w:color w:val="17365D"/>
                <w:sz w:val="18"/>
                <w:szCs w:val="18"/>
              </w:rPr>
            </w:pPr>
            <w:r w:rsidRPr="00A91188">
              <w:rPr>
                <w:color w:val="17365D"/>
                <w:sz w:val="18"/>
                <w:szCs w:val="18"/>
              </w:rPr>
              <w:t>4 415</w:t>
            </w:r>
          </w:p>
        </w:tc>
        <w:tc>
          <w:tcPr>
            <w:tcW w:w="1266" w:type="dxa"/>
            <w:tcBorders>
              <w:top w:val="single" w:sz="4" w:space="0" w:color="17365D"/>
              <w:left w:val="nil"/>
              <w:bottom w:val="single" w:sz="4" w:space="0" w:color="17365D"/>
              <w:right w:val="nil"/>
            </w:tcBorders>
            <w:shd w:val="clear" w:color="auto" w:fill="auto"/>
            <w:vAlign w:val="center"/>
          </w:tcPr>
          <w:p w14:paraId="75B5AACC" w14:textId="233831C2" w:rsidR="005853BF" w:rsidRPr="00A91188" w:rsidRDefault="005853BF" w:rsidP="005853BF">
            <w:pPr>
              <w:spacing w:after="0" w:line="240" w:lineRule="auto"/>
              <w:jc w:val="right"/>
              <w:rPr>
                <w:color w:val="17365D"/>
                <w:sz w:val="18"/>
                <w:szCs w:val="18"/>
              </w:rPr>
            </w:pPr>
            <w:r w:rsidRPr="00A91188">
              <w:rPr>
                <w:color w:val="17365D"/>
                <w:sz w:val="18"/>
                <w:szCs w:val="18"/>
              </w:rPr>
              <w:t>1 986</w:t>
            </w:r>
          </w:p>
        </w:tc>
        <w:tc>
          <w:tcPr>
            <w:tcW w:w="1453" w:type="dxa"/>
            <w:gridSpan w:val="2"/>
            <w:tcBorders>
              <w:top w:val="single" w:sz="4" w:space="0" w:color="17365D"/>
              <w:left w:val="nil"/>
              <w:bottom w:val="single" w:sz="4" w:space="0" w:color="17365D"/>
              <w:right w:val="nil"/>
            </w:tcBorders>
            <w:shd w:val="clear" w:color="auto" w:fill="auto"/>
            <w:vAlign w:val="center"/>
          </w:tcPr>
          <w:p w14:paraId="556647DF" w14:textId="0BF09206" w:rsidR="005853BF" w:rsidRPr="00A91188" w:rsidRDefault="005853BF" w:rsidP="005853BF">
            <w:pPr>
              <w:spacing w:after="0" w:line="240" w:lineRule="auto"/>
              <w:jc w:val="right"/>
              <w:rPr>
                <w:color w:val="17365D"/>
                <w:sz w:val="18"/>
                <w:szCs w:val="18"/>
              </w:rPr>
            </w:pPr>
            <w:r w:rsidRPr="00A91188">
              <w:rPr>
                <w:color w:val="17365D"/>
                <w:sz w:val="18"/>
                <w:szCs w:val="18"/>
              </w:rPr>
              <w:t>48 346</w:t>
            </w:r>
          </w:p>
        </w:tc>
        <w:tc>
          <w:tcPr>
            <w:tcW w:w="1055" w:type="dxa"/>
            <w:tcBorders>
              <w:top w:val="single" w:sz="4" w:space="0" w:color="17365D"/>
              <w:left w:val="nil"/>
              <w:bottom w:val="single" w:sz="4" w:space="0" w:color="17365D"/>
              <w:right w:val="nil"/>
            </w:tcBorders>
            <w:shd w:val="clear" w:color="auto" w:fill="auto"/>
            <w:noWrap/>
            <w:vAlign w:val="center"/>
          </w:tcPr>
          <w:p w14:paraId="4FE02847" w14:textId="4564C4EE" w:rsidR="005853BF" w:rsidRPr="00A91188" w:rsidRDefault="005853BF" w:rsidP="005853BF">
            <w:pPr>
              <w:spacing w:after="0" w:line="240" w:lineRule="auto"/>
              <w:jc w:val="right"/>
              <w:rPr>
                <w:color w:val="17365D"/>
                <w:sz w:val="18"/>
                <w:szCs w:val="18"/>
              </w:rPr>
            </w:pPr>
            <w:r w:rsidRPr="00A91188">
              <w:rPr>
                <w:color w:val="17365D"/>
                <w:sz w:val="18"/>
                <w:szCs w:val="18"/>
              </w:rPr>
              <w:t>14 781</w:t>
            </w:r>
          </w:p>
        </w:tc>
        <w:tc>
          <w:tcPr>
            <w:tcW w:w="1063" w:type="dxa"/>
            <w:tcBorders>
              <w:top w:val="single" w:sz="4" w:space="0" w:color="17365D"/>
              <w:left w:val="nil"/>
              <w:bottom w:val="single" w:sz="4" w:space="0" w:color="17365D"/>
              <w:right w:val="nil"/>
            </w:tcBorders>
            <w:shd w:val="clear" w:color="auto" w:fill="auto"/>
            <w:noWrap/>
            <w:vAlign w:val="center"/>
          </w:tcPr>
          <w:p w14:paraId="657605B4" w14:textId="49E06DA4" w:rsidR="005853BF" w:rsidRPr="00A91188" w:rsidRDefault="005853BF" w:rsidP="005853BF">
            <w:pPr>
              <w:spacing w:after="0" w:line="240" w:lineRule="auto"/>
              <w:jc w:val="right"/>
              <w:rPr>
                <w:color w:val="17365D"/>
                <w:sz w:val="18"/>
                <w:szCs w:val="18"/>
              </w:rPr>
            </w:pPr>
            <w:r w:rsidRPr="00A91188">
              <w:rPr>
                <w:color w:val="17365D"/>
                <w:sz w:val="18"/>
                <w:szCs w:val="18"/>
              </w:rPr>
              <w:t>11 428</w:t>
            </w:r>
          </w:p>
        </w:tc>
        <w:tc>
          <w:tcPr>
            <w:tcW w:w="1122" w:type="dxa"/>
            <w:tcBorders>
              <w:top w:val="single" w:sz="4" w:space="0" w:color="17365D"/>
              <w:left w:val="nil"/>
              <w:bottom w:val="single" w:sz="4" w:space="0" w:color="17365D"/>
              <w:right w:val="nil"/>
            </w:tcBorders>
            <w:shd w:val="clear" w:color="auto" w:fill="auto"/>
            <w:noWrap/>
            <w:vAlign w:val="center"/>
          </w:tcPr>
          <w:p w14:paraId="7BC5C964" w14:textId="0828045A" w:rsidR="005853BF" w:rsidRPr="00A91188" w:rsidRDefault="005853BF" w:rsidP="005853BF">
            <w:pPr>
              <w:spacing w:after="0" w:line="240" w:lineRule="auto"/>
              <w:jc w:val="right"/>
              <w:rPr>
                <w:color w:val="17365D"/>
                <w:sz w:val="18"/>
                <w:szCs w:val="18"/>
              </w:rPr>
            </w:pPr>
            <w:r w:rsidRPr="00A91188">
              <w:rPr>
                <w:color w:val="17365D"/>
                <w:sz w:val="18"/>
                <w:szCs w:val="18"/>
              </w:rPr>
              <w:t>4 345</w:t>
            </w:r>
          </w:p>
        </w:tc>
      </w:tr>
      <w:tr w:rsidR="005853BF" w:rsidRPr="00A27896" w14:paraId="5FFBD349"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45B4381E" w14:textId="3CD994C6"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Zeme un būves</w:t>
            </w:r>
          </w:p>
        </w:tc>
        <w:tc>
          <w:tcPr>
            <w:tcW w:w="1268" w:type="dxa"/>
            <w:tcBorders>
              <w:top w:val="single" w:sz="4" w:space="0" w:color="17365D"/>
              <w:left w:val="nil"/>
              <w:bottom w:val="single" w:sz="4" w:space="0" w:color="17365D"/>
              <w:right w:val="nil"/>
            </w:tcBorders>
            <w:shd w:val="clear" w:color="auto" w:fill="auto"/>
            <w:vAlign w:val="center"/>
          </w:tcPr>
          <w:p w14:paraId="2DD9AD24" w14:textId="1194CAE7" w:rsidR="005853BF" w:rsidRPr="00A91188" w:rsidRDefault="005853BF" w:rsidP="005853BF">
            <w:pPr>
              <w:spacing w:after="0" w:line="240" w:lineRule="auto"/>
              <w:jc w:val="right"/>
              <w:rPr>
                <w:color w:val="17365D"/>
                <w:sz w:val="18"/>
                <w:szCs w:val="18"/>
              </w:rPr>
            </w:pPr>
            <w:r w:rsidRPr="00A91188">
              <w:rPr>
                <w:color w:val="17365D"/>
                <w:sz w:val="18"/>
                <w:szCs w:val="18"/>
              </w:rPr>
              <w:t>160 552 756</w:t>
            </w:r>
          </w:p>
        </w:tc>
        <w:tc>
          <w:tcPr>
            <w:tcW w:w="1266" w:type="dxa"/>
            <w:tcBorders>
              <w:top w:val="single" w:sz="4" w:space="0" w:color="17365D"/>
              <w:left w:val="nil"/>
              <w:bottom w:val="single" w:sz="4" w:space="0" w:color="17365D"/>
              <w:right w:val="nil"/>
            </w:tcBorders>
            <w:shd w:val="clear" w:color="auto" w:fill="auto"/>
            <w:vAlign w:val="center"/>
          </w:tcPr>
          <w:p w14:paraId="12D41A8B" w14:textId="61B693CA" w:rsidR="005853BF" w:rsidRPr="00A91188" w:rsidRDefault="005853BF" w:rsidP="005853BF">
            <w:pPr>
              <w:spacing w:after="0" w:line="240" w:lineRule="auto"/>
              <w:jc w:val="right"/>
              <w:rPr>
                <w:color w:val="17365D"/>
                <w:sz w:val="18"/>
                <w:szCs w:val="18"/>
              </w:rPr>
            </w:pPr>
            <w:r w:rsidRPr="00A91188">
              <w:rPr>
                <w:color w:val="17365D"/>
                <w:sz w:val="18"/>
                <w:szCs w:val="18"/>
              </w:rPr>
              <w:t>202 110 856</w:t>
            </w:r>
          </w:p>
        </w:tc>
        <w:tc>
          <w:tcPr>
            <w:tcW w:w="1453" w:type="dxa"/>
            <w:gridSpan w:val="2"/>
            <w:tcBorders>
              <w:top w:val="single" w:sz="4" w:space="0" w:color="17365D"/>
              <w:left w:val="nil"/>
              <w:bottom w:val="single" w:sz="4" w:space="0" w:color="17365D"/>
              <w:right w:val="nil"/>
            </w:tcBorders>
            <w:shd w:val="clear" w:color="auto" w:fill="auto"/>
            <w:noWrap/>
            <w:vAlign w:val="center"/>
          </w:tcPr>
          <w:p w14:paraId="6E0AFF84" w14:textId="5F144335" w:rsidR="005853BF" w:rsidRPr="00A91188" w:rsidRDefault="005853BF" w:rsidP="005853BF">
            <w:pPr>
              <w:spacing w:after="0" w:line="240" w:lineRule="auto"/>
              <w:jc w:val="right"/>
              <w:rPr>
                <w:color w:val="17365D"/>
                <w:sz w:val="18"/>
                <w:szCs w:val="18"/>
              </w:rPr>
            </w:pPr>
            <w:r w:rsidRPr="00A91188">
              <w:rPr>
                <w:color w:val="17365D"/>
                <w:sz w:val="18"/>
                <w:szCs w:val="18"/>
              </w:rPr>
              <w:t>188 290 622</w:t>
            </w:r>
          </w:p>
        </w:tc>
        <w:tc>
          <w:tcPr>
            <w:tcW w:w="1055" w:type="dxa"/>
            <w:tcBorders>
              <w:top w:val="single" w:sz="4" w:space="0" w:color="17365D"/>
              <w:left w:val="nil"/>
              <w:bottom w:val="single" w:sz="4" w:space="0" w:color="17365D"/>
              <w:right w:val="nil"/>
            </w:tcBorders>
            <w:shd w:val="clear" w:color="auto" w:fill="auto"/>
            <w:noWrap/>
            <w:vAlign w:val="center"/>
          </w:tcPr>
          <w:p w14:paraId="36F94D8F" w14:textId="577A2EE1" w:rsidR="005853BF" w:rsidRPr="00A91188" w:rsidRDefault="005853BF" w:rsidP="005853BF">
            <w:pPr>
              <w:spacing w:after="0" w:line="240" w:lineRule="auto"/>
              <w:jc w:val="right"/>
              <w:rPr>
                <w:color w:val="17365D"/>
                <w:sz w:val="18"/>
                <w:szCs w:val="18"/>
              </w:rPr>
            </w:pPr>
            <w:r w:rsidRPr="00A91188">
              <w:rPr>
                <w:color w:val="17365D"/>
                <w:sz w:val="18"/>
                <w:szCs w:val="18"/>
              </w:rPr>
              <w:t>17 913 864</w:t>
            </w:r>
          </w:p>
        </w:tc>
        <w:tc>
          <w:tcPr>
            <w:tcW w:w="1063" w:type="dxa"/>
            <w:tcBorders>
              <w:top w:val="single" w:sz="4" w:space="0" w:color="17365D"/>
              <w:left w:val="nil"/>
              <w:bottom w:val="single" w:sz="4" w:space="0" w:color="17365D"/>
              <w:right w:val="nil"/>
            </w:tcBorders>
            <w:shd w:val="clear" w:color="auto" w:fill="auto"/>
            <w:noWrap/>
            <w:vAlign w:val="center"/>
          </w:tcPr>
          <w:p w14:paraId="1521424A" w14:textId="1A2FC22A" w:rsidR="005853BF" w:rsidRPr="00A91188" w:rsidRDefault="005853BF" w:rsidP="005853BF">
            <w:pPr>
              <w:spacing w:after="0" w:line="240" w:lineRule="auto"/>
              <w:jc w:val="right"/>
              <w:rPr>
                <w:color w:val="17365D"/>
                <w:sz w:val="18"/>
                <w:szCs w:val="18"/>
              </w:rPr>
            </w:pPr>
            <w:r w:rsidRPr="00A91188">
              <w:rPr>
                <w:color w:val="17365D"/>
                <w:sz w:val="18"/>
                <w:szCs w:val="18"/>
              </w:rPr>
              <w:t>14 145 800</w:t>
            </w:r>
          </w:p>
        </w:tc>
        <w:tc>
          <w:tcPr>
            <w:tcW w:w="1122" w:type="dxa"/>
            <w:tcBorders>
              <w:top w:val="single" w:sz="4" w:space="0" w:color="17365D"/>
              <w:left w:val="nil"/>
              <w:bottom w:val="single" w:sz="4" w:space="0" w:color="17365D"/>
              <w:right w:val="nil"/>
            </w:tcBorders>
            <w:shd w:val="clear" w:color="auto" w:fill="auto"/>
            <w:noWrap/>
            <w:vAlign w:val="center"/>
          </w:tcPr>
          <w:p w14:paraId="37F8D478" w14:textId="53234E78" w:rsidR="005853BF" w:rsidRPr="00A91188" w:rsidRDefault="005853BF" w:rsidP="005853BF">
            <w:pPr>
              <w:spacing w:after="0" w:line="240" w:lineRule="auto"/>
              <w:jc w:val="right"/>
              <w:rPr>
                <w:color w:val="17365D"/>
                <w:sz w:val="18"/>
                <w:szCs w:val="18"/>
              </w:rPr>
            </w:pPr>
            <w:r w:rsidRPr="00A91188">
              <w:rPr>
                <w:color w:val="17365D"/>
                <w:sz w:val="18"/>
                <w:szCs w:val="18"/>
              </w:rPr>
              <w:t>12 600 168</w:t>
            </w:r>
          </w:p>
        </w:tc>
      </w:tr>
      <w:tr w:rsidR="005853BF" w:rsidRPr="00A27896" w14:paraId="05BC6FAF"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5AE59399" w14:textId="0ADBC1FF"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Tehnoloģiskās iekārtas un mašīnas</w:t>
            </w:r>
          </w:p>
        </w:tc>
        <w:tc>
          <w:tcPr>
            <w:tcW w:w="1268" w:type="dxa"/>
            <w:tcBorders>
              <w:top w:val="single" w:sz="4" w:space="0" w:color="17365D"/>
              <w:left w:val="nil"/>
              <w:bottom w:val="single" w:sz="4" w:space="0" w:color="17365D"/>
              <w:right w:val="nil"/>
            </w:tcBorders>
            <w:shd w:val="clear" w:color="auto" w:fill="auto"/>
            <w:vAlign w:val="center"/>
          </w:tcPr>
          <w:p w14:paraId="345C4CFE" w14:textId="5A16CAC6" w:rsidR="005853BF" w:rsidRPr="00A91188" w:rsidRDefault="005853BF" w:rsidP="005853BF">
            <w:pPr>
              <w:spacing w:after="0" w:line="240" w:lineRule="auto"/>
              <w:jc w:val="right"/>
              <w:rPr>
                <w:color w:val="17365D"/>
                <w:sz w:val="18"/>
                <w:szCs w:val="18"/>
              </w:rPr>
            </w:pPr>
            <w:r w:rsidRPr="00A91188">
              <w:rPr>
                <w:color w:val="17365D"/>
                <w:sz w:val="18"/>
                <w:szCs w:val="18"/>
              </w:rPr>
              <w:t>51 440</w:t>
            </w:r>
          </w:p>
        </w:tc>
        <w:tc>
          <w:tcPr>
            <w:tcW w:w="1266" w:type="dxa"/>
            <w:tcBorders>
              <w:top w:val="single" w:sz="4" w:space="0" w:color="17365D"/>
              <w:left w:val="nil"/>
              <w:bottom w:val="single" w:sz="4" w:space="0" w:color="17365D"/>
              <w:right w:val="nil"/>
            </w:tcBorders>
            <w:shd w:val="clear" w:color="auto" w:fill="auto"/>
            <w:vAlign w:val="center"/>
          </w:tcPr>
          <w:p w14:paraId="54028224" w14:textId="0DDD0831" w:rsidR="005853BF" w:rsidRPr="00A91188" w:rsidRDefault="005853BF" w:rsidP="005853BF">
            <w:pPr>
              <w:spacing w:after="0" w:line="240" w:lineRule="auto"/>
              <w:jc w:val="right"/>
              <w:rPr>
                <w:color w:val="17365D"/>
                <w:sz w:val="18"/>
                <w:szCs w:val="18"/>
              </w:rPr>
            </w:pPr>
            <w:r w:rsidRPr="00A91188">
              <w:rPr>
                <w:color w:val="17365D"/>
                <w:sz w:val="18"/>
                <w:szCs w:val="18"/>
              </w:rPr>
              <w:t>37 452</w:t>
            </w:r>
          </w:p>
        </w:tc>
        <w:tc>
          <w:tcPr>
            <w:tcW w:w="1453" w:type="dxa"/>
            <w:gridSpan w:val="2"/>
            <w:tcBorders>
              <w:top w:val="single" w:sz="4" w:space="0" w:color="17365D"/>
              <w:left w:val="nil"/>
              <w:bottom w:val="single" w:sz="4" w:space="0" w:color="17365D"/>
              <w:right w:val="nil"/>
            </w:tcBorders>
            <w:shd w:val="clear" w:color="auto" w:fill="auto"/>
            <w:noWrap/>
            <w:vAlign w:val="center"/>
          </w:tcPr>
          <w:p w14:paraId="7F477F0F" w14:textId="24BA7AE1" w:rsidR="005853BF" w:rsidRPr="00A91188" w:rsidRDefault="005853BF" w:rsidP="005853BF">
            <w:pPr>
              <w:spacing w:after="0" w:line="240" w:lineRule="auto"/>
              <w:jc w:val="right"/>
              <w:rPr>
                <w:color w:val="17365D"/>
                <w:sz w:val="18"/>
                <w:szCs w:val="18"/>
              </w:rPr>
            </w:pPr>
            <w:r w:rsidRPr="00A91188">
              <w:rPr>
                <w:color w:val="17365D"/>
                <w:sz w:val="18"/>
                <w:szCs w:val="18"/>
              </w:rPr>
              <w:t>10 563</w:t>
            </w:r>
          </w:p>
        </w:tc>
        <w:tc>
          <w:tcPr>
            <w:tcW w:w="1055" w:type="dxa"/>
            <w:tcBorders>
              <w:top w:val="single" w:sz="4" w:space="0" w:color="17365D"/>
              <w:left w:val="nil"/>
              <w:bottom w:val="single" w:sz="4" w:space="0" w:color="17365D"/>
              <w:right w:val="nil"/>
            </w:tcBorders>
            <w:shd w:val="clear" w:color="auto" w:fill="auto"/>
            <w:noWrap/>
            <w:vAlign w:val="center"/>
          </w:tcPr>
          <w:p w14:paraId="74E2566F" w14:textId="6EDBEC80" w:rsidR="005853BF" w:rsidRPr="00A91188" w:rsidRDefault="005853BF" w:rsidP="005853BF">
            <w:pPr>
              <w:spacing w:after="0" w:line="240" w:lineRule="auto"/>
              <w:jc w:val="right"/>
              <w:rPr>
                <w:color w:val="17365D"/>
                <w:sz w:val="18"/>
                <w:szCs w:val="18"/>
              </w:rPr>
            </w:pPr>
            <w:r w:rsidRPr="00A91188">
              <w:rPr>
                <w:color w:val="17365D"/>
                <w:sz w:val="18"/>
                <w:szCs w:val="18"/>
              </w:rPr>
              <w:t>9 807</w:t>
            </w:r>
          </w:p>
        </w:tc>
        <w:tc>
          <w:tcPr>
            <w:tcW w:w="1063" w:type="dxa"/>
            <w:tcBorders>
              <w:top w:val="single" w:sz="4" w:space="0" w:color="17365D"/>
              <w:left w:val="nil"/>
              <w:bottom w:val="single" w:sz="4" w:space="0" w:color="17365D"/>
              <w:right w:val="nil"/>
            </w:tcBorders>
            <w:shd w:val="clear" w:color="auto" w:fill="auto"/>
            <w:noWrap/>
            <w:vAlign w:val="center"/>
          </w:tcPr>
          <w:p w14:paraId="2A1AE76C" w14:textId="3807F38D" w:rsidR="005853BF" w:rsidRPr="00A91188" w:rsidRDefault="005853BF" w:rsidP="005853BF">
            <w:pPr>
              <w:spacing w:after="0" w:line="240" w:lineRule="auto"/>
              <w:jc w:val="right"/>
              <w:rPr>
                <w:color w:val="17365D"/>
                <w:sz w:val="18"/>
                <w:szCs w:val="18"/>
              </w:rPr>
            </w:pPr>
            <w:r w:rsidRPr="00A91188">
              <w:rPr>
                <w:color w:val="17365D"/>
                <w:sz w:val="18"/>
                <w:szCs w:val="18"/>
              </w:rPr>
              <w:t>378</w:t>
            </w:r>
          </w:p>
        </w:tc>
        <w:tc>
          <w:tcPr>
            <w:tcW w:w="1122" w:type="dxa"/>
            <w:tcBorders>
              <w:top w:val="single" w:sz="4" w:space="0" w:color="17365D"/>
              <w:left w:val="nil"/>
              <w:bottom w:val="single" w:sz="4" w:space="0" w:color="17365D"/>
              <w:right w:val="nil"/>
            </w:tcBorders>
            <w:shd w:val="clear" w:color="auto" w:fill="auto"/>
            <w:noWrap/>
            <w:vAlign w:val="center"/>
          </w:tcPr>
          <w:p w14:paraId="652CE0E4" w14:textId="2917EAF7" w:rsidR="005853BF" w:rsidRPr="00A91188" w:rsidRDefault="005853BF" w:rsidP="005853BF">
            <w:pPr>
              <w:spacing w:after="0" w:line="240" w:lineRule="auto"/>
              <w:jc w:val="right"/>
              <w:rPr>
                <w:color w:val="17365D"/>
                <w:sz w:val="18"/>
                <w:szCs w:val="18"/>
              </w:rPr>
            </w:pPr>
            <w:r w:rsidRPr="00A91188">
              <w:rPr>
                <w:color w:val="17365D"/>
                <w:sz w:val="18"/>
                <w:szCs w:val="18"/>
              </w:rPr>
              <w:t>378</w:t>
            </w:r>
          </w:p>
        </w:tc>
      </w:tr>
      <w:tr w:rsidR="005853BF" w:rsidRPr="00A27896" w14:paraId="6EB52C8D"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291552C9" w14:textId="151F9293"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Pārējie pamatlīdzekļi</w:t>
            </w:r>
          </w:p>
        </w:tc>
        <w:tc>
          <w:tcPr>
            <w:tcW w:w="1268" w:type="dxa"/>
            <w:tcBorders>
              <w:top w:val="single" w:sz="4" w:space="0" w:color="17365D"/>
              <w:left w:val="nil"/>
              <w:bottom w:val="single" w:sz="4" w:space="0" w:color="17365D"/>
              <w:right w:val="nil"/>
            </w:tcBorders>
            <w:shd w:val="clear" w:color="auto" w:fill="auto"/>
            <w:vAlign w:val="center"/>
          </w:tcPr>
          <w:p w14:paraId="3215A410" w14:textId="4BA4DA00" w:rsidR="005853BF" w:rsidRPr="00A91188" w:rsidRDefault="005853BF" w:rsidP="005853BF">
            <w:pPr>
              <w:spacing w:after="0" w:line="240" w:lineRule="auto"/>
              <w:jc w:val="right"/>
              <w:rPr>
                <w:color w:val="17365D"/>
                <w:sz w:val="18"/>
                <w:szCs w:val="18"/>
              </w:rPr>
            </w:pPr>
            <w:r w:rsidRPr="00A91188">
              <w:rPr>
                <w:color w:val="17365D"/>
                <w:sz w:val="18"/>
                <w:szCs w:val="18"/>
              </w:rPr>
              <w:t>1 906 748</w:t>
            </w:r>
          </w:p>
        </w:tc>
        <w:tc>
          <w:tcPr>
            <w:tcW w:w="1266" w:type="dxa"/>
            <w:tcBorders>
              <w:top w:val="single" w:sz="4" w:space="0" w:color="17365D"/>
              <w:left w:val="nil"/>
              <w:bottom w:val="single" w:sz="4" w:space="0" w:color="17365D"/>
              <w:right w:val="nil"/>
            </w:tcBorders>
            <w:shd w:val="clear" w:color="auto" w:fill="auto"/>
            <w:vAlign w:val="center"/>
          </w:tcPr>
          <w:p w14:paraId="0343D8C0" w14:textId="16244C25" w:rsidR="005853BF" w:rsidRPr="00A91188" w:rsidRDefault="005853BF" w:rsidP="005853BF">
            <w:pPr>
              <w:spacing w:after="0" w:line="240" w:lineRule="auto"/>
              <w:jc w:val="right"/>
              <w:rPr>
                <w:color w:val="17365D"/>
                <w:sz w:val="18"/>
                <w:szCs w:val="18"/>
              </w:rPr>
            </w:pPr>
            <w:r w:rsidRPr="00A91188">
              <w:rPr>
                <w:color w:val="17365D"/>
                <w:sz w:val="18"/>
                <w:szCs w:val="18"/>
              </w:rPr>
              <w:t>2 526 989</w:t>
            </w:r>
          </w:p>
        </w:tc>
        <w:tc>
          <w:tcPr>
            <w:tcW w:w="1453" w:type="dxa"/>
            <w:gridSpan w:val="2"/>
            <w:tcBorders>
              <w:top w:val="single" w:sz="4" w:space="0" w:color="17365D"/>
              <w:left w:val="nil"/>
              <w:bottom w:val="single" w:sz="4" w:space="0" w:color="17365D"/>
              <w:right w:val="nil"/>
            </w:tcBorders>
            <w:shd w:val="clear" w:color="auto" w:fill="auto"/>
            <w:noWrap/>
            <w:vAlign w:val="center"/>
          </w:tcPr>
          <w:p w14:paraId="5CDEF68B" w14:textId="6A383728" w:rsidR="005853BF" w:rsidRPr="00A91188" w:rsidRDefault="005853BF" w:rsidP="005853BF">
            <w:pPr>
              <w:spacing w:after="0" w:line="240" w:lineRule="auto"/>
              <w:jc w:val="right"/>
              <w:rPr>
                <w:color w:val="17365D"/>
                <w:sz w:val="18"/>
                <w:szCs w:val="18"/>
              </w:rPr>
            </w:pPr>
            <w:r w:rsidRPr="00A91188">
              <w:rPr>
                <w:color w:val="17365D"/>
                <w:sz w:val="18"/>
                <w:szCs w:val="18"/>
              </w:rPr>
              <w:t>626 255</w:t>
            </w:r>
          </w:p>
        </w:tc>
        <w:tc>
          <w:tcPr>
            <w:tcW w:w="1055" w:type="dxa"/>
            <w:tcBorders>
              <w:top w:val="single" w:sz="4" w:space="0" w:color="17365D"/>
              <w:left w:val="nil"/>
              <w:bottom w:val="single" w:sz="4" w:space="0" w:color="17365D"/>
              <w:right w:val="nil"/>
            </w:tcBorders>
            <w:shd w:val="clear" w:color="auto" w:fill="auto"/>
            <w:noWrap/>
            <w:vAlign w:val="center"/>
          </w:tcPr>
          <w:p w14:paraId="70A5268F" w14:textId="3B34037B" w:rsidR="005853BF" w:rsidRPr="00A91188" w:rsidRDefault="005853BF" w:rsidP="005853BF">
            <w:pPr>
              <w:spacing w:after="0" w:line="240" w:lineRule="auto"/>
              <w:jc w:val="right"/>
              <w:rPr>
                <w:color w:val="17365D"/>
                <w:sz w:val="18"/>
                <w:szCs w:val="18"/>
              </w:rPr>
            </w:pPr>
            <w:r w:rsidRPr="00A91188">
              <w:rPr>
                <w:color w:val="17365D"/>
                <w:sz w:val="18"/>
                <w:szCs w:val="18"/>
              </w:rPr>
              <w:t>132 063</w:t>
            </w:r>
          </w:p>
        </w:tc>
        <w:tc>
          <w:tcPr>
            <w:tcW w:w="1063" w:type="dxa"/>
            <w:tcBorders>
              <w:top w:val="single" w:sz="4" w:space="0" w:color="17365D"/>
              <w:left w:val="nil"/>
              <w:bottom w:val="single" w:sz="4" w:space="0" w:color="17365D"/>
              <w:right w:val="nil"/>
            </w:tcBorders>
            <w:shd w:val="clear" w:color="auto" w:fill="auto"/>
            <w:noWrap/>
            <w:vAlign w:val="center"/>
          </w:tcPr>
          <w:p w14:paraId="0AC53AA8" w14:textId="38BCEF0B" w:rsidR="005853BF" w:rsidRPr="00A91188" w:rsidRDefault="005853BF" w:rsidP="005853BF">
            <w:pPr>
              <w:spacing w:after="0" w:line="240" w:lineRule="auto"/>
              <w:jc w:val="right"/>
              <w:rPr>
                <w:color w:val="17365D"/>
                <w:sz w:val="18"/>
                <w:szCs w:val="18"/>
              </w:rPr>
            </w:pPr>
            <w:r w:rsidRPr="00A91188">
              <w:rPr>
                <w:color w:val="17365D"/>
                <w:sz w:val="18"/>
                <w:szCs w:val="18"/>
              </w:rPr>
              <w:t>115 599</w:t>
            </w:r>
          </w:p>
        </w:tc>
        <w:tc>
          <w:tcPr>
            <w:tcW w:w="1122" w:type="dxa"/>
            <w:tcBorders>
              <w:top w:val="single" w:sz="4" w:space="0" w:color="17365D"/>
              <w:left w:val="nil"/>
              <w:bottom w:val="single" w:sz="4" w:space="0" w:color="17365D"/>
              <w:right w:val="nil"/>
            </w:tcBorders>
            <w:shd w:val="clear" w:color="auto" w:fill="auto"/>
            <w:noWrap/>
            <w:vAlign w:val="center"/>
          </w:tcPr>
          <w:p w14:paraId="4B67F880" w14:textId="6E72004B" w:rsidR="005853BF" w:rsidRPr="00A91188" w:rsidRDefault="005853BF" w:rsidP="005853BF">
            <w:pPr>
              <w:spacing w:after="0" w:line="240" w:lineRule="auto"/>
              <w:jc w:val="right"/>
              <w:rPr>
                <w:color w:val="17365D"/>
                <w:sz w:val="18"/>
                <w:szCs w:val="18"/>
              </w:rPr>
            </w:pPr>
            <w:r w:rsidRPr="00A91188">
              <w:rPr>
                <w:color w:val="17365D"/>
                <w:sz w:val="18"/>
                <w:szCs w:val="18"/>
              </w:rPr>
              <w:t>98 647</w:t>
            </w:r>
          </w:p>
        </w:tc>
      </w:tr>
      <w:tr w:rsidR="005853BF" w:rsidRPr="00A27896" w14:paraId="26B79457"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377B0633" w14:textId="31C693BF"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1268" w:type="dxa"/>
            <w:tcBorders>
              <w:top w:val="single" w:sz="4" w:space="0" w:color="17365D"/>
              <w:left w:val="nil"/>
              <w:bottom w:val="single" w:sz="4" w:space="0" w:color="17365D"/>
              <w:right w:val="nil"/>
            </w:tcBorders>
            <w:shd w:val="clear" w:color="auto" w:fill="auto"/>
            <w:vAlign w:val="center"/>
          </w:tcPr>
          <w:p w14:paraId="05A99870" w14:textId="2A537EF9" w:rsidR="005853BF" w:rsidRPr="00A91188" w:rsidRDefault="005853BF" w:rsidP="005853BF">
            <w:pPr>
              <w:spacing w:after="0" w:line="240" w:lineRule="auto"/>
              <w:jc w:val="right"/>
              <w:rPr>
                <w:color w:val="17365D"/>
                <w:sz w:val="18"/>
                <w:szCs w:val="18"/>
              </w:rPr>
            </w:pPr>
            <w:r w:rsidRPr="00A91188">
              <w:rPr>
                <w:color w:val="17365D"/>
                <w:sz w:val="18"/>
                <w:szCs w:val="18"/>
              </w:rPr>
              <w:t>356 415</w:t>
            </w:r>
          </w:p>
        </w:tc>
        <w:tc>
          <w:tcPr>
            <w:tcW w:w="1266" w:type="dxa"/>
            <w:tcBorders>
              <w:top w:val="single" w:sz="4" w:space="0" w:color="17365D"/>
              <w:left w:val="nil"/>
              <w:bottom w:val="single" w:sz="4" w:space="0" w:color="17365D"/>
              <w:right w:val="nil"/>
            </w:tcBorders>
            <w:shd w:val="clear" w:color="auto" w:fill="auto"/>
            <w:vAlign w:val="center"/>
          </w:tcPr>
          <w:p w14:paraId="5649C638" w14:textId="4B981987" w:rsidR="005853BF" w:rsidRPr="00A91188" w:rsidRDefault="005853BF" w:rsidP="005853BF">
            <w:pPr>
              <w:spacing w:after="0" w:line="240" w:lineRule="auto"/>
              <w:jc w:val="right"/>
              <w:rPr>
                <w:color w:val="17365D"/>
                <w:sz w:val="18"/>
                <w:szCs w:val="18"/>
              </w:rPr>
            </w:pPr>
            <w:r w:rsidRPr="00A91188">
              <w:rPr>
                <w:color w:val="17365D"/>
                <w:sz w:val="18"/>
                <w:szCs w:val="18"/>
              </w:rPr>
              <w:t>1 251 415</w:t>
            </w:r>
          </w:p>
        </w:tc>
        <w:tc>
          <w:tcPr>
            <w:tcW w:w="1453" w:type="dxa"/>
            <w:gridSpan w:val="2"/>
            <w:tcBorders>
              <w:top w:val="single" w:sz="4" w:space="0" w:color="17365D"/>
              <w:left w:val="nil"/>
              <w:bottom w:val="single" w:sz="4" w:space="0" w:color="17365D"/>
              <w:right w:val="nil"/>
            </w:tcBorders>
            <w:shd w:val="clear" w:color="auto" w:fill="auto"/>
            <w:noWrap/>
            <w:vAlign w:val="center"/>
          </w:tcPr>
          <w:p w14:paraId="674641C3" w14:textId="2DB60A31" w:rsidR="005853BF" w:rsidRPr="00A91188" w:rsidRDefault="005853BF" w:rsidP="005853BF">
            <w:pPr>
              <w:spacing w:after="0" w:line="240" w:lineRule="auto"/>
              <w:jc w:val="right"/>
              <w:rPr>
                <w:color w:val="17365D"/>
                <w:sz w:val="18"/>
                <w:szCs w:val="18"/>
              </w:rPr>
            </w:pPr>
            <w:r w:rsidRPr="00A91188">
              <w:rPr>
                <w:color w:val="17365D"/>
                <w:sz w:val="18"/>
                <w:szCs w:val="18"/>
              </w:rPr>
              <w:t>5 070 835</w:t>
            </w:r>
          </w:p>
        </w:tc>
        <w:tc>
          <w:tcPr>
            <w:tcW w:w="1055" w:type="dxa"/>
            <w:tcBorders>
              <w:top w:val="single" w:sz="4" w:space="0" w:color="17365D"/>
              <w:left w:val="nil"/>
              <w:bottom w:val="single" w:sz="4" w:space="0" w:color="17365D"/>
              <w:right w:val="nil"/>
            </w:tcBorders>
            <w:shd w:val="clear" w:color="auto" w:fill="auto"/>
            <w:noWrap/>
            <w:vAlign w:val="center"/>
          </w:tcPr>
          <w:p w14:paraId="0D55B381" w14:textId="1AAAA52A" w:rsidR="005853BF" w:rsidRPr="00A91188" w:rsidRDefault="005853BF" w:rsidP="005853BF">
            <w:pPr>
              <w:spacing w:after="0" w:line="240" w:lineRule="auto"/>
              <w:jc w:val="right"/>
              <w:rPr>
                <w:color w:val="17365D"/>
                <w:sz w:val="18"/>
                <w:szCs w:val="18"/>
              </w:rPr>
            </w:pPr>
            <w:r w:rsidRPr="00A91188">
              <w:rPr>
                <w:color w:val="17365D"/>
                <w:sz w:val="18"/>
                <w:szCs w:val="18"/>
              </w:rPr>
              <w:t>729 224</w:t>
            </w:r>
          </w:p>
        </w:tc>
        <w:tc>
          <w:tcPr>
            <w:tcW w:w="1063" w:type="dxa"/>
            <w:tcBorders>
              <w:top w:val="single" w:sz="4" w:space="0" w:color="17365D"/>
              <w:left w:val="nil"/>
              <w:bottom w:val="single" w:sz="4" w:space="0" w:color="17365D"/>
              <w:right w:val="nil"/>
            </w:tcBorders>
            <w:shd w:val="clear" w:color="auto" w:fill="auto"/>
            <w:noWrap/>
            <w:vAlign w:val="center"/>
          </w:tcPr>
          <w:p w14:paraId="2BD4114A" w14:textId="4C3072B5" w:rsidR="005853BF" w:rsidRPr="00A91188" w:rsidRDefault="005853BF" w:rsidP="005853BF">
            <w:pPr>
              <w:spacing w:after="0" w:line="240" w:lineRule="auto"/>
              <w:jc w:val="right"/>
              <w:rPr>
                <w:color w:val="17365D"/>
                <w:sz w:val="18"/>
                <w:szCs w:val="18"/>
              </w:rPr>
            </w:pPr>
            <w:r w:rsidRPr="00A91188">
              <w:rPr>
                <w:color w:val="17365D"/>
                <w:sz w:val="18"/>
                <w:szCs w:val="18"/>
              </w:rPr>
              <w:t>557 728</w:t>
            </w:r>
          </w:p>
        </w:tc>
        <w:tc>
          <w:tcPr>
            <w:tcW w:w="1122" w:type="dxa"/>
            <w:tcBorders>
              <w:top w:val="single" w:sz="4" w:space="0" w:color="17365D"/>
              <w:left w:val="nil"/>
              <w:bottom w:val="single" w:sz="4" w:space="0" w:color="17365D"/>
              <w:right w:val="nil"/>
            </w:tcBorders>
            <w:shd w:val="clear" w:color="auto" w:fill="auto"/>
            <w:noWrap/>
            <w:vAlign w:val="center"/>
          </w:tcPr>
          <w:p w14:paraId="01A80AEB" w14:textId="0AF819B9" w:rsidR="005853BF" w:rsidRPr="00A91188" w:rsidRDefault="005853BF" w:rsidP="005853BF">
            <w:pPr>
              <w:spacing w:after="0" w:line="240" w:lineRule="auto"/>
              <w:jc w:val="right"/>
              <w:rPr>
                <w:color w:val="17365D"/>
                <w:sz w:val="18"/>
                <w:szCs w:val="18"/>
              </w:rPr>
            </w:pPr>
            <w:r w:rsidRPr="00A91188">
              <w:rPr>
                <w:color w:val="17365D"/>
                <w:sz w:val="18"/>
                <w:szCs w:val="18"/>
              </w:rPr>
              <w:t>447 158</w:t>
            </w:r>
          </w:p>
        </w:tc>
      </w:tr>
      <w:tr w:rsidR="005853BF" w:rsidRPr="00A27896" w14:paraId="229C907E"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6BC2A592" w14:textId="77F8A650"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Bioloģiskie un pazemes aktīvi</w:t>
            </w:r>
          </w:p>
        </w:tc>
        <w:tc>
          <w:tcPr>
            <w:tcW w:w="1268" w:type="dxa"/>
            <w:tcBorders>
              <w:top w:val="single" w:sz="4" w:space="0" w:color="17365D"/>
              <w:left w:val="nil"/>
              <w:bottom w:val="single" w:sz="4" w:space="0" w:color="17365D"/>
              <w:right w:val="nil"/>
            </w:tcBorders>
            <w:shd w:val="clear" w:color="auto" w:fill="auto"/>
            <w:vAlign w:val="center"/>
          </w:tcPr>
          <w:p w14:paraId="2556C0D3" w14:textId="2344C013" w:rsidR="005853BF" w:rsidRPr="00A91188" w:rsidRDefault="005853BF" w:rsidP="005853BF">
            <w:pPr>
              <w:spacing w:after="0" w:line="240" w:lineRule="auto"/>
              <w:jc w:val="right"/>
              <w:rPr>
                <w:color w:val="17365D"/>
                <w:sz w:val="18"/>
                <w:szCs w:val="18"/>
              </w:rPr>
            </w:pPr>
            <w:r w:rsidRPr="00A91188">
              <w:rPr>
                <w:color w:val="17365D"/>
                <w:sz w:val="18"/>
                <w:szCs w:val="18"/>
              </w:rPr>
              <w:t>570 160</w:t>
            </w:r>
          </w:p>
        </w:tc>
        <w:tc>
          <w:tcPr>
            <w:tcW w:w="1266" w:type="dxa"/>
            <w:tcBorders>
              <w:top w:val="single" w:sz="4" w:space="0" w:color="17365D"/>
              <w:left w:val="nil"/>
              <w:bottom w:val="single" w:sz="4" w:space="0" w:color="17365D"/>
              <w:right w:val="nil"/>
            </w:tcBorders>
            <w:shd w:val="clear" w:color="auto" w:fill="auto"/>
            <w:vAlign w:val="center"/>
          </w:tcPr>
          <w:p w14:paraId="0C301461" w14:textId="759F44BB" w:rsidR="005853BF" w:rsidRPr="00A91188" w:rsidRDefault="005853BF" w:rsidP="005853BF">
            <w:pPr>
              <w:spacing w:after="0" w:line="240" w:lineRule="auto"/>
              <w:jc w:val="right"/>
              <w:rPr>
                <w:color w:val="17365D"/>
                <w:sz w:val="18"/>
                <w:szCs w:val="18"/>
              </w:rPr>
            </w:pPr>
            <w:r w:rsidRPr="00A91188">
              <w:rPr>
                <w:color w:val="17365D"/>
                <w:sz w:val="18"/>
                <w:szCs w:val="18"/>
              </w:rPr>
              <w:t>568 215</w:t>
            </w:r>
          </w:p>
        </w:tc>
        <w:tc>
          <w:tcPr>
            <w:tcW w:w="1453" w:type="dxa"/>
            <w:gridSpan w:val="2"/>
            <w:tcBorders>
              <w:top w:val="single" w:sz="4" w:space="0" w:color="17365D"/>
              <w:left w:val="nil"/>
              <w:bottom w:val="single" w:sz="4" w:space="0" w:color="17365D"/>
              <w:right w:val="nil"/>
            </w:tcBorders>
            <w:shd w:val="clear" w:color="auto" w:fill="auto"/>
            <w:noWrap/>
            <w:vAlign w:val="center"/>
          </w:tcPr>
          <w:p w14:paraId="2B8A89C8" w14:textId="2F3F35B1" w:rsidR="005853BF" w:rsidRPr="00A91188" w:rsidRDefault="005853BF" w:rsidP="005853BF">
            <w:pPr>
              <w:spacing w:after="0" w:line="240" w:lineRule="auto"/>
              <w:jc w:val="right"/>
              <w:rPr>
                <w:color w:val="17365D"/>
                <w:sz w:val="18"/>
                <w:szCs w:val="18"/>
              </w:rPr>
            </w:pPr>
            <w:r w:rsidRPr="00A91188">
              <w:rPr>
                <w:color w:val="17365D"/>
                <w:sz w:val="18"/>
                <w:szCs w:val="18"/>
              </w:rPr>
              <w:t>2 463</w:t>
            </w:r>
          </w:p>
        </w:tc>
        <w:tc>
          <w:tcPr>
            <w:tcW w:w="1055" w:type="dxa"/>
            <w:tcBorders>
              <w:top w:val="single" w:sz="4" w:space="0" w:color="17365D"/>
              <w:left w:val="nil"/>
              <w:bottom w:val="single" w:sz="4" w:space="0" w:color="17365D"/>
              <w:right w:val="nil"/>
            </w:tcBorders>
            <w:shd w:val="clear" w:color="auto" w:fill="auto"/>
            <w:noWrap/>
            <w:vAlign w:val="center"/>
          </w:tcPr>
          <w:p w14:paraId="7CD48E80" w14:textId="17C39845" w:rsidR="005853BF" w:rsidRPr="00A91188" w:rsidRDefault="005853BF" w:rsidP="005853BF">
            <w:pPr>
              <w:spacing w:after="0" w:line="240" w:lineRule="auto"/>
              <w:jc w:val="right"/>
              <w:rPr>
                <w:color w:val="17365D"/>
                <w:sz w:val="18"/>
                <w:szCs w:val="18"/>
              </w:rPr>
            </w:pPr>
            <w:r w:rsidRPr="00A91188">
              <w:rPr>
                <w:color w:val="17365D"/>
                <w:sz w:val="18"/>
                <w:szCs w:val="18"/>
              </w:rPr>
              <w:t>810</w:t>
            </w:r>
          </w:p>
        </w:tc>
        <w:tc>
          <w:tcPr>
            <w:tcW w:w="1063" w:type="dxa"/>
            <w:tcBorders>
              <w:top w:val="single" w:sz="4" w:space="0" w:color="17365D"/>
              <w:left w:val="nil"/>
              <w:bottom w:val="single" w:sz="4" w:space="0" w:color="17365D"/>
              <w:right w:val="nil"/>
            </w:tcBorders>
            <w:shd w:val="clear" w:color="auto" w:fill="auto"/>
            <w:noWrap/>
            <w:vAlign w:val="center"/>
          </w:tcPr>
          <w:p w14:paraId="016BC455" w14:textId="55F49E19" w:rsidR="005853BF" w:rsidRPr="00A91188" w:rsidRDefault="005853BF" w:rsidP="005853BF">
            <w:pPr>
              <w:spacing w:after="0" w:line="240" w:lineRule="auto"/>
              <w:jc w:val="right"/>
              <w:rPr>
                <w:color w:val="17365D"/>
                <w:sz w:val="18"/>
                <w:szCs w:val="18"/>
              </w:rPr>
            </w:pPr>
            <w:r w:rsidRPr="00A91188">
              <w:rPr>
                <w:color w:val="17365D"/>
                <w:sz w:val="18"/>
                <w:szCs w:val="18"/>
              </w:rPr>
              <w:t>644</w:t>
            </w:r>
          </w:p>
        </w:tc>
        <w:tc>
          <w:tcPr>
            <w:tcW w:w="1122" w:type="dxa"/>
            <w:tcBorders>
              <w:top w:val="single" w:sz="4" w:space="0" w:color="17365D"/>
              <w:left w:val="nil"/>
              <w:bottom w:val="single" w:sz="4" w:space="0" w:color="17365D"/>
              <w:right w:val="nil"/>
            </w:tcBorders>
            <w:shd w:val="clear" w:color="auto" w:fill="auto"/>
            <w:noWrap/>
            <w:vAlign w:val="center"/>
          </w:tcPr>
          <w:p w14:paraId="1E579FDD" w14:textId="600A238F" w:rsidR="005853BF" w:rsidRPr="00A91188" w:rsidRDefault="005853BF" w:rsidP="005853BF">
            <w:pPr>
              <w:spacing w:after="0" w:line="240" w:lineRule="auto"/>
              <w:jc w:val="right"/>
              <w:rPr>
                <w:color w:val="17365D"/>
                <w:sz w:val="18"/>
                <w:szCs w:val="18"/>
              </w:rPr>
            </w:pPr>
            <w:r w:rsidRPr="00A91188">
              <w:rPr>
                <w:color w:val="17365D"/>
                <w:sz w:val="18"/>
                <w:szCs w:val="18"/>
              </w:rPr>
              <w:t>531</w:t>
            </w:r>
          </w:p>
        </w:tc>
      </w:tr>
      <w:tr w:rsidR="005853BF" w:rsidRPr="00A27896" w14:paraId="05099DE1"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tcPr>
          <w:p w14:paraId="19E611A9" w14:textId="011F4BBF"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Ieguldījuma īpašumi</w:t>
            </w:r>
          </w:p>
        </w:tc>
        <w:tc>
          <w:tcPr>
            <w:tcW w:w="1268" w:type="dxa"/>
            <w:tcBorders>
              <w:top w:val="single" w:sz="4" w:space="0" w:color="17365D"/>
              <w:left w:val="nil"/>
              <w:bottom w:val="single" w:sz="4" w:space="0" w:color="17365D"/>
              <w:right w:val="nil"/>
            </w:tcBorders>
            <w:shd w:val="clear" w:color="auto" w:fill="auto"/>
            <w:vAlign w:val="center"/>
          </w:tcPr>
          <w:p w14:paraId="2A403DFD" w14:textId="066F06E6" w:rsidR="005853BF" w:rsidRPr="00A91188" w:rsidRDefault="005853BF" w:rsidP="005853BF">
            <w:pPr>
              <w:spacing w:after="0" w:line="240" w:lineRule="auto"/>
              <w:jc w:val="right"/>
              <w:rPr>
                <w:color w:val="17365D"/>
                <w:sz w:val="18"/>
                <w:szCs w:val="18"/>
              </w:rPr>
            </w:pPr>
            <w:r w:rsidRPr="00A91188">
              <w:rPr>
                <w:color w:val="17365D"/>
                <w:sz w:val="18"/>
                <w:szCs w:val="18"/>
              </w:rPr>
              <w:t>167 909 419</w:t>
            </w:r>
          </w:p>
        </w:tc>
        <w:tc>
          <w:tcPr>
            <w:tcW w:w="1266" w:type="dxa"/>
            <w:tcBorders>
              <w:top w:val="single" w:sz="4" w:space="0" w:color="17365D"/>
              <w:left w:val="nil"/>
              <w:bottom w:val="single" w:sz="4" w:space="0" w:color="17365D"/>
              <w:right w:val="nil"/>
            </w:tcBorders>
            <w:shd w:val="clear" w:color="auto" w:fill="auto"/>
            <w:vAlign w:val="center"/>
          </w:tcPr>
          <w:p w14:paraId="7D96D239" w14:textId="79F5BC08" w:rsidR="005853BF" w:rsidRPr="00A91188" w:rsidRDefault="005853BF" w:rsidP="005853BF">
            <w:pPr>
              <w:spacing w:after="0" w:line="240" w:lineRule="auto"/>
              <w:jc w:val="right"/>
              <w:rPr>
                <w:color w:val="17365D"/>
                <w:sz w:val="18"/>
                <w:szCs w:val="18"/>
              </w:rPr>
            </w:pPr>
            <w:r w:rsidRPr="00A91188">
              <w:rPr>
                <w:color w:val="17365D"/>
                <w:sz w:val="18"/>
                <w:szCs w:val="18"/>
              </w:rPr>
              <w:t>164 215 475</w:t>
            </w:r>
          </w:p>
        </w:tc>
        <w:tc>
          <w:tcPr>
            <w:tcW w:w="1453" w:type="dxa"/>
            <w:gridSpan w:val="2"/>
            <w:tcBorders>
              <w:top w:val="single" w:sz="4" w:space="0" w:color="17365D"/>
              <w:left w:val="nil"/>
              <w:bottom w:val="single" w:sz="4" w:space="0" w:color="17365D"/>
              <w:right w:val="nil"/>
            </w:tcBorders>
            <w:shd w:val="clear" w:color="auto" w:fill="auto"/>
            <w:noWrap/>
            <w:vAlign w:val="center"/>
          </w:tcPr>
          <w:p w14:paraId="1E0BC135" w14:textId="1D679F01" w:rsidR="005853BF" w:rsidRPr="00A91188" w:rsidRDefault="005853BF" w:rsidP="005853BF">
            <w:pPr>
              <w:spacing w:after="0" w:line="240" w:lineRule="auto"/>
              <w:jc w:val="right"/>
              <w:rPr>
                <w:color w:val="17365D"/>
                <w:sz w:val="18"/>
                <w:szCs w:val="18"/>
              </w:rPr>
            </w:pPr>
            <w:r w:rsidRPr="00A91188">
              <w:rPr>
                <w:color w:val="17365D"/>
                <w:sz w:val="18"/>
                <w:szCs w:val="18"/>
              </w:rPr>
              <w:t>71 700 550</w:t>
            </w:r>
          </w:p>
        </w:tc>
        <w:tc>
          <w:tcPr>
            <w:tcW w:w="1055" w:type="dxa"/>
            <w:tcBorders>
              <w:top w:val="single" w:sz="4" w:space="0" w:color="17365D"/>
              <w:left w:val="nil"/>
              <w:bottom w:val="single" w:sz="4" w:space="0" w:color="17365D"/>
              <w:right w:val="nil"/>
            </w:tcBorders>
            <w:shd w:val="clear" w:color="auto" w:fill="auto"/>
            <w:noWrap/>
            <w:vAlign w:val="center"/>
          </w:tcPr>
          <w:p w14:paraId="43FFC254" w14:textId="78C4046E" w:rsidR="005853BF" w:rsidRPr="00A91188" w:rsidRDefault="005853BF" w:rsidP="005853BF">
            <w:pPr>
              <w:spacing w:after="0" w:line="240" w:lineRule="auto"/>
              <w:jc w:val="right"/>
              <w:rPr>
                <w:color w:val="17365D"/>
                <w:sz w:val="18"/>
                <w:szCs w:val="18"/>
              </w:rPr>
            </w:pPr>
            <w:r w:rsidRPr="00A91188">
              <w:rPr>
                <w:color w:val="17365D"/>
                <w:sz w:val="18"/>
                <w:szCs w:val="18"/>
              </w:rPr>
              <w:t>9 048 971</w:t>
            </w:r>
          </w:p>
        </w:tc>
        <w:tc>
          <w:tcPr>
            <w:tcW w:w="1063" w:type="dxa"/>
            <w:tcBorders>
              <w:top w:val="single" w:sz="4" w:space="0" w:color="17365D"/>
              <w:left w:val="nil"/>
              <w:bottom w:val="single" w:sz="4" w:space="0" w:color="17365D"/>
              <w:right w:val="nil"/>
            </w:tcBorders>
            <w:shd w:val="clear" w:color="auto" w:fill="auto"/>
            <w:noWrap/>
            <w:vAlign w:val="center"/>
          </w:tcPr>
          <w:p w14:paraId="45CEF392" w14:textId="5765EB86" w:rsidR="005853BF" w:rsidRPr="00A91188" w:rsidRDefault="005853BF" w:rsidP="005853BF">
            <w:pPr>
              <w:spacing w:after="0" w:line="240" w:lineRule="auto"/>
              <w:jc w:val="right"/>
              <w:rPr>
                <w:color w:val="17365D"/>
                <w:sz w:val="18"/>
                <w:szCs w:val="18"/>
              </w:rPr>
            </w:pPr>
            <w:r w:rsidRPr="00A91188">
              <w:rPr>
                <w:color w:val="17365D"/>
                <w:sz w:val="18"/>
                <w:szCs w:val="18"/>
              </w:rPr>
              <w:t>8 704 836</w:t>
            </w:r>
          </w:p>
        </w:tc>
        <w:tc>
          <w:tcPr>
            <w:tcW w:w="1122" w:type="dxa"/>
            <w:tcBorders>
              <w:top w:val="single" w:sz="4" w:space="0" w:color="17365D"/>
              <w:left w:val="nil"/>
              <w:bottom w:val="single" w:sz="4" w:space="0" w:color="17365D"/>
              <w:right w:val="nil"/>
            </w:tcBorders>
            <w:shd w:val="clear" w:color="auto" w:fill="auto"/>
            <w:noWrap/>
            <w:vAlign w:val="center"/>
          </w:tcPr>
          <w:p w14:paraId="2F6306D3" w14:textId="0EEF3676" w:rsidR="005853BF" w:rsidRPr="00A91188" w:rsidRDefault="005853BF" w:rsidP="005853BF">
            <w:pPr>
              <w:spacing w:after="0" w:line="240" w:lineRule="auto"/>
              <w:jc w:val="right"/>
              <w:rPr>
                <w:color w:val="17365D"/>
                <w:sz w:val="18"/>
                <w:szCs w:val="18"/>
              </w:rPr>
            </w:pPr>
            <w:r w:rsidRPr="00A91188">
              <w:rPr>
                <w:color w:val="17365D"/>
                <w:sz w:val="18"/>
                <w:szCs w:val="18"/>
              </w:rPr>
              <w:t>8 007 850</w:t>
            </w:r>
          </w:p>
        </w:tc>
      </w:tr>
      <w:tr w:rsidR="005853BF" w:rsidRPr="00A27896" w14:paraId="6C4A6895"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4BD562D6" w14:textId="22AE49F9"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cs="Times New Roman"/>
                <w:color w:val="17365D"/>
                <w:sz w:val="18"/>
                <w:szCs w:val="18"/>
              </w:rPr>
              <w:t>Turējumā nodotie ieguldījuma īpašumi</w:t>
            </w:r>
          </w:p>
        </w:tc>
        <w:tc>
          <w:tcPr>
            <w:tcW w:w="1268" w:type="dxa"/>
            <w:tcBorders>
              <w:top w:val="single" w:sz="4" w:space="0" w:color="17365D"/>
              <w:left w:val="nil"/>
              <w:bottom w:val="single" w:sz="4" w:space="0" w:color="17365D"/>
              <w:right w:val="nil"/>
            </w:tcBorders>
            <w:shd w:val="clear" w:color="auto" w:fill="auto"/>
            <w:vAlign w:val="center"/>
          </w:tcPr>
          <w:p w14:paraId="543D87E7" w14:textId="35130889" w:rsidR="005853BF" w:rsidRPr="00A91188" w:rsidRDefault="005853BF" w:rsidP="005853BF">
            <w:pPr>
              <w:spacing w:after="0" w:line="240" w:lineRule="auto"/>
              <w:jc w:val="right"/>
              <w:rPr>
                <w:color w:val="17365D"/>
                <w:sz w:val="18"/>
                <w:szCs w:val="18"/>
              </w:rPr>
            </w:pPr>
            <w:r w:rsidRPr="00A91188">
              <w:rPr>
                <w:color w:val="17365D"/>
                <w:sz w:val="18"/>
                <w:szCs w:val="18"/>
              </w:rPr>
              <w:t>1 700 061</w:t>
            </w:r>
          </w:p>
        </w:tc>
        <w:tc>
          <w:tcPr>
            <w:tcW w:w="1266" w:type="dxa"/>
            <w:tcBorders>
              <w:top w:val="single" w:sz="4" w:space="0" w:color="17365D"/>
              <w:left w:val="nil"/>
              <w:bottom w:val="single" w:sz="4" w:space="0" w:color="17365D"/>
              <w:right w:val="nil"/>
            </w:tcBorders>
            <w:shd w:val="clear" w:color="auto" w:fill="auto"/>
            <w:vAlign w:val="center"/>
          </w:tcPr>
          <w:p w14:paraId="579392CA" w14:textId="18E3159C" w:rsidR="005853BF" w:rsidRPr="00A91188" w:rsidRDefault="005853BF" w:rsidP="005853BF">
            <w:pPr>
              <w:spacing w:after="0" w:line="240" w:lineRule="auto"/>
              <w:jc w:val="right"/>
              <w:rPr>
                <w:color w:val="17365D"/>
                <w:sz w:val="18"/>
                <w:szCs w:val="18"/>
              </w:rPr>
            </w:pPr>
            <w:r w:rsidRPr="00A91188">
              <w:rPr>
                <w:color w:val="17365D"/>
                <w:sz w:val="18"/>
                <w:szCs w:val="18"/>
              </w:rPr>
              <w:t>1 616 708</w:t>
            </w:r>
          </w:p>
        </w:tc>
        <w:tc>
          <w:tcPr>
            <w:tcW w:w="1453" w:type="dxa"/>
            <w:gridSpan w:val="2"/>
            <w:tcBorders>
              <w:top w:val="single" w:sz="4" w:space="0" w:color="17365D"/>
              <w:left w:val="nil"/>
              <w:bottom w:val="single" w:sz="4" w:space="0" w:color="17365D"/>
              <w:right w:val="nil"/>
            </w:tcBorders>
            <w:shd w:val="clear" w:color="auto" w:fill="auto"/>
            <w:noWrap/>
            <w:vAlign w:val="center"/>
          </w:tcPr>
          <w:p w14:paraId="53734279" w14:textId="10B83FAA" w:rsidR="005853BF" w:rsidRPr="00A91188" w:rsidRDefault="005853BF" w:rsidP="005853BF">
            <w:pPr>
              <w:spacing w:after="0" w:line="240" w:lineRule="auto"/>
              <w:jc w:val="right"/>
              <w:rPr>
                <w:color w:val="17365D"/>
                <w:sz w:val="18"/>
                <w:szCs w:val="18"/>
              </w:rPr>
            </w:pPr>
            <w:r w:rsidRPr="00A91188">
              <w:rPr>
                <w:color w:val="17365D"/>
                <w:sz w:val="18"/>
                <w:szCs w:val="18"/>
              </w:rPr>
              <w:t>678 120</w:t>
            </w:r>
          </w:p>
        </w:tc>
        <w:tc>
          <w:tcPr>
            <w:tcW w:w="1055" w:type="dxa"/>
            <w:tcBorders>
              <w:top w:val="single" w:sz="4" w:space="0" w:color="17365D"/>
              <w:left w:val="nil"/>
              <w:bottom w:val="single" w:sz="4" w:space="0" w:color="17365D"/>
              <w:right w:val="nil"/>
            </w:tcBorders>
            <w:shd w:val="clear" w:color="auto" w:fill="auto"/>
            <w:noWrap/>
            <w:vAlign w:val="center"/>
          </w:tcPr>
          <w:p w14:paraId="07C9F5CD" w14:textId="12DC8253" w:rsidR="005853BF" w:rsidRPr="00A91188" w:rsidRDefault="005853BF" w:rsidP="005853BF">
            <w:pPr>
              <w:spacing w:after="0" w:line="240" w:lineRule="auto"/>
              <w:jc w:val="right"/>
              <w:rPr>
                <w:color w:val="17365D"/>
                <w:sz w:val="18"/>
                <w:szCs w:val="18"/>
              </w:rPr>
            </w:pPr>
            <w:r w:rsidRPr="00A91188">
              <w:rPr>
                <w:color w:val="17365D"/>
                <w:sz w:val="18"/>
                <w:szCs w:val="18"/>
              </w:rPr>
              <w:t>206 429</w:t>
            </w:r>
          </w:p>
        </w:tc>
        <w:tc>
          <w:tcPr>
            <w:tcW w:w="1063" w:type="dxa"/>
            <w:tcBorders>
              <w:top w:val="single" w:sz="4" w:space="0" w:color="17365D"/>
              <w:left w:val="nil"/>
              <w:bottom w:val="single" w:sz="4" w:space="0" w:color="17365D"/>
              <w:right w:val="nil"/>
            </w:tcBorders>
            <w:shd w:val="clear" w:color="auto" w:fill="auto"/>
            <w:noWrap/>
            <w:vAlign w:val="center"/>
          </w:tcPr>
          <w:p w14:paraId="69E764C7" w14:textId="46304B32" w:rsidR="005853BF" w:rsidRPr="00A91188" w:rsidRDefault="005853BF" w:rsidP="005853BF">
            <w:pPr>
              <w:spacing w:after="0" w:line="240" w:lineRule="auto"/>
              <w:jc w:val="right"/>
              <w:rPr>
                <w:color w:val="17365D"/>
                <w:sz w:val="18"/>
                <w:szCs w:val="18"/>
              </w:rPr>
            </w:pPr>
            <w:r w:rsidRPr="00A91188">
              <w:rPr>
                <w:color w:val="17365D"/>
                <w:sz w:val="18"/>
                <w:szCs w:val="18"/>
              </w:rPr>
              <w:t>130 225</w:t>
            </w:r>
          </w:p>
        </w:tc>
        <w:tc>
          <w:tcPr>
            <w:tcW w:w="1122" w:type="dxa"/>
            <w:tcBorders>
              <w:top w:val="single" w:sz="4" w:space="0" w:color="17365D"/>
              <w:left w:val="nil"/>
              <w:bottom w:val="single" w:sz="4" w:space="0" w:color="17365D"/>
              <w:right w:val="nil"/>
            </w:tcBorders>
            <w:shd w:val="clear" w:color="auto" w:fill="auto"/>
            <w:noWrap/>
            <w:vAlign w:val="center"/>
          </w:tcPr>
          <w:p w14:paraId="6D12260B" w14:textId="3090FE9A" w:rsidR="005853BF" w:rsidRPr="00A91188" w:rsidRDefault="005853BF" w:rsidP="005853BF">
            <w:pPr>
              <w:spacing w:after="0" w:line="240" w:lineRule="auto"/>
              <w:jc w:val="right"/>
              <w:rPr>
                <w:color w:val="17365D"/>
                <w:sz w:val="18"/>
                <w:szCs w:val="18"/>
              </w:rPr>
            </w:pPr>
            <w:r w:rsidRPr="00A91188">
              <w:rPr>
                <w:color w:val="17365D"/>
                <w:sz w:val="18"/>
                <w:szCs w:val="18"/>
              </w:rPr>
              <w:t>80 196</w:t>
            </w:r>
          </w:p>
        </w:tc>
      </w:tr>
      <w:tr w:rsidR="005853BF" w:rsidRPr="00A27896" w14:paraId="70DFC0E5"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7D9B0E3E" w14:textId="3772C1A2"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cs="Times New Roman"/>
                <w:color w:val="17365D"/>
                <w:sz w:val="18"/>
                <w:szCs w:val="18"/>
              </w:rPr>
              <w:lastRenderedPageBreak/>
              <w:t>Bioloģiskie aktīvi lauksaimnieciskajai darbībai</w:t>
            </w:r>
          </w:p>
        </w:tc>
        <w:tc>
          <w:tcPr>
            <w:tcW w:w="1268" w:type="dxa"/>
            <w:tcBorders>
              <w:top w:val="single" w:sz="4" w:space="0" w:color="17365D"/>
              <w:left w:val="nil"/>
              <w:bottom w:val="single" w:sz="4" w:space="0" w:color="17365D"/>
              <w:right w:val="nil"/>
            </w:tcBorders>
            <w:shd w:val="clear" w:color="auto" w:fill="auto"/>
            <w:vAlign w:val="center"/>
          </w:tcPr>
          <w:p w14:paraId="407E52F0" w14:textId="3FB38C60" w:rsidR="005853BF" w:rsidRPr="00A91188" w:rsidRDefault="005853BF" w:rsidP="005853BF">
            <w:pPr>
              <w:spacing w:after="0" w:line="240" w:lineRule="auto"/>
              <w:jc w:val="right"/>
              <w:rPr>
                <w:color w:val="17365D"/>
                <w:sz w:val="18"/>
                <w:szCs w:val="18"/>
              </w:rPr>
            </w:pPr>
            <w:r w:rsidRPr="00A91188">
              <w:rPr>
                <w:color w:val="17365D"/>
                <w:sz w:val="18"/>
                <w:szCs w:val="18"/>
              </w:rPr>
              <w:t>6 219</w:t>
            </w:r>
          </w:p>
        </w:tc>
        <w:tc>
          <w:tcPr>
            <w:tcW w:w="1266" w:type="dxa"/>
            <w:tcBorders>
              <w:top w:val="single" w:sz="4" w:space="0" w:color="17365D"/>
              <w:left w:val="nil"/>
              <w:bottom w:val="single" w:sz="4" w:space="0" w:color="17365D"/>
              <w:right w:val="nil"/>
            </w:tcBorders>
            <w:shd w:val="clear" w:color="auto" w:fill="auto"/>
            <w:vAlign w:val="center"/>
          </w:tcPr>
          <w:p w14:paraId="4940A91D" w14:textId="043BC250" w:rsidR="005853BF" w:rsidRPr="00A91188" w:rsidRDefault="005853BF" w:rsidP="005853BF">
            <w:pPr>
              <w:spacing w:after="0" w:line="240" w:lineRule="auto"/>
              <w:jc w:val="right"/>
              <w:rPr>
                <w:color w:val="17365D"/>
                <w:sz w:val="18"/>
                <w:szCs w:val="18"/>
              </w:rPr>
            </w:pPr>
            <w:r w:rsidRPr="00A91188">
              <w:rPr>
                <w:color w:val="17365D"/>
                <w:sz w:val="18"/>
                <w:szCs w:val="18"/>
              </w:rPr>
              <w:t>6 465</w:t>
            </w:r>
          </w:p>
        </w:tc>
        <w:tc>
          <w:tcPr>
            <w:tcW w:w="1453" w:type="dxa"/>
            <w:gridSpan w:val="2"/>
            <w:tcBorders>
              <w:top w:val="single" w:sz="4" w:space="0" w:color="17365D"/>
              <w:left w:val="nil"/>
              <w:bottom w:val="single" w:sz="4" w:space="0" w:color="17365D"/>
              <w:right w:val="nil"/>
            </w:tcBorders>
            <w:shd w:val="clear" w:color="auto" w:fill="auto"/>
            <w:noWrap/>
            <w:vAlign w:val="center"/>
          </w:tcPr>
          <w:p w14:paraId="50A494E7" w14:textId="4E5DD679" w:rsidR="005853BF" w:rsidRPr="00A91188" w:rsidRDefault="005853BF" w:rsidP="005853BF">
            <w:pPr>
              <w:spacing w:after="0" w:line="240" w:lineRule="auto"/>
              <w:jc w:val="right"/>
              <w:rPr>
                <w:color w:val="17365D"/>
                <w:sz w:val="18"/>
                <w:szCs w:val="18"/>
              </w:rPr>
            </w:pPr>
            <w:r w:rsidRPr="00A91188">
              <w:rPr>
                <w:color w:val="17365D"/>
                <w:sz w:val="18"/>
                <w:szCs w:val="18"/>
              </w:rPr>
              <w:t>3 034</w:t>
            </w:r>
          </w:p>
        </w:tc>
        <w:tc>
          <w:tcPr>
            <w:tcW w:w="1055" w:type="dxa"/>
            <w:tcBorders>
              <w:top w:val="single" w:sz="4" w:space="0" w:color="17365D"/>
              <w:left w:val="nil"/>
              <w:bottom w:val="single" w:sz="4" w:space="0" w:color="17365D"/>
              <w:right w:val="nil"/>
            </w:tcBorders>
            <w:shd w:val="clear" w:color="auto" w:fill="auto"/>
            <w:noWrap/>
            <w:vAlign w:val="center"/>
          </w:tcPr>
          <w:p w14:paraId="54F133D0" w14:textId="7247A937" w:rsidR="005853BF" w:rsidRPr="00A91188" w:rsidRDefault="005853BF" w:rsidP="005853BF">
            <w:pPr>
              <w:spacing w:after="0" w:line="240" w:lineRule="auto"/>
              <w:jc w:val="right"/>
              <w:rPr>
                <w:color w:val="17365D"/>
                <w:sz w:val="18"/>
                <w:szCs w:val="18"/>
              </w:rPr>
            </w:pPr>
            <w:r w:rsidRPr="00A91188">
              <w:rPr>
                <w:color w:val="17365D"/>
                <w:sz w:val="18"/>
                <w:szCs w:val="18"/>
              </w:rPr>
              <w:t>37</w:t>
            </w:r>
          </w:p>
        </w:tc>
        <w:tc>
          <w:tcPr>
            <w:tcW w:w="1063" w:type="dxa"/>
            <w:tcBorders>
              <w:top w:val="single" w:sz="4" w:space="0" w:color="17365D"/>
              <w:left w:val="nil"/>
              <w:bottom w:val="single" w:sz="4" w:space="0" w:color="17365D"/>
              <w:right w:val="nil"/>
            </w:tcBorders>
            <w:shd w:val="clear" w:color="auto" w:fill="auto"/>
            <w:noWrap/>
            <w:vAlign w:val="center"/>
          </w:tcPr>
          <w:p w14:paraId="445DA0DB" w14:textId="4FB22EB8" w:rsidR="005853BF" w:rsidRPr="00A91188" w:rsidRDefault="005853BF" w:rsidP="005853BF">
            <w:pPr>
              <w:spacing w:after="0" w:line="240" w:lineRule="auto"/>
              <w:jc w:val="right"/>
              <w:rPr>
                <w:color w:val="17365D"/>
                <w:sz w:val="18"/>
                <w:szCs w:val="18"/>
              </w:rPr>
            </w:pPr>
            <w:r w:rsidRPr="00A91188">
              <w:rPr>
                <w:color w:val="17365D"/>
                <w:sz w:val="18"/>
                <w:szCs w:val="18"/>
              </w:rPr>
              <w:t>37</w:t>
            </w:r>
          </w:p>
        </w:tc>
        <w:tc>
          <w:tcPr>
            <w:tcW w:w="1122" w:type="dxa"/>
            <w:tcBorders>
              <w:top w:val="single" w:sz="4" w:space="0" w:color="17365D"/>
              <w:left w:val="nil"/>
              <w:bottom w:val="single" w:sz="4" w:space="0" w:color="17365D"/>
              <w:right w:val="nil"/>
            </w:tcBorders>
            <w:shd w:val="clear" w:color="auto" w:fill="auto"/>
            <w:noWrap/>
            <w:vAlign w:val="center"/>
          </w:tcPr>
          <w:p w14:paraId="56F0D9C8" w14:textId="6CAE633B" w:rsidR="005853BF" w:rsidRPr="00A91188" w:rsidRDefault="005853BF" w:rsidP="005853BF">
            <w:pPr>
              <w:spacing w:after="0" w:line="240" w:lineRule="auto"/>
              <w:jc w:val="right"/>
              <w:rPr>
                <w:color w:val="17365D"/>
                <w:sz w:val="18"/>
                <w:szCs w:val="18"/>
              </w:rPr>
            </w:pPr>
            <w:r w:rsidRPr="00A91188">
              <w:rPr>
                <w:color w:val="17365D"/>
                <w:sz w:val="18"/>
                <w:szCs w:val="18"/>
              </w:rPr>
              <w:t>37</w:t>
            </w:r>
          </w:p>
        </w:tc>
      </w:tr>
      <w:tr w:rsidR="005853BF" w:rsidRPr="00A27896" w14:paraId="7A4650E9"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52F7F8F7" w14:textId="216EBD52" w:rsidR="005853BF" w:rsidRPr="00A27896" w:rsidRDefault="005853BF" w:rsidP="005853BF">
            <w:pPr>
              <w:spacing w:after="0" w:line="240" w:lineRule="auto"/>
              <w:rPr>
                <w:rFonts w:eastAsia="Times New Roman" w:cs="Times New Roman"/>
                <w:bCs/>
                <w:color w:val="17365D"/>
                <w:sz w:val="18"/>
                <w:szCs w:val="18"/>
                <w:lang w:eastAsia="lv-LV"/>
              </w:rPr>
            </w:pPr>
            <w:r w:rsidRPr="00A27896">
              <w:rPr>
                <w:rFonts w:cs="Times New Roman"/>
                <w:b/>
                <w:bCs/>
                <w:color w:val="17365D"/>
                <w:sz w:val="18"/>
                <w:szCs w:val="18"/>
              </w:rPr>
              <w:t>Apgrozāmie līdzekļi</w:t>
            </w:r>
          </w:p>
        </w:tc>
        <w:tc>
          <w:tcPr>
            <w:tcW w:w="1268" w:type="dxa"/>
            <w:tcBorders>
              <w:top w:val="single" w:sz="4" w:space="0" w:color="17365D"/>
              <w:left w:val="nil"/>
              <w:bottom w:val="single" w:sz="4" w:space="0" w:color="17365D"/>
              <w:right w:val="nil"/>
            </w:tcBorders>
            <w:shd w:val="clear" w:color="auto" w:fill="auto"/>
            <w:vAlign w:val="center"/>
          </w:tcPr>
          <w:p w14:paraId="0E170B9A" w14:textId="2C495D9C" w:rsidR="005853BF" w:rsidRPr="00A91188" w:rsidRDefault="005853BF" w:rsidP="005853BF">
            <w:pPr>
              <w:spacing w:after="0" w:line="240" w:lineRule="auto"/>
              <w:jc w:val="right"/>
              <w:rPr>
                <w:b/>
                <w:bCs/>
                <w:color w:val="17365D"/>
                <w:sz w:val="18"/>
                <w:szCs w:val="18"/>
              </w:rPr>
            </w:pPr>
            <w:r w:rsidRPr="00A91188">
              <w:rPr>
                <w:b/>
                <w:bCs/>
                <w:color w:val="17365D"/>
                <w:sz w:val="18"/>
                <w:szCs w:val="18"/>
              </w:rPr>
              <w:t>6 369</w:t>
            </w:r>
          </w:p>
        </w:tc>
        <w:tc>
          <w:tcPr>
            <w:tcW w:w="1266" w:type="dxa"/>
            <w:tcBorders>
              <w:top w:val="single" w:sz="4" w:space="0" w:color="17365D"/>
              <w:left w:val="nil"/>
              <w:bottom w:val="single" w:sz="4" w:space="0" w:color="17365D"/>
              <w:right w:val="nil"/>
            </w:tcBorders>
            <w:shd w:val="clear" w:color="auto" w:fill="auto"/>
            <w:vAlign w:val="center"/>
          </w:tcPr>
          <w:p w14:paraId="2524CDB1" w14:textId="2A7906A4" w:rsidR="005853BF" w:rsidRPr="00A91188" w:rsidRDefault="005853BF" w:rsidP="005853BF">
            <w:pPr>
              <w:spacing w:after="0" w:line="240" w:lineRule="auto"/>
              <w:jc w:val="right"/>
              <w:rPr>
                <w:b/>
                <w:bCs/>
                <w:color w:val="17365D"/>
                <w:sz w:val="18"/>
                <w:szCs w:val="18"/>
              </w:rPr>
            </w:pPr>
            <w:r w:rsidRPr="00A91188">
              <w:rPr>
                <w:b/>
                <w:bCs/>
                <w:color w:val="17365D"/>
                <w:sz w:val="18"/>
                <w:szCs w:val="18"/>
              </w:rPr>
              <w:t>3 552</w:t>
            </w:r>
          </w:p>
        </w:tc>
        <w:tc>
          <w:tcPr>
            <w:tcW w:w="1453" w:type="dxa"/>
            <w:gridSpan w:val="2"/>
            <w:tcBorders>
              <w:top w:val="single" w:sz="4" w:space="0" w:color="17365D"/>
              <w:left w:val="nil"/>
              <w:bottom w:val="single" w:sz="4" w:space="0" w:color="17365D"/>
              <w:right w:val="nil"/>
            </w:tcBorders>
            <w:shd w:val="clear" w:color="auto" w:fill="auto"/>
            <w:noWrap/>
            <w:vAlign w:val="center"/>
          </w:tcPr>
          <w:p w14:paraId="0FF3C25D" w14:textId="06FABD0E" w:rsidR="005853BF" w:rsidRPr="00A91188" w:rsidRDefault="005853BF" w:rsidP="005853BF">
            <w:pPr>
              <w:spacing w:after="0" w:line="240" w:lineRule="auto"/>
              <w:jc w:val="right"/>
              <w:rPr>
                <w:b/>
                <w:bCs/>
                <w:color w:val="17365D"/>
                <w:sz w:val="18"/>
                <w:szCs w:val="18"/>
              </w:rPr>
            </w:pPr>
            <w:r w:rsidRPr="00A91188">
              <w:rPr>
                <w:b/>
                <w:bCs/>
                <w:color w:val="17365D"/>
                <w:sz w:val="18"/>
                <w:szCs w:val="18"/>
              </w:rPr>
              <w:t>135 519</w:t>
            </w:r>
          </w:p>
        </w:tc>
        <w:tc>
          <w:tcPr>
            <w:tcW w:w="1055" w:type="dxa"/>
            <w:tcBorders>
              <w:top w:val="single" w:sz="4" w:space="0" w:color="17365D"/>
              <w:left w:val="nil"/>
              <w:bottom w:val="single" w:sz="4" w:space="0" w:color="17365D"/>
              <w:right w:val="nil"/>
            </w:tcBorders>
            <w:shd w:val="clear" w:color="auto" w:fill="auto"/>
            <w:noWrap/>
            <w:vAlign w:val="center"/>
          </w:tcPr>
          <w:p w14:paraId="15743311" w14:textId="4BD1C873" w:rsidR="005853BF" w:rsidRPr="00A91188" w:rsidRDefault="005853BF" w:rsidP="005853BF">
            <w:pPr>
              <w:spacing w:after="0" w:line="240" w:lineRule="auto"/>
              <w:jc w:val="right"/>
              <w:rPr>
                <w:b/>
                <w:bCs/>
                <w:color w:val="17365D"/>
                <w:sz w:val="18"/>
                <w:szCs w:val="18"/>
              </w:rPr>
            </w:pPr>
            <w:r w:rsidRPr="00A91188">
              <w:rPr>
                <w:b/>
                <w:bCs/>
                <w:color w:val="17365D"/>
                <w:sz w:val="18"/>
                <w:szCs w:val="18"/>
              </w:rPr>
              <w:t>52 285</w:t>
            </w:r>
          </w:p>
        </w:tc>
        <w:tc>
          <w:tcPr>
            <w:tcW w:w="1063" w:type="dxa"/>
            <w:tcBorders>
              <w:top w:val="single" w:sz="4" w:space="0" w:color="17365D"/>
              <w:left w:val="nil"/>
              <w:bottom w:val="single" w:sz="4" w:space="0" w:color="17365D"/>
              <w:right w:val="nil"/>
            </w:tcBorders>
            <w:shd w:val="clear" w:color="auto" w:fill="auto"/>
            <w:noWrap/>
            <w:vAlign w:val="center"/>
          </w:tcPr>
          <w:p w14:paraId="25D7DF61" w14:textId="0C65E9E2" w:rsidR="005853BF" w:rsidRPr="00A91188" w:rsidRDefault="005853BF" w:rsidP="005853BF">
            <w:pPr>
              <w:spacing w:after="0" w:line="240" w:lineRule="auto"/>
              <w:jc w:val="right"/>
              <w:rPr>
                <w:b/>
                <w:bCs/>
                <w:color w:val="17365D"/>
                <w:sz w:val="18"/>
                <w:szCs w:val="18"/>
              </w:rPr>
            </w:pPr>
            <w:r w:rsidRPr="00A91188">
              <w:rPr>
                <w:b/>
                <w:bCs/>
                <w:color w:val="17365D"/>
                <w:sz w:val="18"/>
                <w:szCs w:val="18"/>
              </w:rPr>
              <w:t>35 875</w:t>
            </w:r>
          </w:p>
        </w:tc>
        <w:tc>
          <w:tcPr>
            <w:tcW w:w="1122" w:type="dxa"/>
            <w:tcBorders>
              <w:top w:val="single" w:sz="4" w:space="0" w:color="17365D"/>
              <w:left w:val="nil"/>
              <w:bottom w:val="single" w:sz="4" w:space="0" w:color="17365D"/>
              <w:right w:val="nil"/>
            </w:tcBorders>
            <w:shd w:val="clear" w:color="auto" w:fill="auto"/>
            <w:noWrap/>
            <w:vAlign w:val="center"/>
          </w:tcPr>
          <w:p w14:paraId="65A15BA9" w14:textId="3770FCD9" w:rsidR="005853BF" w:rsidRPr="00A91188" w:rsidRDefault="005853BF" w:rsidP="005853BF">
            <w:pPr>
              <w:spacing w:after="0" w:line="240" w:lineRule="auto"/>
              <w:jc w:val="right"/>
              <w:rPr>
                <w:b/>
                <w:bCs/>
                <w:color w:val="17365D"/>
                <w:sz w:val="18"/>
                <w:szCs w:val="18"/>
              </w:rPr>
            </w:pPr>
            <w:r w:rsidRPr="00A91188">
              <w:rPr>
                <w:b/>
                <w:bCs/>
                <w:color w:val="17365D"/>
                <w:sz w:val="18"/>
                <w:szCs w:val="18"/>
              </w:rPr>
              <w:t>32 538</w:t>
            </w:r>
          </w:p>
        </w:tc>
      </w:tr>
      <w:tr w:rsidR="005853BF" w:rsidRPr="00A27896" w14:paraId="3CE33377" w14:textId="77777777" w:rsidTr="008F6207">
        <w:trPr>
          <w:trHeight w:val="266"/>
        </w:trPr>
        <w:tc>
          <w:tcPr>
            <w:tcW w:w="2127" w:type="dxa"/>
            <w:tcBorders>
              <w:top w:val="single" w:sz="4" w:space="0" w:color="17365D"/>
              <w:left w:val="nil"/>
              <w:bottom w:val="single" w:sz="4" w:space="0" w:color="17365D"/>
              <w:right w:val="nil"/>
            </w:tcBorders>
            <w:shd w:val="clear" w:color="auto" w:fill="auto"/>
            <w:vAlign w:val="center"/>
            <w:hideMark/>
          </w:tcPr>
          <w:p w14:paraId="769AF7C6" w14:textId="35EFE1C5" w:rsidR="005853BF" w:rsidRPr="00A27896" w:rsidRDefault="005853BF" w:rsidP="005853BF">
            <w:pPr>
              <w:spacing w:after="0" w:line="240" w:lineRule="auto"/>
              <w:rPr>
                <w:rFonts w:eastAsia="Times New Roman" w:cs="Times New Roman"/>
                <w:b/>
                <w:bCs/>
                <w:color w:val="17365D"/>
                <w:sz w:val="18"/>
                <w:szCs w:val="18"/>
                <w:lang w:eastAsia="lv-LV"/>
              </w:rPr>
            </w:pPr>
            <w:r w:rsidRPr="00A27896">
              <w:rPr>
                <w:rFonts w:cs="Times New Roman"/>
                <w:color w:val="17365D"/>
                <w:sz w:val="18"/>
                <w:szCs w:val="18"/>
              </w:rPr>
              <w:t>Inventārs</w:t>
            </w:r>
          </w:p>
        </w:tc>
        <w:tc>
          <w:tcPr>
            <w:tcW w:w="1268" w:type="dxa"/>
            <w:tcBorders>
              <w:top w:val="single" w:sz="4" w:space="0" w:color="17365D"/>
              <w:left w:val="nil"/>
              <w:bottom w:val="single" w:sz="4" w:space="0" w:color="17365D"/>
              <w:right w:val="nil"/>
            </w:tcBorders>
            <w:shd w:val="clear" w:color="auto" w:fill="auto"/>
            <w:vAlign w:val="center"/>
          </w:tcPr>
          <w:p w14:paraId="32204DF5" w14:textId="2BDEDF97" w:rsidR="005853BF" w:rsidRPr="00A91188" w:rsidRDefault="005853BF" w:rsidP="005853BF">
            <w:pPr>
              <w:spacing w:after="0" w:line="240" w:lineRule="auto"/>
              <w:jc w:val="right"/>
              <w:rPr>
                <w:color w:val="17365D"/>
                <w:sz w:val="18"/>
                <w:szCs w:val="18"/>
              </w:rPr>
            </w:pPr>
            <w:r w:rsidRPr="00A91188">
              <w:rPr>
                <w:color w:val="17365D"/>
                <w:sz w:val="18"/>
                <w:szCs w:val="18"/>
              </w:rPr>
              <w:t>6 369</w:t>
            </w:r>
          </w:p>
        </w:tc>
        <w:tc>
          <w:tcPr>
            <w:tcW w:w="1266" w:type="dxa"/>
            <w:tcBorders>
              <w:top w:val="single" w:sz="4" w:space="0" w:color="17365D"/>
              <w:left w:val="nil"/>
              <w:bottom w:val="single" w:sz="4" w:space="0" w:color="17365D"/>
              <w:right w:val="nil"/>
            </w:tcBorders>
            <w:shd w:val="clear" w:color="auto" w:fill="auto"/>
            <w:vAlign w:val="center"/>
          </w:tcPr>
          <w:p w14:paraId="1C5B808E" w14:textId="15E70872" w:rsidR="005853BF" w:rsidRPr="00A91188" w:rsidRDefault="005853BF" w:rsidP="005853BF">
            <w:pPr>
              <w:spacing w:after="0" w:line="240" w:lineRule="auto"/>
              <w:jc w:val="right"/>
              <w:rPr>
                <w:color w:val="17365D"/>
                <w:sz w:val="18"/>
                <w:szCs w:val="18"/>
              </w:rPr>
            </w:pPr>
            <w:r w:rsidRPr="00A91188">
              <w:rPr>
                <w:color w:val="17365D"/>
                <w:sz w:val="18"/>
                <w:szCs w:val="18"/>
              </w:rPr>
              <w:t>3 552</w:t>
            </w:r>
          </w:p>
        </w:tc>
        <w:tc>
          <w:tcPr>
            <w:tcW w:w="1453" w:type="dxa"/>
            <w:gridSpan w:val="2"/>
            <w:tcBorders>
              <w:top w:val="single" w:sz="4" w:space="0" w:color="17365D"/>
              <w:left w:val="nil"/>
              <w:bottom w:val="single" w:sz="4" w:space="0" w:color="17365D"/>
              <w:right w:val="nil"/>
            </w:tcBorders>
            <w:shd w:val="clear" w:color="auto" w:fill="auto"/>
            <w:noWrap/>
            <w:vAlign w:val="center"/>
          </w:tcPr>
          <w:p w14:paraId="7D5F852C" w14:textId="3A82F165" w:rsidR="005853BF" w:rsidRPr="00A91188" w:rsidRDefault="005853BF" w:rsidP="005853BF">
            <w:pPr>
              <w:spacing w:after="0" w:line="240" w:lineRule="auto"/>
              <w:jc w:val="right"/>
              <w:rPr>
                <w:color w:val="17365D"/>
                <w:sz w:val="18"/>
                <w:szCs w:val="18"/>
              </w:rPr>
            </w:pPr>
            <w:r w:rsidRPr="00A91188">
              <w:rPr>
                <w:color w:val="17365D"/>
                <w:sz w:val="18"/>
                <w:szCs w:val="18"/>
              </w:rPr>
              <w:t>135 519</w:t>
            </w:r>
          </w:p>
        </w:tc>
        <w:tc>
          <w:tcPr>
            <w:tcW w:w="1055" w:type="dxa"/>
            <w:tcBorders>
              <w:top w:val="single" w:sz="4" w:space="0" w:color="17365D"/>
              <w:left w:val="nil"/>
              <w:bottom w:val="single" w:sz="4" w:space="0" w:color="17365D"/>
              <w:right w:val="nil"/>
            </w:tcBorders>
            <w:shd w:val="clear" w:color="auto" w:fill="auto"/>
            <w:noWrap/>
            <w:vAlign w:val="center"/>
          </w:tcPr>
          <w:p w14:paraId="5484F506" w14:textId="74FC22BE" w:rsidR="005853BF" w:rsidRPr="00A91188" w:rsidRDefault="005853BF" w:rsidP="005853BF">
            <w:pPr>
              <w:spacing w:after="0" w:line="240" w:lineRule="auto"/>
              <w:jc w:val="right"/>
              <w:rPr>
                <w:color w:val="17365D"/>
                <w:sz w:val="18"/>
                <w:szCs w:val="18"/>
              </w:rPr>
            </w:pPr>
            <w:r w:rsidRPr="00A91188">
              <w:rPr>
                <w:color w:val="17365D"/>
                <w:sz w:val="18"/>
                <w:szCs w:val="18"/>
              </w:rPr>
              <w:t>52 285</w:t>
            </w:r>
          </w:p>
        </w:tc>
        <w:tc>
          <w:tcPr>
            <w:tcW w:w="1063" w:type="dxa"/>
            <w:tcBorders>
              <w:top w:val="single" w:sz="4" w:space="0" w:color="17365D"/>
              <w:left w:val="nil"/>
              <w:bottom w:val="single" w:sz="4" w:space="0" w:color="17365D"/>
              <w:right w:val="nil"/>
            </w:tcBorders>
            <w:shd w:val="clear" w:color="auto" w:fill="auto"/>
            <w:noWrap/>
            <w:vAlign w:val="center"/>
          </w:tcPr>
          <w:p w14:paraId="0BB8D3C1" w14:textId="7C5B7EC4" w:rsidR="005853BF" w:rsidRPr="00A91188" w:rsidRDefault="005853BF" w:rsidP="005853BF">
            <w:pPr>
              <w:spacing w:after="0" w:line="240" w:lineRule="auto"/>
              <w:jc w:val="right"/>
              <w:rPr>
                <w:color w:val="17365D"/>
                <w:sz w:val="18"/>
                <w:szCs w:val="18"/>
              </w:rPr>
            </w:pPr>
            <w:r w:rsidRPr="00A91188">
              <w:rPr>
                <w:color w:val="17365D"/>
                <w:sz w:val="18"/>
                <w:szCs w:val="18"/>
              </w:rPr>
              <w:t>35 875</w:t>
            </w:r>
          </w:p>
        </w:tc>
        <w:tc>
          <w:tcPr>
            <w:tcW w:w="1122" w:type="dxa"/>
            <w:tcBorders>
              <w:top w:val="single" w:sz="4" w:space="0" w:color="17365D"/>
              <w:left w:val="nil"/>
              <w:bottom w:val="single" w:sz="4" w:space="0" w:color="17365D"/>
              <w:right w:val="nil"/>
            </w:tcBorders>
            <w:shd w:val="clear" w:color="auto" w:fill="auto"/>
            <w:noWrap/>
            <w:vAlign w:val="center"/>
          </w:tcPr>
          <w:p w14:paraId="4CA04E28" w14:textId="730154C6" w:rsidR="005853BF" w:rsidRPr="00A91188" w:rsidRDefault="005853BF" w:rsidP="005853BF">
            <w:pPr>
              <w:spacing w:after="0" w:line="240" w:lineRule="auto"/>
              <w:jc w:val="right"/>
              <w:rPr>
                <w:color w:val="17365D"/>
                <w:sz w:val="18"/>
                <w:szCs w:val="18"/>
              </w:rPr>
            </w:pPr>
            <w:r w:rsidRPr="00A91188">
              <w:rPr>
                <w:color w:val="17365D"/>
                <w:sz w:val="18"/>
                <w:szCs w:val="18"/>
              </w:rPr>
              <w:t>32 538</w:t>
            </w:r>
          </w:p>
        </w:tc>
      </w:tr>
      <w:tr w:rsidR="005853BF" w:rsidRPr="00A27896" w14:paraId="72D8044D" w14:textId="77777777" w:rsidTr="00AE19E0">
        <w:trPr>
          <w:trHeight w:val="182"/>
        </w:trPr>
        <w:tc>
          <w:tcPr>
            <w:tcW w:w="2127" w:type="dxa"/>
            <w:tcBorders>
              <w:top w:val="single" w:sz="4" w:space="0" w:color="17365D"/>
            </w:tcBorders>
            <w:shd w:val="clear" w:color="000000" w:fill="B9CDE5"/>
            <w:vAlign w:val="center"/>
            <w:hideMark/>
          </w:tcPr>
          <w:p w14:paraId="3A60718C" w14:textId="77777777" w:rsidR="005853BF" w:rsidRPr="00A27896" w:rsidRDefault="005853BF" w:rsidP="005853B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68" w:type="dxa"/>
            <w:tcBorders>
              <w:top w:val="single" w:sz="4" w:space="0" w:color="17365D"/>
            </w:tcBorders>
            <w:shd w:val="clear" w:color="000000" w:fill="B9CDE5"/>
            <w:noWrap/>
            <w:vAlign w:val="center"/>
            <w:hideMark/>
          </w:tcPr>
          <w:p w14:paraId="20F0CE25" w14:textId="77777777" w:rsidR="005853BF" w:rsidRPr="00A27896" w:rsidRDefault="005853BF" w:rsidP="005853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66" w:type="dxa"/>
            <w:tcBorders>
              <w:top w:val="single" w:sz="4" w:space="0" w:color="17365D"/>
            </w:tcBorders>
            <w:shd w:val="clear" w:color="000000" w:fill="B9CDE5"/>
            <w:noWrap/>
            <w:vAlign w:val="center"/>
            <w:hideMark/>
          </w:tcPr>
          <w:p w14:paraId="51212374" w14:textId="77777777" w:rsidR="005853BF" w:rsidRPr="00A27896" w:rsidRDefault="005853BF" w:rsidP="005853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453" w:type="dxa"/>
            <w:gridSpan w:val="2"/>
            <w:tcBorders>
              <w:top w:val="single" w:sz="4" w:space="0" w:color="17365D"/>
            </w:tcBorders>
            <w:shd w:val="clear" w:color="000000" w:fill="B9CDE5"/>
            <w:noWrap/>
            <w:vAlign w:val="center"/>
            <w:hideMark/>
          </w:tcPr>
          <w:p w14:paraId="7F59F3F3" w14:textId="07B2151B" w:rsidR="005853BF" w:rsidRPr="00A27896" w:rsidRDefault="005853BF" w:rsidP="005853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55" w:type="dxa"/>
            <w:tcBorders>
              <w:top w:val="single" w:sz="4" w:space="0" w:color="17365D"/>
            </w:tcBorders>
            <w:shd w:val="clear" w:color="000000" w:fill="B9CDE5"/>
            <w:noWrap/>
            <w:vAlign w:val="center"/>
            <w:hideMark/>
          </w:tcPr>
          <w:p w14:paraId="38F0B72D" w14:textId="77777777" w:rsidR="005853BF" w:rsidRPr="00A27896" w:rsidRDefault="005853BF" w:rsidP="005853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63" w:type="dxa"/>
            <w:tcBorders>
              <w:top w:val="single" w:sz="4" w:space="0" w:color="17365D"/>
            </w:tcBorders>
            <w:shd w:val="clear" w:color="000000" w:fill="B9CDE5"/>
            <w:noWrap/>
            <w:vAlign w:val="center"/>
            <w:hideMark/>
          </w:tcPr>
          <w:p w14:paraId="05B0039B" w14:textId="77777777" w:rsidR="005853BF" w:rsidRPr="00A27896" w:rsidRDefault="005853BF" w:rsidP="005853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22" w:type="dxa"/>
            <w:tcBorders>
              <w:top w:val="single" w:sz="4" w:space="0" w:color="17365D"/>
            </w:tcBorders>
            <w:shd w:val="clear" w:color="000000" w:fill="B9CDE5"/>
            <w:noWrap/>
            <w:vAlign w:val="center"/>
            <w:hideMark/>
          </w:tcPr>
          <w:p w14:paraId="4C870502" w14:textId="77777777" w:rsidR="005853BF" w:rsidRPr="00A27896" w:rsidRDefault="005853BF" w:rsidP="005853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01F588DD" w14:textId="783681CB" w:rsidR="007B7D77" w:rsidRPr="00A27896" w:rsidRDefault="007B7D77" w:rsidP="000D2C39">
      <w:pPr>
        <w:pStyle w:val="Heading5"/>
      </w:pPr>
      <w:r w:rsidRPr="00A27896">
        <w:t>Piezīme</w:t>
      </w:r>
      <w:r w:rsidR="00AC754B" w:rsidRPr="00A27896">
        <w:t xml:space="preserve"> Nr.</w:t>
      </w:r>
      <w:r w:rsidRPr="00A27896">
        <w:t xml:space="preserve"> V4. Informācija par operatīvajā nomā saņemtajiem aktīviem un veicamajiem maksājumiem</w:t>
      </w:r>
    </w:p>
    <w:p w14:paraId="065290E4" w14:textId="5C262A71" w:rsidR="004071BD" w:rsidRPr="00A27896" w:rsidRDefault="004071BD" w:rsidP="002A2F6E">
      <w:pPr>
        <w:pStyle w:val="Pamatteksts1"/>
      </w:pPr>
      <w:r w:rsidRPr="00A27896">
        <w:tab/>
        <w:t xml:space="preserve">Saskaņā ar ministriju, centrālo valsts iestāžu un pašvaldību sniegto informāciju par operatīvajā nomā saņemtajiem aktīviem pārskata periodā atzītie izdevumi ir </w:t>
      </w:r>
      <w:r w:rsidR="00A91188">
        <w:t>95,5 milj.</w:t>
      </w:r>
      <w:r w:rsidR="00FD2772" w:rsidRPr="00FD2772">
        <w:t> </w:t>
      </w:r>
      <w:r w:rsidRPr="00A27896">
        <w:rPr>
          <w:i/>
        </w:rPr>
        <w:t>euro</w:t>
      </w:r>
      <w:r w:rsidRPr="00A27896">
        <w:t xml:space="preserve"> vērtībā un pārskata perioda beigās neatceļamās nomas maksājumi</w:t>
      </w:r>
      <w:r w:rsidR="00C54D00" w:rsidRPr="00A27896">
        <w:t xml:space="preserve"> ir</w:t>
      </w:r>
      <w:r w:rsidR="00D50D19" w:rsidRPr="00A27896">
        <w:t xml:space="preserve"> </w:t>
      </w:r>
      <w:r w:rsidR="00A91188">
        <w:t>18,0 milj.</w:t>
      </w:r>
      <w:r w:rsidR="00FD2772" w:rsidRPr="00FD2772">
        <w:t xml:space="preserve"> </w:t>
      </w:r>
      <w:r w:rsidRPr="00A27896">
        <w:rPr>
          <w:i/>
        </w:rPr>
        <w:t>euro</w:t>
      </w:r>
      <w:r w:rsidRPr="00A27896">
        <w:t xml:space="preserve"> vērtībā, to sadalījums pa aktīvu bilances posteņiem un nākotnes maksājumiem norādīt</w:t>
      </w:r>
      <w:r w:rsidR="00D25B42" w:rsidRPr="00A27896">
        <w:t>s</w:t>
      </w:r>
      <w:r w:rsidRPr="00A27896">
        <w:t xml:space="preserve"> </w:t>
      </w:r>
      <w:r w:rsidR="001231AF">
        <w:t>1.</w:t>
      </w:r>
      <w:r w:rsidR="000229AE" w:rsidRPr="00A27896">
        <w:t>2</w:t>
      </w:r>
      <w:r w:rsidR="00F128AB">
        <w:t>8</w:t>
      </w:r>
      <w:r w:rsidRPr="00A27896">
        <w:t>.</w:t>
      </w:r>
      <w:r w:rsidR="00095197">
        <w:t> </w:t>
      </w:r>
      <w:r w:rsidRPr="00A27896">
        <w:t>tabulā:</w:t>
      </w:r>
    </w:p>
    <w:p w14:paraId="3A935AE4" w14:textId="1A049736" w:rsidR="006F7CBB" w:rsidRPr="00A27896" w:rsidRDefault="001231AF" w:rsidP="00D21EEC">
      <w:pPr>
        <w:pStyle w:val="Tabnosauk"/>
        <w:ind w:firstLine="5245"/>
      </w:pPr>
      <w:r w:rsidRPr="00D21EEC">
        <w:t>1.</w:t>
      </w:r>
      <w:r w:rsidR="000229AE" w:rsidRPr="00D21EEC">
        <w:t>2</w:t>
      </w:r>
      <w:r w:rsidR="00F128AB" w:rsidRPr="00D21EEC">
        <w:t>8</w:t>
      </w:r>
      <w:r w:rsidR="00743E0E" w:rsidRPr="00D21EEC">
        <w:t>. t</w:t>
      </w:r>
      <w:r w:rsidR="006F7CBB" w:rsidRPr="00D21EEC">
        <w:t>abula</w:t>
      </w:r>
      <w:r w:rsidR="003877C0" w:rsidRPr="00D21EEC">
        <w:t>.</w:t>
      </w:r>
      <w:r w:rsidR="006F7CBB" w:rsidRPr="00D21EEC">
        <w:t xml:space="preserve"> Informācija par operatīvajā nomā saņemtajiem aktīviem un veicamajiem maksājumiem (euro)</w:t>
      </w:r>
    </w:p>
    <w:tbl>
      <w:tblPr>
        <w:tblW w:w="9356"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942"/>
        <w:gridCol w:w="1296"/>
        <w:gridCol w:w="1340"/>
        <w:gridCol w:w="1234"/>
        <w:gridCol w:w="1134"/>
        <w:gridCol w:w="1276"/>
        <w:gridCol w:w="1134"/>
      </w:tblGrid>
      <w:tr w:rsidR="000C1009" w:rsidRPr="00A27896" w14:paraId="54FC1BD5" w14:textId="77777777" w:rsidTr="00AE19E0">
        <w:trPr>
          <w:trHeight w:val="465"/>
          <w:tblHeader/>
        </w:trPr>
        <w:tc>
          <w:tcPr>
            <w:tcW w:w="1942" w:type="dxa"/>
            <w:vMerge w:val="restart"/>
            <w:tcBorders>
              <w:top w:val="nil"/>
            </w:tcBorders>
            <w:shd w:val="clear" w:color="000000" w:fill="B9CDE5"/>
            <w:vAlign w:val="center"/>
            <w:hideMark/>
          </w:tcPr>
          <w:p w14:paraId="488478BD"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1296" w:type="dxa"/>
            <w:vMerge w:val="restart"/>
            <w:tcBorders>
              <w:top w:val="nil"/>
            </w:tcBorders>
            <w:shd w:val="clear" w:color="000000" w:fill="B9CDE5"/>
            <w:vAlign w:val="center"/>
            <w:hideMark/>
          </w:tcPr>
          <w:p w14:paraId="1D18C819"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periodā atzītie izdevumi par nomu</w:t>
            </w:r>
          </w:p>
        </w:tc>
        <w:tc>
          <w:tcPr>
            <w:tcW w:w="4984" w:type="dxa"/>
            <w:gridSpan w:val="4"/>
            <w:tcBorders>
              <w:top w:val="nil"/>
              <w:bottom w:val="single" w:sz="4" w:space="0" w:color="auto"/>
            </w:tcBorders>
            <w:shd w:val="clear" w:color="000000" w:fill="B9CDE5"/>
            <w:vAlign w:val="center"/>
            <w:hideMark/>
          </w:tcPr>
          <w:p w14:paraId="5AC12DF6"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Neatceļamās nomas maksājumi</w:t>
            </w:r>
          </w:p>
        </w:tc>
        <w:tc>
          <w:tcPr>
            <w:tcW w:w="1134" w:type="dxa"/>
            <w:vMerge w:val="restart"/>
            <w:tcBorders>
              <w:top w:val="nil"/>
            </w:tcBorders>
            <w:shd w:val="clear" w:color="000000" w:fill="B9CDE5"/>
            <w:vAlign w:val="center"/>
            <w:hideMark/>
          </w:tcPr>
          <w:p w14:paraId="400D3020" w14:textId="77777777" w:rsidR="006F7CBB" w:rsidRPr="00A27896" w:rsidRDefault="006F7CBB" w:rsidP="006F7CBB">
            <w:pPr>
              <w:spacing w:after="0" w:line="240" w:lineRule="auto"/>
              <w:jc w:val="center"/>
              <w:rPr>
                <w:rFonts w:eastAsia="Times New Roman" w:cs="Times New Roman"/>
                <w:b/>
                <w:bCs/>
                <w:color w:val="17365D"/>
                <w:sz w:val="18"/>
                <w:szCs w:val="18"/>
                <w:highlight w:val="yellow"/>
                <w:lang w:eastAsia="lv-LV"/>
              </w:rPr>
            </w:pPr>
            <w:r w:rsidRPr="00A27896">
              <w:rPr>
                <w:rFonts w:eastAsia="Times New Roman" w:cs="Times New Roman"/>
                <w:b/>
                <w:bCs/>
                <w:color w:val="17365D"/>
                <w:sz w:val="18"/>
                <w:szCs w:val="18"/>
                <w:lang w:eastAsia="lv-LV"/>
              </w:rPr>
              <w:t>Neatceļamā apakšnoma (ieņēmumi)</w:t>
            </w:r>
          </w:p>
        </w:tc>
      </w:tr>
      <w:tr w:rsidR="000C1009" w:rsidRPr="00A27896" w14:paraId="08E81016" w14:textId="77777777" w:rsidTr="009A4177">
        <w:trPr>
          <w:trHeight w:val="425"/>
          <w:tblHeader/>
        </w:trPr>
        <w:tc>
          <w:tcPr>
            <w:tcW w:w="1942" w:type="dxa"/>
            <w:vMerge/>
            <w:tcBorders>
              <w:bottom w:val="single" w:sz="4" w:space="0" w:color="17365D"/>
            </w:tcBorders>
            <w:vAlign w:val="center"/>
            <w:hideMark/>
          </w:tcPr>
          <w:p w14:paraId="66C49CE8" w14:textId="77777777" w:rsidR="006F7CBB" w:rsidRPr="00A27896" w:rsidRDefault="006F7CBB" w:rsidP="006F7CBB">
            <w:pPr>
              <w:spacing w:after="0" w:line="240" w:lineRule="auto"/>
              <w:rPr>
                <w:rFonts w:eastAsia="Times New Roman" w:cs="Times New Roman"/>
                <w:b/>
                <w:bCs/>
                <w:color w:val="17365D"/>
                <w:sz w:val="18"/>
                <w:szCs w:val="18"/>
                <w:lang w:eastAsia="lv-LV"/>
              </w:rPr>
            </w:pPr>
          </w:p>
        </w:tc>
        <w:tc>
          <w:tcPr>
            <w:tcW w:w="1296" w:type="dxa"/>
            <w:vMerge/>
            <w:tcBorders>
              <w:bottom w:val="single" w:sz="4" w:space="0" w:color="17365D"/>
            </w:tcBorders>
            <w:vAlign w:val="center"/>
            <w:hideMark/>
          </w:tcPr>
          <w:p w14:paraId="1FC46B04" w14:textId="77777777" w:rsidR="006F7CBB" w:rsidRPr="00A27896" w:rsidRDefault="006F7CBB" w:rsidP="006F7CBB">
            <w:pPr>
              <w:spacing w:after="0" w:line="240" w:lineRule="auto"/>
              <w:rPr>
                <w:rFonts w:eastAsia="Times New Roman" w:cs="Times New Roman"/>
                <w:b/>
                <w:bCs/>
                <w:color w:val="17365D"/>
                <w:sz w:val="18"/>
                <w:szCs w:val="18"/>
                <w:lang w:eastAsia="lv-LV"/>
              </w:rPr>
            </w:pPr>
          </w:p>
        </w:tc>
        <w:tc>
          <w:tcPr>
            <w:tcW w:w="1340" w:type="dxa"/>
            <w:tcBorders>
              <w:bottom w:val="single" w:sz="4" w:space="0" w:color="17365D"/>
            </w:tcBorders>
            <w:shd w:val="clear" w:color="000000" w:fill="B9CDE5"/>
            <w:vAlign w:val="center"/>
            <w:hideMark/>
          </w:tcPr>
          <w:p w14:paraId="4D4A4029"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234" w:type="dxa"/>
            <w:tcBorders>
              <w:bottom w:val="single" w:sz="4" w:space="0" w:color="17365D"/>
            </w:tcBorders>
            <w:shd w:val="clear" w:color="000000" w:fill="B9CDE5"/>
            <w:vAlign w:val="center"/>
            <w:hideMark/>
          </w:tcPr>
          <w:p w14:paraId="348C3837" w14:textId="1781DE7A" w:rsidR="006F7CBB" w:rsidRPr="00A27896" w:rsidRDefault="004071BD" w:rsidP="001D1A6D">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FD2772">
              <w:rPr>
                <w:rFonts w:eastAsia="Times New Roman" w:cs="Times New Roman"/>
                <w:b/>
                <w:bCs/>
                <w:color w:val="17365D"/>
                <w:sz w:val="18"/>
                <w:szCs w:val="18"/>
                <w:lang w:eastAsia="lv-LV"/>
              </w:rPr>
              <w:t>4</w:t>
            </w:r>
          </w:p>
        </w:tc>
        <w:tc>
          <w:tcPr>
            <w:tcW w:w="1134" w:type="dxa"/>
            <w:tcBorders>
              <w:bottom w:val="single" w:sz="4" w:space="0" w:color="17365D"/>
            </w:tcBorders>
            <w:shd w:val="clear" w:color="000000" w:fill="B9CDE5"/>
            <w:vAlign w:val="center"/>
            <w:hideMark/>
          </w:tcPr>
          <w:p w14:paraId="02556F39" w14:textId="3DC31D44" w:rsidR="006F7CBB" w:rsidRPr="00A27896" w:rsidRDefault="004071BD" w:rsidP="001D1A6D">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FD2772">
              <w:rPr>
                <w:rFonts w:eastAsia="Times New Roman" w:cs="Times New Roman"/>
                <w:b/>
                <w:bCs/>
                <w:color w:val="17365D"/>
                <w:sz w:val="18"/>
                <w:szCs w:val="18"/>
                <w:lang w:eastAsia="lv-LV"/>
              </w:rPr>
              <w:t>5</w:t>
            </w:r>
          </w:p>
        </w:tc>
        <w:tc>
          <w:tcPr>
            <w:tcW w:w="1276" w:type="dxa"/>
            <w:tcBorders>
              <w:bottom w:val="single" w:sz="4" w:space="0" w:color="17365D"/>
            </w:tcBorders>
            <w:shd w:val="clear" w:color="000000" w:fill="B9CDE5"/>
            <w:vAlign w:val="center"/>
            <w:hideMark/>
          </w:tcPr>
          <w:p w14:paraId="22989DFF" w14:textId="5BDB70DA" w:rsidR="006F7CBB" w:rsidRPr="00A27896" w:rsidRDefault="004071BD" w:rsidP="001D1A6D">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FD2772">
              <w:rPr>
                <w:rFonts w:eastAsia="Times New Roman" w:cs="Times New Roman"/>
                <w:b/>
                <w:bCs/>
                <w:color w:val="17365D"/>
                <w:sz w:val="18"/>
                <w:szCs w:val="18"/>
                <w:lang w:eastAsia="lv-LV"/>
              </w:rPr>
              <w:t>6</w:t>
            </w:r>
          </w:p>
        </w:tc>
        <w:tc>
          <w:tcPr>
            <w:tcW w:w="1134" w:type="dxa"/>
            <w:vMerge/>
            <w:tcBorders>
              <w:bottom w:val="single" w:sz="4" w:space="0" w:color="17365D"/>
            </w:tcBorders>
            <w:vAlign w:val="center"/>
            <w:hideMark/>
          </w:tcPr>
          <w:p w14:paraId="53F213A2" w14:textId="77777777" w:rsidR="006F7CBB" w:rsidRPr="00A27896" w:rsidRDefault="006F7CBB" w:rsidP="006F7CBB">
            <w:pPr>
              <w:spacing w:after="0" w:line="240" w:lineRule="auto"/>
              <w:rPr>
                <w:rFonts w:eastAsia="Times New Roman" w:cs="Times New Roman"/>
                <w:b/>
                <w:bCs/>
                <w:color w:val="17365D"/>
                <w:sz w:val="18"/>
                <w:szCs w:val="18"/>
                <w:highlight w:val="yellow"/>
                <w:lang w:eastAsia="lv-LV"/>
              </w:rPr>
            </w:pPr>
          </w:p>
        </w:tc>
      </w:tr>
      <w:tr w:rsidR="000C1009" w:rsidRPr="00A27896" w14:paraId="12A27C1A" w14:textId="77777777" w:rsidTr="009A4177">
        <w:trPr>
          <w:trHeight w:val="64"/>
          <w:tblHeader/>
        </w:trPr>
        <w:tc>
          <w:tcPr>
            <w:tcW w:w="1942" w:type="dxa"/>
            <w:tcBorders>
              <w:top w:val="single" w:sz="4" w:space="0" w:color="17365D"/>
              <w:bottom w:val="single" w:sz="4" w:space="0" w:color="17365D"/>
            </w:tcBorders>
            <w:shd w:val="clear" w:color="auto" w:fill="auto"/>
            <w:vAlign w:val="center"/>
            <w:hideMark/>
          </w:tcPr>
          <w:p w14:paraId="49BDD47D"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96" w:type="dxa"/>
            <w:tcBorders>
              <w:top w:val="single" w:sz="4" w:space="0" w:color="17365D"/>
              <w:bottom w:val="single" w:sz="4" w:space="0" w:color="17365D"/>
            </w:tcBorders>
            <w:shd w:val="clear" w:color="auto" w:fill="auto"/>
            <w:vAlign w:val="center"/>
            <w:hideMark/>
          </w:tcPr>
          <w:p w14:paraId="128D979B"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340" w:type="dxa"/>
            <w:tcBorders>
              <w:top w:val="single" w:sz="4" w:space="0" w:color="17365D"/>
              <w:bottom w:val="single" w:sz="4" w:space="0" w:color="17365D"/>
            </w:tcBorders>
            <w:shd w:val="clear" w:color="auto" w:fill="auto"/>
            <w:vAlign w:val="center"/>
            <w:hideMark/>
          </w:tcPr>
          <w:p w14:paraId="5CFDC0C4"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234" w:type="dxa"/>
            <w:tcBorders>
              <w:top w:val="single" w:sz="4" w:space="0" w:color="17365D"/>
              <w:bottom w:val="single" w:sz="4" w:space="0" w:color="17365D"/>
            </w:tcBorders>
            <w:shd w:val="clear" w:color="auto" w:fill="auto"/>
            <w:vAlign w:val="center"/>
            <w:hideMark/>
          </w:tcPr>
          <w:p w14:paraId="0DD90688"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134" w:type="dxa"/>
            <w:tcBorders>
              <w:top w:val="single" w:sz="4" w:space="0" w:color="17365D"/>
              <w:bottom w:val="single" w:sz="4" w:space="0" w:color="17365D"/>
            </w:tcBorders>
            <w:shd w:val="clear" w:color="auto" w:fill="auto"/>
            <w:vAlign w:val="center"/>
            <w:hideMark/>
          </w:tcPr>
          <w:p w14:paraId="59DC5563"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276" w:type="dxa"/>
            <w:tcBorders>
              <w:top w:val="single" w:sz="4" w:space="0" w:color="17365D"/>
              <w:bottom w:val="single" w:sz="4" w:space="0" w:color="17365D"/>
            </w:tcBorders>
            <w:shd w:val="clear" w:color="auto" w:fill="auto"/>
            <w:vAlign w:val="center"/>
            <w:hideMark/>
          </w:tcPr>
          <w:p w14:paraId="74C4A9D4"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34" w:type="dxa"/>
            <w:tcBorders>
              <w:top w:val="single" w:sz="4" w:space="0" w:color="17365D"/>
              <w:bottom w:val="single" w:sz="4" w:space="0" w:color="17365D"/>
            </w:tcBorders>
            <w:shd w:val="clear" w:color="auto" w:fill="auto"/>
            <w:vAlign w:val="center"/>
            <w:hideMark/>
          </w:tcPr>
          <w:p w14:paraId="37B41550"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974344" w:rsidRPr="00A27896" w14:paraId="3E06560C" w14:textId="77777777" w:rsidTr="009A4177">
        <w:trPr>
          <w:trHeight w:val="266"/>
        </w:trPr>
        <w:tc>
          <w:tcPr>
            <w:tcW w:w="1942" w:type="dxa"/>
            <w:tcBorders>
              <w:top w:val="single" w:sz="4" w:space="0" w:color="17365D"/>
              <w:bottom w:val="single" w:sz="4" w:space="0" w:color="17365D"/>
            </w:tcBorders>
            <w:shd w:val="clear" w:color="auto" w:fill="auto"/>
            <w:vAlign w:val="center"/>
          </w:tcPr>
          <w:p w14:paraId="54B9D2D3" w14:textId="5F38ED10" w:rsidR="00974344" w:rsidRPr="00A27896" w:rsidRDefault="00974344" w:rsidP="00974344">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Ilgtermiņa ieguldījumi</w:t>
            </w:r>
          </w:p>
        </w:tc>
        <w:tc>
          <w:tcPr>
            <w:tcW w:w="1296" w:type="dxa"/>
            <w:tcBorders>
              <w:top w:val="single" w:sz="4" w:space="0" w:color="17365D"/>
              <w:left w:val="nil"/>
              <w:bottom w:val="single" w:sz="4" w:space="0" w:color="17365D"/>
              <w:right w:val="nil"/>
            </w:tcBorders>
            <w:shd w:val="clear" w:color="auto" w:fill="auto"/>
            <w:vAlign w:val="center"/>
          </w:tcPr>
          <w:p w14:paraId="77D9BAFF" w14:textId="65FCC01C" w:rsidR="00974344" w:rsidRPr="00974344" w:rsidRDefault="00974344" w:rsidP="00974344">
            <w:pPr>
              <w:spacing w:after="0" w:line="240" w:lineRule="auto"/>
              <w:jc w:val="right"/>
              <w:rPr>
                <w:b/>
                <w:bCs/>
                <w:color w:val="17365D"/>
                <w:sz w:val="18"/>
                <w:szCs w:val="18"/>
              </w:rPr>
            </w:pPr>
            <w:r w:rsidRPr="00974344">
              <w:rPr>
                <w:b/>
                <w:bCs/>
                <w:color w:val="17365D"/>
                <w:sz w:val="18"/>
                <w:szCs w:val="18"/>
              </w:rPr>
              <w:t>92 203 394</w:t>
            </w:r>
          </w:p>
        </w:tc>
        <w:tc>
          <w:tcPr>
            <w:tcW w:w="1340" w:type="dxa"/>
            <w:tcBorders>
              <w:top w:val="single" w:sz="4" w:space="0" w:color="17365D"/>
              <w:left w:val="nil"/>
              <w:bottom w:val="single" w:sz="4" w:space="0" w:color="17365D"/>
              <w:right w:val="nil"/>
            </w:tcBorders>
            <w:shd w:val="clear" w:color="auto" w:fill="auto"/>
            <w:vAlign w:val="center"/>
          </w:tcPr>
          <w:p w14:paraId="76E7BA60" w14:textId="6658D3D4" w:rsidR="00974344" w:rsidRPr="00974344" w:rsidRDefault="00974344" w:rsidP="00974344">
            <w:pPr>
              <w:spacing w:after="0" w:line="240" w:lineRule="auto"/>
              <w:jc w:val="right"/>
              <w:rPr>
                <w:b/>
                <w:bCs/>
                <w:color w:val="17365D"/>
                <w:sz w:val="18"/>
                <w:szCs w:val="18"/>
              </w:rPr>
            </w:pPr>
            <w:r w:rsidRPr="00974344">
              <w:rPr>
                <w:b/>
                <w:bCs/>
                <w:color w:val="17365D"/>
                <w:sz w:val="18"/>
                <w:szCs w:val="18"/>
              </w:rPr>
              <w:t>17 957 938</w:t>
            </w:r>
          </w:p>
        </w:tc>
        <w:tc>
          <w:tcPr>
            <w:tcW w:w="1234" w:type="dxa"/>
            <w:tcBorders>
              <w:top w:val="single" w:sz="4" w:space="0" w:color="17365D"/>
              <w:left w:val="nil"/>
              <w:bottom w:val="single" w:sz="4" w:space="0" w:color="17365D"/>
              <w:right w:val="nil"/>
            </w:tcBorders>
            <w:shd w:val="clear" w:color="auto" w:fill="auto"/>
            <w:vAlign w:val="center"/>
          </w:tcPr>
          <w:p w14:paraId="32E5EAE3" w14:textId="77C5E3EF" w:rsidR="00974344" w:rsidRPr="00974344" w:rsidRDefault="00974344" w:rsidP="00974344">
            <w:pPr>
              <w:spacing w:after="0" w:line="240" w:lineRule="auto"/>
              <w:jc w:val="right"/>
              <w:rPr>
                <w:b/>
                <w:bCs/>
                <w:color w:val="17365D"/>
                <w:sz w:val="18"/>
                <w:szCs w:val="18"/>
              </w:rPr>
            </w:pPr>
            <w:r w:rsidRPr="00974344">
              <w:rPr>
                <w:b/>
                <w:bCs/>
                <w:color w:val="17365D"/>
                <w:sz w:val="18"/>
                <w:szCs w:val="18"/>
              </w:rPr>
              <w:t>12 201 738</w:t>
            </w:r>
          </w:p>
        </w:tc>
        <w:tc>
          <w:tcPr>
            <w:tcW w:w="1134" w:type="dxa"/>
            <w:tcBorders>
              <w:top w:val="single" w:sz="4" w:space="0" w:color="17365D"/>
              <w:left w:val="nil"/>
              <w:bottom w:val="single" w:sz="4" w:space="0" w:color="17365D"/>
              <w:right w:val="nil"/>
            </w:tcBorders>
            <w:shd w:val="clear" w:color="auto" w:fill="auto"/>
            <w:vAlign w:val="center"/>
          </w:tcPr>
          <w:p w14:paraId="3970E39A" w14:textId="37A12A80" w:rsidR="00974344" w:rsidRPr="00974344" w:rsidRDefault="00974344" w:rsidP="00974344">
            <w:pPr>
              <w:spacing w:after="0" w:line="240" w:lineRule="auto"/>
              <w:jc w:val="right"/>
              <w:rPr>
                <w:b/>
                <w:bCs/>
                <w:color w:val="17365D"/>
                <w:sz w:val="18"/>
                <w:szCs w:val="18"/>
              </w:rPr>
            </w:pPr>
            <w:r w:rsidRPr="00974344">
              <w:rPr>
                <w:b/>
                <w:bCs/>
                <w:color w:val="17365D"/>
                <w:sz w:val="18"/>
                <w:szCs w:val="18"/>
              </w:rPr>
              <w:t>9 857 755</w:t>
            </w:r>
          </w:p>
        </w:tc>
        <w:tc>
          <w:tcPr>
            <w:tcW w:w="1276" w:type="dxa"/>
            <w:tcBorders>
              <w:top w:val="single" w:sz="4" w:space="0" w:color="17365D"/>
              <w:left w:val="nil"/>
              <w:bottom w:val="single" w:sz="4" w:space="0" w:color="17365D"/>
              <w:right w:val="nil"/>
            </w:tcBorders>
            <w:shd w:val="clear" w:color="auto" w:fill="auto"/>
            <w:vAlign w:val="center"/>
          </w:tcPr>
          <w:p w14:paraId="3AD85C51" w14:textId="37E8ACB9" w:rsidR="00974344" w:rsidRPr="00974344" w:rsidRDefault="00974344" w:rsidP="00974344">
            <w:pPr>
              <w:spacing w:after="0" w:line="240" w:lineRule="auto"/>
              <w:jc w:val="right"/>
              <w:rPr>
                <w:b/>
                <w:bCs/>
                <w:color w:val="17365D"/>
                <w:sz w:val="18"/>
                <w:szCs w:val="18"/>
              </w:rPr>
            </w:pPr>
            <w:r w:rsidRPr="00974344">
              <w:rPr>
                <w:b/>
                <w:bCs/>
                <w:color w:val="17365D"/>
                <w:sz w:val="18"/>
                <w:szCs w:val="18"/>
              </w:rPr>
              <w:t>10 702 623</w:t>
            </w:r>
          </w:p>
        </w:tc>
        <w:tc>
          <w:tcPr>
            <w:tcW w:w="1134" w:type="dxa"/>
            <w:tcBorders>
              <w:top w:val="single" w:sz="4" w:space="0" w:color="17365D"/>
              <w:bottom w:val="single" w:sz="4" w:space="0" w:color="17365D"/>
            </w:tcBorders>
            <w:shd w:val="clear" w:color="auto" w:fill="auto"/>
            <w:vAlign w:val="center"/>
          </w:tcPr>
          <w:p w14:paraId="195A734F" w14:textId="3CE38DBB" w:rsidR="00974344" w:rsidRPr="00974344" w:rsidRDefault="00974344" w:rsidP="00974344">
            <w:pPr>
              <w:spacing w:after="0" w:line="240" w:lineRule="auto"/>
              <w:jc w:val="right"/>
              <w:rPr>
                <w:b/>
                <w:bCs/>
                <w:color w:val="17365D"/>
                <w:sz w:val="18"/>
                <w:szCs w:val="18"/>
              </w:rPr>
            </w:pPr>
            <w:r w:rsidRPr="00974344">
              <w:rPr>
                <w:b/>
                <w:bCs/>
                <w:color w:val="17365D"/>
                <w:sz w:val="18"/>
                <w:szCs w:val="18"/>
              </w:rPr>
              <w:t>0</w:t>
            </w:r>
          </w:p>
        </w:tc>
      </w:tr>
      <w:tr w:rsidR="00974344" w:rsidRPr="00A27896" w14:paraId="0FF78867" w14:textId="77777777" w:rsidTr="009A4177">
        <w:trPr>
          <w:trHeight w:val="266"/>
        </w:trPr>
        <w:tc>
          <w:tcPr>
            <w:tcW w:w="1942" w:type="dxa"/>
            <w:tcBorders>
              <w:top w:val="single" w:sz="4" w:space="0" w:color="17365D"/>
              <w:bottom w:val="single" w:sz="4" w:space="0" w:color="17365D"/>
            </w:tcBorders>
            <w:shd w:val="clear" w:color="auto" w:fill="auto"/>
            <w:vAlign w:val="center"/>
            <w:hideMark/>
          </w:tcPr>
          <w:p w14:paraId="7E7FA358" w14:textId="00C10E96" w:rsidR="00974344" w:rsidRPr="00A27896" w:rsidRDefault="00974344" w:rsidP="0097434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Licences, koncesijas un patenti, preču zīmes un tamlīdzīgas tiesības</w:t>
            </w:r>
          </w:p>
        </w:tc>
        <w:tc>
          <w:tcPr>
            <w:tcW w:w="1296" w:type="dxa"/>
            <w:tcBorders>
              <w:top w:val="single" w:sz="4" w:space="0" w:color="17365D"/>
              <w:left w:val="nil"/>
              <w:bottom w:val="single" w:sz="4" w:space="0" w:color="17365D"/>
              <w:right w:val="nil"/>
            </w:tcBorders>
            <w:shd w:val="clear" w:color="auto" w:fill="auto"/>
            <w:vAlign w:val="center"/>
          </w:tcPr>
          <w:p w14:paraId="01AA6620" w14:textId="217EC871" w:rsidR="00974344" w:rsidRPr="00974344" w:rsidRDefault="00974344" w:rsidP="00974344">
            <w:pPr>
              <w:spacing w:after="0" w:line="240" w:lineRule="auto"/>
              <w:jc w:val="right"/>
              <w:rPr>
                <w:color w:val="17365D"/>
                <w:sz w:val="18"/>
                <w:szCs w:val="18"/>
              </w:rPr>
            </w:pPr>
            <w:r w:rsidRPr="00974344">
              <w:rPr>
                <w:color w:val="17365D"/>
                <w:sz w:val="18"/>
                <w:szCs w:val="18"/>
              </w:rPr>
              <w:t>2 876 331</w:t>
            </w:r>
          </w:p>
        </w:tc>
        <w:tc>
          <w:tcPr>
            <w:tcW w:w="1340" w:type="dxa"/>
            <w:tcBorders>
              <w:top w:val="single" w:sz="4" w:space="0" w:color="17365D"/>
              <w:left w:val="nil"/>
              <w:bottom w:val="single" w:sz="4" w:space="0" w:color="17365D"/>
              <w:right w:val="nil"/>
            </w:tcBorders>
            <w:shd w:val="clear" w:color="auto" w:fill="auto"/>
            <w:vAlign w:val="center"/>
          </w:tcPr>
          <w:p w14:paraId="011C968C" w14:textId="7A2982F1" w:rsidR="00974344" w:rsidRPr="00974344" w:rsidRDefault="00974344" w:rsidP="00974344">
            <w:pPr>
              <w:spacing w:after="0" w:line="240" w:lineRule="auto"/>
              <w:jc w:val="right"/>
              <w:rPr>
                <w:color w:val="17365D"/>
                <w:sz w:val="18"/>
                <w:szCs w:val="18"/>
              </w:rPr>
            </w:pPr>
            <w:r w:rsidRPr="00974344">
              <w:rPr>
                <w:color w:val="17365D"/>
                <w:sz w:val="18"/>
                <w:szCs w:val="18"/>
              </w:rPr>
              <w:t>47 021</w:t>
            </w:r>
          </w:p>
        </w:tc>
        <w:tc>
          <w:tcPr>
            <w:tcW w:w="1234" w:type="dxa"/>
            <w:tcBorders>
              <w:top w:val="single" w:sz="4" w:space="0" w:color="17365D"/>
              <w:left w:val="nil"/>
              <w:bottom w:val="single" w:sz="4" w:space="0" w:color="17365D"/>
              <w:right w:val="nil"/>
            </w:tcBorders>
            <w:shd w:val="clear" w:color="auto" w:fill="auto"/>
            <w:vAlign w:val="center"/>
          </w:tcPr>
          <w:p w14:paraId="40C81FD3" w14:textId="5519AAB0" w:rsidR="00974344" w:rsidRPr="00974344" w:rsidRDefault="00974344" w:rsidP="00974344">
            <w:pPr>
              <w:spacing w:after="0" w:line="240" w:lineRule="auto"/>
              <w:jc w:val="right"/>
              <w:rPr>
                <w:color w:val="17365D"/>
                <w:sz w:val="18"/>
                <w:szCs w:val="18"/>
              </w:rPr>
            </w:pPr>
            <w:r w:rsidRPr="00974344">
              <w:rPr>
                <w:color w:val="17365D"/>
                <w:sz w:val="18"/>
                <w:szCs w:val="18"/>
              </w:rPr>
              <w:t>47 021</w:t>
            </w:r>
          </w:p>
        </w:tc>
        <w:tc>
          <w:tcPr>
            <w:tcW w:w="1134" w:type="dxa"/>
            <w:tcBorders>
              <w:top w:val="single" w:sz="4" w:space="0" w:color="17365D"/>
              <w:left w:val="nil"/>
              <w:bottom w:val="single" w:sz="4" w:space="0" w:color="17365D"/>
              <w:right w:val="nil"/>
            </w:tcBorders>
            <w:shd w:val="clear" w:color="auto" w:fill="auto"/>
            <w:vAlign w:val="center"/>
          </w:tcPr>
          <w:p w14:paraId="5879BD82" w14:textId="30314AD8" w:rsidR="00974344" w:rsidRPr="00974344" w:rsidRDefault="00974344" w:rsidP="00974344">
            <w:pPr>
              <w:spacing w:after="0" w:line="240" w:lineRule="auto"/>
              <w:jc w:val="right"/>
              <w:rPr>
                <w:color w:val="17365D"/>
                <w:sz w:val="18"/>
                <w:szCs w:val="18"/>
              </w:rPr>
            </w:pPr>
            <w:r w:rsidRPr="00974344">
              <w:rPr>
                <w:color w:val="17365D"/>
                <w:sz w:val="18"/>
                <w:szCs w:val="18"/>
              </w:rPr>
              <w:t>0</w:t>
            </w:r>
          </w:p>
        </w:tc>
        <w:tc>
          <w:tcPr>
            <w:tcW w:w="1276" w:type="dxa"/>
            <w:tcBorders>
              <w:top w:val="single" w:sz="4" w:space="0" w:color="17365D"/>
              <w:left w:val="nil"/>
              <w:bottom w:val="single" w:sz="4" w:space="0" w:color="17365D"/>
              <w:right w:val="nil"/>
            </w:tcBorders>
            <w:shd w:val="clear" w:color="auto" w:fill="auto"/>
            <w:vAlign w:val="center"/>
          </w:tcPr>
          <w:p w14:paraId="5168057C" w14:textId="1EC6D5EB" w:rsidR="00974344" w:rsidRPr="00974344" w:rsidRDefault="00974344" w:rsidP="00974344">
            <w:pPr>
              <w:spacing w:after="0" w:line="240" w:lineRule="auto"/>
              <w:jc w:val="right"/>
              <w:rPr>
                <w:color w:val="17365D"/>
                <w:sz w:val="18"/>
                <w:szCs w:val="18"/>
              </w:rPr>
            </w:pPr>
            <w:r w:rsidRPr="00974344">
              <w:rPr>
                <w:color w:val="17365D"/>
                <w:sz w:val="18"/>
                <w:szCs w:val="18"/>
              </w:rPr>
              <w:t>0</w:t>
            </w:r>
          </w:p>
        </w:tc>
        <w:tc>
          <w:tcPr>
            <w:tcW w:w="1134" w:type="dxa"/>
            <w:tcBorders>
              <w:top w:val="single" w:sz="4" w:space="0" w:color="17365D"/>
              <w:bottom w:val="single" w:sz="4" w:space="0" w:color="17365D"/>
            </w:tcBorders>
            <w:shd w:val="clear" w:color="auto" w:fill="auto"/>
            <w:vAlign w:val="center"/>
            <w:hideMark/>
          </w:tcPr>
          <w:p w14:paraId="1EA7370C" w14:textId="69C620D4" w:rsidR="00974344" w:rsidRPr="00A27896" w:rsidRDefault="00974344" w:rsidP="00974344">
            <w:pPr>
              <w:spacing w:after="0" w:line="240" w:lineRule="auto"/>
              <w:jc w:val="right"/>
              <w:rPr>
                <w:rFonts w:cs="Times New Roman"/>
                <w:color w:val="17365D"/>
                <w:sz w:val="18"/>
                <w:szCs w:val="18"/>
              </w:rPr>
            </w:pPr>
            <w:r w:rsidRPr="00A27896">
              <w:rPr>
                <w:rFonts w:cs="Times New Roman"/>
                <w:color w:val="17365D"/>
                <w:sz w:val="18"/>
                <w:szCs w:val="18"/>
              </w:rPr>
              <w:t>0</w:t>
            </w:r>
          </w:p>
        </w:tc>
      </w:tr>
      <w:tr w:rsidR="00FD2772" w:rsidRPr="00A27896" w14:paraId="6DB100D1" w14:textId="77777777" w:rsidTr="009A4177">
        <w:trPr>
          <w:trHeight w:val="266"/>
        </w:trPr>
        <w:tc>
          <w:tcPr>
            <w:tcW w:w="1942" w:type="dxa"/>
            <w:tcBorders>
              <w:top w:val="single" w:sz="4" w:space="0" w:color="17365D"/>
              <w:bottom w:val="single" w:sz="4" w:space="0" w:color="17365D"/>
            </w:tcBorders>
            <w:shd w:val="clear" w:color="auto" w:fill="auto"/>
            <w:vAlign w:val="center"/>
          </w:tcPr>
          <w:p w14:paraId="6AE63B4B" w14:textId="6BBEE2E9" w:rsidR="00FD2772" w:rsidRPr="00A27896" w:rsidRDefault="00FD2772" w:rsidP="00FD2772">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nemateriālie ieguldījumi</w:t>
            </w:r>
          </w:p>
        </w:tc>
        <w:tc>
          <w:tcPr>
            <w:tcW w:w="1296" w:type="dxa"/>
            <w:tcBorders>
              <w:top w:val="single" w:sz="4" w:space="0" w:color="17365D"/>
              <w:left w:val="nil"/>
              <w:bottom w:val="single" w:sz="4" w:space="0" w:color="17365D"/>
              <w:right w:val="nil"/>
            </w:tcBorders>
            <w:shd w:val="clear" w:color="auto" w:fill="auto"/>
            <w:vAlign w:val="center"/>
          </w:tcPr>
          <w:p w14:paraId="1D7D942D" w14:textId="253A2815" w:rsidR="00FD2772" w:rsidRPr="00974344" w:rsidRDefault="00974344" w:rsidP="00974344">
            <w:pPr>
              <w:spacing w:after="0" w:line="240" w:lineRule="auto"/>
              <w:jc w:val="right"/>
              <w:rPr>
                <w:color w:val="17365D"/>
                <w:sz w:val="18"/>
                <w:szCs w:val="18"/>
              </w:rPr>
            </w:pPr>
            <w:r w:rsidRPr="00974344">
              <w:rPr>
                <w:color w:val="17365D"/>
                <w:sz w:val="18"/>
                <w:szCs w:val="18"/>
              </w:rPr>
              <w:t>13 605</w:t>
            </w:r>
          </w:p>
        </w:tc>
        <w:tc>
          <w:tcPr>
            <w:tcW w:w="1340" w:type="dxa"/>
            <w:tcBorders>
              <w:top w:val="single" w:sz="4" w:space="0" w:color="17365D"/>
              <w:left w:val="nil"/>
              <w:bottom w:val="single" w:sz="4" w:space="0" w:color="17365D"/>
              <w:right w:val="nil"/>
            </w:tcBorders>
            <w:shd w:val="clear" w:color="auto" w:fill="auto"/>
            <w:vAlign w:val="center"/>
          </w:tcPr>
          <w:p w14:paraId="75AA336C" w14:textId="501EC27A" w:rsidR="00FD2772" w:rsidRPr="00974344" w:rsidRDefault="00FD2772" w:rsidP="00974344">
            <w:pPr>
              <w:spacing w:after="0" w:line="240" w:lineRule="auto"/>
              <w:jc w:val="right"/>
              <w:rPr>
                <w:color w:val="17365D"/>
                <w:sz w:val="18"/>
                <w:szCs w:val="18"/>
              </w:rPr>
            </w:pPr>
            <w:r>
              <w:rPr>
                <w:color w:val="17365D"/>
                <w:sz w:val="18"/>
                <w:szCs w:val="18"/>
              </w:rPr>
              <w:t>0</w:t>
            </w:r>
          </w:p>
        </w:tc>
        <w:tc>
          <w:tcPr>
            <w:tcW w:w="1234" w:type="dxa"/>
            <w:tcBorders>
              <w:top w:val="single" w:sz="4" w:space="0" w:color="17365D"/>
              <w:left w:val="nil"/>
              <w:bottom w:val="single" w:sz="4" w:space="0" w:color="17365D"/>
              <w:right w:val="nil"/>
            </w:tcBorders>
            <w:shd w:val="clear" w:color="auto" w:fill="auto"/>
            <w:vAlign w:val="center"/>
          </w:tcPr>
          <w:p w14:paraId="1D83B577" w14:textId="4717A2C1" w:rsidR="00FD2772" w:rsidRPr="00974344" w:rsidRDefault="00FD2772" w:rsidP="00974344">
            <w:pPr>
              <w:spacing w:after="0" w:line="240" w:lineRule="auto"/>
              <w:jc w:val="right"/>
              <w:rPr>
                <w:color w:val="17365D"/>
                <w:sz w:val="18"/>
                <w:szCs w:val="18"/>
              </w:rPr>
            </w:pPr>
            <w:r>
              <w:rPr>
                <w:color w:val="17365D"/>
                <w:sz w:val="18"/>
                <w:szCs w:val="18"/>
              </w:rPr>
              <w:t>0</w:t>
            </w:r>
          </w:p>
        </w:tc>
        <w:tc>
          <w:tcPr>
            <w:tcW w:w="1134" w:type="dxa"/>
            <w:tcBorders>
              <w:top w:val="single" w:sz="4" w:space="0" w:color="17365D"/>
              <w:left w:val="nil"/>
              <w:bottom w:val="single" w:sz="4" w:space="0" w:color="17365D"/>
              <w:right w:val="nil"/>
            </w:tcBorders>
            <w:shd w:val="clear" w:color="auto" w:fill="auto"/>
            <w:vAlign w:val="center"/>
          </w:tcPr>
          <w:p w14:paraId="60D55A30" w14:textId="70CB972F" w:rsidR="00FD2772" w:rsidRPr="00974344" w:rsidRDefault="00FD2772" w:rsidP="00974344">
            <w:pPr>
              <w:spacing w:after="0" w:line="240" w:lineRule="auto"/>
              <w:jc w:val="right"/>
              <w:rPr>
                <w:color w:val="17365D"/>
                <w:sz w:val="18"/>
                <w:szCs w:val="18"/>
              </w:rPr>
            </w:pPr>
            <w:r>
              <w:rPr>
                <w:color w:val="17365D"/>
                <w:sz w:val="18"/>
                <w:szCs w:val="18"/>
              </w:rPr>
              <w:t>0</w:t>
            </w:r>
          </w:p>
        </w:tc>
        <w:tc>
          <w:tcPr>
            <w:tcW w:w="1276" w:type="dxa"/>
            <w:tcBorders>
              <w:top w:val="single" w:sz="4" w:space="0" w:color="17365D"/>
              <w:left w:val="nil"/>
              <w:bottom w:val="single" w:sz="4" w:space="0" w:color="17365D"/>
              <w:right w:val="nil"/>
            </w:tcBorders>
            <w:shd w:val="clear" w:color="auto" w:fill="auto"/>
            <w:vAlign w:val="center"/>
          </w:tcPr>
          <w:p w14:paraId="73F1D9F9" w14:textId="4D73D471" w:rsidR="00FD2772" w:rsidRPr="00974344" w:rsidRDefault="00FD2772" w:rsidP="00974344">
            <w:pPr>
              <w:spacing w:after="0" w:line="240" w:lineRule="auto"/>
              <w:jc w:val="right"/>
              <w:rPr>
                <w:color w:val="17365D"/>
                <w:sz w:val="18"/>
                <w:szCs w:val="18"/>
              </w:rPr>
            </w:pPr>
            <w:r>
              <w:rPr>
                <w:color w:val="17365D"/>
                <w:sz w:val="18"/>
                <w:szCs w:val="18"/>
              </w:rPr>
              <w:t>0</w:t>
            </w:r>
          </w:p>
        </w:tc>
        <w:tc>
          <w:tcPr>
            <w:tcW w:w="1134" w:type="dxa"/>
            <w:tcBorders>
              <w:top w:val="single" w:sz="4" w:space="0" w:color="17365D"/>
              <w:bottom w:val="single" w:sz="4" w:space="0" w:color="17365D"/>
            </w:tcBorders>
            <w:shd w:val="clear" w:color="auto" w:fill="auto"/>
            <w:vAlign w:val="center"/>
          </w:tcPr>
          <w:p w14:paraId="20440CEF" w14:textId="189E8FF4" w:rsidR="00FD2772" w:rsidRPr="00A27896" w:rsidRDefault="00FD2772" w:rsidP="00974344">
            <w:pPr>
              <w:spacing w:after="0" w:line="240" w:lineRule="auto"/>
              <w:jc w:val="right"/>
              <w:rPr>
                <w:rFonts w:cs="Times New Roman"/>
                <w:color w:val="17365D"/>
                <w:sz w:val="18"/>
                <w:szCs w:val="18"/>
              </w:rPr>
            </w:pPr>
            <w:r w:rsidRPr="00A27896">
              <w:rPr>
                <w:rFonts w:cs="Times New Roman"/>
                <w:color w:val="17365D"/>
                <w:sz w:val="18"/>
                <w:szCs w:val="18"/>
              </w:rPr>
              <w:t>0</w:t>
            </w:r>
          </w:p>
        </w:tc>
      </w:tr>
      <w:tr w:rsidR="00974344" w:rsidRPr="00A27896" w14:paraId="7295427D" w14:textId="77777777" w:rsidTr="009A4177">
        <w:trPr>
          <w:trHeight w:val="266"/>
        </w:trPr>
        <w:tc>
          <w:tcPr>
            <w:tcW w:w="1942" w:type="dxa"/>
            <w:tcBorders>
              <w:top w:val="single" w:sz="4" w:space="0" w:color="17365D"/>
              <w:bottom w:val="single" w:sz="4" w:space="0" w:color="17365D"/>
            </w:tcBorders>
            <w:shd w:val="clear" w:color="auto" w:fill="auto"/>
            <w:vAlign w:val="center"/>
          </w:tcPr>
          <w:p w14:paraId="28BA8CEF" w14:textId="70E64D03" w:rsidR="00974344" w:rsidRPr="00A27896" w:rsidRDefault="00974344" w:rsidP="00974344">
            <w:pPr>
              <w:spacing w:after="0" w:line="240" w:lineRule="auto"/>
              <w:rPr>
                <w:rFonts w:eastAsia="Times New Roman" w:cs="Times New Roman"/>
                <w:color w:val="17365D"/>
                <w:sz w:val="18"/>
                <w:szCs w:val="18"/>
                <w:lang w:eastAsia="lv-LV"/>
              </w:rPr>
            </w:pPr>
            <w:r w:rsidRPr="00A27896">
              <w:rPr>
                <w:rFonts w:cs="Times New Roman"/>
                <w:color w:val="17365D"/>
                <w:sz w:val="18"/>
                <w:szCs w:val="18"/>
              </w:rPr>
              <w:t>Zeme un būves</w:t>
            </w:r>
          </w:p>
        </w:tc>
        <w:tc>
          <w:tcPr>
            <w:tcW w:w="1296" w:type="dxa"/>
            <w:tcBorders>
              <w:top w:val="single" w:sz="4" w:space="0" w:color="17365D"/>
              <w:left w:val="nil"/>
              <w:bottom w:val="single" w:sz="4" w:space="0" w:color="17365D"/>
              <w:right w:val="nil"/>
            </w:tcBorders>
            <w:shd w:val="clear" w:color="auto" w:fill="auto"/>
            <w:vAlign w:val="center"/>
          </w:tcPr>
          <w:p w14:paraId="17BD80AC" w14:textId="688B40A0" w:rsidR="00974344" w:rsidRPr="00974344" w:rsidRDefault="00974344" w:rsidP="00974344">
            <w:pPr>
              <w:spacing w:after="0" w:line="240" w:lineRule="auto"/>
              <w:jc w:val="right"/>
              <w:rPr>
                <w:color w:val="17365D"/>
                <w:sz w:val="18"/>
                <w:szCs w:val="18"/>
              </w:rPr>
            </w:pPr>
            <w:r w:rsidRPr="00974344">
              <w:rPr>
                <w:color w:val="17365D"/>
                <w:sz w:val="18"/>
                <w:szCs w:val="18"/>
              </w:rPr>
              <w:t>71 405 615</w:t>
            </w:r>
          </w:p>
        </w:tc>
        <w:tc>
          <w:tcPr>
            <w:tcW w:w="1340" w:type="dxa"/>
            <w:tcBorders>
              <w:top w:val="single" w:sz="4" w:space="0" w:color="17365D"/>
              <w:left w:val="nil"/>
              <w:bottom w:val="single" w:sz="4" w:space="0" w:color="17365D"/>
              <w:right w:val="nil"/>
            </w:tcBorders>
            <w:shd w:val="clear" w:color="auto" w:fill="auto"/>
            <w:vAlign w:val="center"/>
          </w:tcPr>
          <w:p w14:paraId="5BFE03C6" w14:textId="168D2D76" w:rsidR="00974344" w:rsidRPr="00974344" w:rsidRDefault="00974344" w:rsidP="00974344">
            <w:pPr>
              <w:spacing w:after="0" w:line="240" w:lineRule="auto"/>
              <w:jc w:val="right"/>
              <w:rPr>
                <w:color w:val="17365D"/>
                <w:sz w:val="18"/>
                <w:szCs w:val="18"/>
              </w:rPr>
            </w:pPr>
            <w:r w:rsidRPr="00974344">
              <w:rPr>
                <w:color w:val="17365D"/>
                <w:sz w:val="18"/>
                <w:szCs w:val="18"/>
              </w:rPr>
              <w:t>15 516 672</w:t>
            </w:r>
          </w:p>
        </w:tc>
        <w:tc>
          <w:tcPr>
            <w:tcW w:w="1234" w:type="dxa"/>
            <w:tcBorders>
              <w:top w:val="single" w:sz="4" w:space="0" w:color="17365D"/>
              <w:left w:val="nil"/>
              <w:bottom w:val="single" w:sz="4" w:space="0" w:color="17365D"/>
              <w:right w:val="nil"/>
            </w:tcBorders>
            <w:shd w:val="clear" w:color="auto" w:fill="auto"/>
            <w:vAlign w:val="center"/>
          </w:tcPr>
          <w:p w14:paraId="3AE3B319" w14:textId="79B85106" w:rsidR="00974344" w:rsidRPr="00974344" w:rsidRDefault="00974344" w:rsidP="00974344">
            <w:pPr>
              <w:spacing w:after="0" w:line="240" w:lineRule="auto"/>
              <w:jc w:val="right"/>
              <w:rPr>
                <w:color w:val="17365D"/>
                <w:sz w:val="18"/>
                <w:szCs w:val="18"/>
              </w:rPr>
            </w:pPr>
            <w:r w:rsidRPr="00974344">
              <w:rPr>
                <w:color w:val="17365D"/>
                <w:sz w:val="18"/>
                <w:szCs w:val="18"/>
              </w:rPr>
              <w:t>10 175 745</w:t>
            </w:r>
          </w:p>
        </w:tc>
        <w:tc>
          <w:tcPr>
            <w:tcW w:w="1134" w:type="dxa"/>
            <w:tcBorders>
              <w:top w:val="single" w:sz="4" w:space="0" w:color="17365D"/>
              <w:left w:val="nil"/>
              <w:bottom w:val="single" w:sz="4" w:space="0" w:color="17365D"/>
              <w:right w:val="nil"/>
            </w:tcBorders>
            <w:shd w:val="clear" w:color="auto" w:fill="auto"/>
            <w:vAlign w:val="center"/>
          </w:tcPr>
          <w:p w14:paraId="4C5A9CB3" w14:textId="1599B3DD" w:rsidR="00974344" w:rsidRPr="00974344" w:rsidRDefault="00974344" w:rsidP="00974344">
            <w:pPr>
              <w:spacing w:after="0" w:line="240" w:lineRule="auto"/>
              <w:jc w:val="right"/>
              <w:rPr>
                <w:color w:val="17365D"/>
                <w:sz w:val="18"/>
                <w:szCs w:val="18"/>
              </w:rPr>
            </w:pPr>
            <w:r w:rsidRPr="00974344">
              <w:rPr>
                <w:color w:val="17365D"/>
                <w:sz w:val="18"/>
                <w:szCs w:val="18"/>
              </w:rPr>
              <w:t>8 570 522</w:t>
            </w:r>
          </w:p>
        </w:tc>
        <w:tc>
          <w:tcPr>
            <w:tcW w:w="1276" w:type="dxa"/>
            <w:tcBorders>
              <w:top w:val="single" w:sz="4" w:space="0" w:color="17365D"/>
              <w:left w:val="nil"/>
              <w:bottom w:val="single" w:sz="4" w:space="0" w:color="17365D"/>
              <w:right w:val="nil"/>
            </w:tcBorders>
            <w:shd w:val="clear" w:color="auto" w:fill="auto"/>
            <w:vAlign w:val="center"/>
          </w:tcPr>
          <w:p w14:paraId="4B3A57F8" w14:textId="45391089" w:rsidR="00974344" w:rsidRPr="00974344" w:rsidRDefault="00974344" w:rsidP="00974344">
            <w:pPr>
              <w:spacing w:after="0" w:line="240" w:lineRule="auto"/>
              <w:jc w:val="right"/>
              <w:rPr>
                <w:color w:val="17365D"/>
                <w:sz w:val="18"/>
                <w:szCs w:val="18"/>
              </w:rPr>
            </w:pPr>
            <w:r w:rsidRPr="00974344">
              <w:rPr>
                <w:color w:val="17365D"/>
                <w:sz w:val="18"/>
                <w:szCs w:val="18"/>
              </w:rPr>
              <w:t>9 621 056</w:t>
            </w:r>
          </w:p>
        </w:tc>
        <w:tc>
          <w:tcPr>
            <w:tcW w:w="1134" w:type="dxa"/>
            <w:tcBorders>
              <w:top w:val="single" w:sz="4" w:space="0" w:color="17365D"/>
              <w:bottom w:val="single" w:sz="4" w:space="0" w:color="17365D"/>
            </w:tcBorders>
            <w:shd w:val="clear" w:color="auto" w:fill="auto"/>
            <w:vAlign w:val="center"/>
          </w:tcPr>
          <w:p w14:paraId="184D8FE0" w14:textId="18EDCDCC" w:rsidR="00974344" w:rsidRPr="00A27896" w:rsidRDefault="00974344" w:rsidP="00974344">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r>
      <w:tr w:rsidR="00974344" w:rsidRPr="00A27896" w14:paraId="20680E6B" w14:textId="77777777" w:rsidTr="009A4177">
        <w:trPr>
          <w:trHeight w:val="266"/>
        </w:trPr>
        <w:tc>
          <w:tcPr>
            <w:tcW w:w="1942" w:type="dxa"/>
            <w:tcBorders>
              <w:top w:val="single" w:sz="4" w:space="0" w:color="17365D"/>
              <w:bottom w:val="single" w:sz="4" w:space="0" w:color="17365D"/>
            </w:tcBorders>
            <w:shd w:val="clear" w:color="auto" w:fill="auto"/>
            <w:vAlign w:val="center"/>
            <w:hideMark/>
          </w:tcPr>
          <w:p w14:paraId="26387E02" w14:textId="0D64C33D" w:rsidR="00974344" w:rsidRPr="00A27896" w:rsidRDefault="00974344" w:rsidP="00974344">
            <w:pPr>
              <w:spacing w:after="0" w:line="240" w:lineRule="auto"/>
              <w:rPr>
                <w:rFonts w:eastAsia="Times New Roman" w:cs="Times New Roman"/>
                <w:color w:val="17365D"/>
                <w:sz w:val="18"/>
                <w:szCs w:val="18"/>
                <w:lang w:eastAsia="lv-LV"/>
              </w:rPr>
            </w:pPr>
            <w:r w:rsidRPr="00A27896">
              <w:rPr>
                <w:rFonts w:cs="Times New Roman"/>
                <w:color w:val="17365D"/>
                <w:sz w:val="18"/>
                <w:szCs w:val="18"/>
              </w:rPr>
              <w:t>Tehnoloģiskās iekārtas un mašīnas</w:t>
            </w:r>
          </w:p>
        </w:tc>
        <w:tc>
          <w:tcPr>
            <w:tcW w:w="1296" w:type="dxa"/>
            <w:tcBorders>
              <w:top w:val="single" w:sz="4" w:space="0" w:color="17365D"/>
              <w:left w:val="nil"/>
              <w:bottom w:val="single" w:sz="4" w:space="0" w:color="17365D"/>
              <w:right w:val="nil"/>
            </w:tcBorders>
            <w:shd w:val="clear" w:color="auto" w:fill="auto"/>
            <w:vAlign w:val="center"/>
          </w:tcPr>
          <w:p w14:paraId="6046DB1B" w14:textId="3DA819CA" w:rsidR="00974344" w:rsidRPr="00974344" w:rsidRDefault="00974344" w:rsidP="00974344">
            <w:pPr>
              <w:spacing w:after="0" w:line="240" w:lineRule="auto"/>
              <w:jc w:val="right"/>
              <w:rPr>
                <w:color w:val="17365D"/>
                <w:sz w:val="18"/>
                <w:szCs w:val="18"/>
              </w:rPr>
            </w:pPr>
            <w:r w:rsidRPr="00974344">
              <w:rPr>
                <w:color w:val="17365D"/>
                <w:sz w:val="18"/>
                <w:szCs w:val="18"/>
              </w:rPr>
              <w:t>341 131</w:t>
            </w:r>
          </w:p>
        </w:tc>
        <w:tc>
          <w:tcPr>
            <w:tcW w:w="1340" w:type="dxa"/>
            <w:tcBorders>
              <w:top w:val="single" w:sz="4" w:space="0" w:color="17365D"/>
              <w:left w:val="nil"/>
              <w:bottom w:val="single" w:sz="4" w:space="0" w:color="17365D"/>
              <w:right w:val="nil"/>
            </w:tcBorders>
            <w:shd w:val="clear" w:color="auto" w:fill="auto"/>
            <w:vAlign w:val="center"/>
          </w:tcPr>
          <w:p w14:paraId="1950867C" w14:textId="0A712464" w:rsidR="00974344" w:rsidRPr="00974344" w:rsidRDefault="00974344" w:rsidP="00974344">
            <w:pPr>
              <w:spacing w:after="0" w:line="240" w:lineRule="auto"/>
              <w:jc w:val="right"/>
              <w:rPr>
                <w:color w:val="17365D"/>
                <w:sz w:val="18"/>
                <w:szCs w:val="18"/>
              </w:rPr>
            </w:pPr>
            <w:r w:rsidRPr="00974344">
              <w:rPr>
                <w:color w:val="17365D"/>
                <w:sz w:val="18"/>
                <w:szCs w:val="18"/>
              </w:rPr>
              <w:t>154 440</w:t>
            </w:r>
          </w:p>
        </w:tc>
        <w:tc>
          <w:tcPr>
            <w:tcW w:w="1234" w:type="dxa"/>
            <w:tcBorders>
              <w:top w:val="single" w:sz="4" w:space="0" w:color="17365D"/>
              <w:left w:val="nil"/>
              <w:bottom w:val="single" w:sz="4" w:space="0" w:color="17365D"/>
              <w:right w:val="nil"/>
            </w:tcBorders>
            <w:shd w:val="clear" w:color="auto" w:fill="auto"/>
            <w:vAlign w:val="center"/>
          </w:tcPr>
          <w:p w14:paraId="4143F732" w14:textId="2874F24D" w:rsidR="00974344" w:rsidRPr="00974344" w:rsidRDefault="00974344" w:rsidP="00974344">
            <w:pPr>
              <w:spacing w:after="0" w:line="240" w:lineRule="auto"/>
              <w:jc w:val="right"/>
              <w:rPr>
                <w:color w:val="17365D"/>
                <w:sz w:val="18"/>
                <w:szCs w:val="18"/>
              </w:rPr>
            </w:pPr>
            <w:r w:rsidRPr="00974344">
              <w:rPr>
                <w:color w:val="17365D"/>
                <w:sz w:val="18"/>
                <w:szCs w:val="18"/>
              </w:rPr>
              <w:t>154 440</w:t>
            </w:r>
          </w:p>
        </w:tc>
        <w:tc>
          <w:tcPr>
            <w:tcW w:w="1134" w:type="dxa"/>
            <w:tcBorders>
              <w:top w:val="single" w:sz="4" w:space="0" w:color="17365D"/>
              <w:left w:val="nil"/>
              <w:bottom w:val="single" w:sz="4" w:space="0" w:color="17365D"/>
              <w:right w:val="nil"/>
            </w:tcBorders>
            <w:shd w:val="clear" w:color="auto" w:fill="auto"/>
            <w:vAlign w:val="center"/>
          </w:tcPr>
          <w:p w14:paraId="676F232F" w14:textId="679F178C" w:rsidR="00974344" w:rsidRPr="00974344" w:rsidRDefault="00974344" w:rsidP="00974344">
            <w:pPr>
              <w:spacing w:after="0" w:line="240" w:lineRule="auto"/>
              <w:jc w:val="right"/>
              <w:rPr>
                <w:color w:val="17365D"/>
                <w:sz w:val="18"/>
                <w:szCs w:val="18"/>
              </w:rPr>
            </w:pPr>
            <w:r>
              <w:rPr>
                <w:color w:val="17365D"/>
                <w:sz w:val="18"/>
                <w:szCs w:val="18"/>
              </w:rPr>
              <w:t>0</w:t>
            </w:r>
          </w:p>
        </w:tc>
        <w:tc>
          <w:tcPr>
            <w:tcW w:w="1276" w:type="dxa"/>
            <w:tcBorders>
              <w:top w:val="single" w:sz="4" w:space="0" w:color="17365D"/>
              <w:left w:val="nil"/>
              <w:bottom w:val="single" w:sz="4" w:space="0" w:color="17365D"/>
              <w:right w:val="nil"/>
            </w:tcBorders>
            <w:shd w:val="clear" w:color="auto" w:fill="auto"/>
            <w:vAlign w:val="center"/>
          </w:tcPr>
          <w:p w14:paraId="2DA5C31A" w14:textId="5D5740C8" w:rsidR="00974344" w:rsidRPr="00974344" w:rsidRDefault="00974344" w:rsidP="00974344">
            <w:pPr>
              <w:spacing w:after="0" w:line="240" w:lineRule="auto"/>
              <w:jc w:val="right"/>
              <w:rPr>
                <w:color w:val="17365D"/>
                <w:sz w:val="18"/>
                <w:szCs w:val="18"/>
              </w:rPr>
            </w:pPr>
            <w:r>
              <w:rPr>
                <w:color w:val="17365D"/>
                <w:sz w:val="18"/>
                <w:szCs w:val="18"/>
              </w:rPr>
              <w:t>0</w:t>
            </w:r>
          </w:p>
        </w:tc>
        <w:tc>
          <w:tcPr>
            <w:tcW w:w="1134" w:type="dxa"/>
            <w:tcBorders>
              <w:top w:val="single" w:sz="4" w:space="0" w:color="17365D"/>
              <w:bottom w:val="single" w:sz="4" w:space="0" w:color="17365D"/>
            </w:tcBorders>
            <w:shd w:val="clear" w:color="auto" w:fill="auto"/>
            <w:vAlign w:val="center"/>
            <w:hideMark/>
          </w:tcPr>
          <w:p w14:paraId="4B3A8E0B" w14:textId="0DFACC4E" w:rsidR="00974344" w:rsidRPr="00A27896" w:rsidRDefault="00974344" w:rsidP="0097434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974344" w:rsidRPr="00A27896" w14:paraId="3E09E944" w14:textId="77777777" w:rsidTr="009A4177">
        <w:trPr>
          <w:trHeight w:val="266"/>
        </w:trPr>
        <w:tc>
          <w:tcPr>
            <w:tcW w:w="1942" w:type="dxa"/>
            <w:tcBorders>
              <w:top w:val="single" w:sz="4" w:space="0" w:color="17365D"/>
              <w:bottom w:val="single" w:sz="4" w:space="0" w:color="17365D"/>
            </w:tcBorders>
            <w:shd w:val="clear" w:color="auto" w:fill="auto"/>
            <w:vAlign w:val="center"/>
            <w:hideMark/>
          </w:tcPr>
          <w:p w14:paraId="52FDF137" w14:textId="697C87C0" w:rsidR="00974344" w:rsidRPr="00A27896" w:rsidRDefault="00974344" w:rsidP="00974344">
            <w:pPr>
              <w:spacing w:after="0" w:line="240" w:lineRule="auto"/>
              <w:rPr>
                <w:rFonts w:eastAsia="Times New Roman" w:cs="Times New Roman"/>
                <w:color w:val="17365D"/>
                <w:sz w:val="18"/>
                <w:szCs w:val="18"/>
                <w:lang w:eastAsia="lv-LV"/>
              </w:rPr>
            </w:pPr>
            <w:r w:rsidRPr="00A27896">
              <w:rPr>
                <w:rFonts w:cs="Times New Roman"/>
                <w:color w:val="17365D"/>
                <w:sz w:val="18"/>
                <w:szCs w:val="18"/>
              </w:rPr>
              <w:t>Pārējie pamatlīdzekļi</w:t>
            </w:r>
          </w:p>
        </w:tc>
        <w:tc>
          <w:tcPr>
            <w:tcW w:w="1296" w:type="dxa"/>
            <w:tcBorders>
              <w:top w:val="single" w:sz="4" w:space="0" w:color="17365D"/>
              <w:left w:val="nil"/>
              <w:bottom w:val="single" w:sz="4" w:space="0" w:color="17365D"/>
              <w:right w:val="nil"/>
            </w:tcBorders>
            <w:shd w:val="clear" w:color="auto" w:fill="auto"/>
            <w:vAlign w:val="center"/>
          </w:tcPr>
          <w:p w14:paraId="731BBCB8" w14:textId="059A3F3D" w:rsidR="00974344" w:rsidRPr="00974344" w:rsidRDefault="00974344" w:rsidP="00974344">
            <w:pPr>
              <w:spacing w:after="0" w:line="240" w:lineRule="auto"/>
              <w:jc w:val="right"/>
              <w:rPr>
                <w:color w:val="17365D"/>
                <w:sz w:val="18"/>
                <w:szCs w:val="18"/>
              </w:rPr>
            </w:pPr>
            <w:r w:rsidRPr="00974344">
              <w:rPr>
                <w:color w:val="17365D"/>
                <w:sz w:val="18"/>
                <w:szCs w:val="18"/>
              </w:rPr>
              <w:t>17 460 278</w:t>
            </w:r>
          </w:p>
        </w:tc>
        <w:tc>
          <w:tcPr>
            <w:tcW w:w="1340" w:type="dxa"/>
            <w:tcBorders>
              <w:top w:val="single" w:sz="4" w:space="0" w:color="17365D"/>
              <w:left w:val="nil"/>
              <w:bottom w:val="single" w:sz="4" w:space="0" w:color="17365D"/>
              <w:right w:val="nil"/>
            </w:tcBorders>
            <w:shd w:val="clear" w:color="auto" w:fill="auto"/>
            <w:vAlign w:val="center"/>
          </w:tcPr>
          <w:p w14:paraId="0A23D4B6" w14:textId="76EA98E7" w:rsidR="00974344" w:rsidRPr="00974344" w:rsidRDefault="00974344" w:rsidP="00974344">
            <w:pPr>
              <w:spacing w:after="0" w:line="240" w:lineRule="auto"/>
              <w:jc w:val="right"/>
              <w:rPr>
                <w:color w:val="17365D"/>
                <w:sz w:val="18"/>
                <w:szCs w:val="18"/>
              </w:rPr>
            </w:pPr>
            <w:r w:rsidRPr="00974344">
              <w:rPr>
                <w:color w:val="17365D"/>
                <w:sz w:val="18"/>
                <w:szCs w:val="18"/>
              </w:rPr>
              <w:t>2 110 615</w:t>
            </w:r>
          </w:p>
        </w:tc>
        <w:tc>
          <w:tcPr>
            <w:tcW w:w="1234" w:type="dxa"/>
            <w:tcBorders>
              <w:top w:val="single" w:sz="4" w:space="0" w:color="17365D"/>
              <w:left w:val="nil"/>
              <w:bottom w:val="single" w:sz="4" w:space="0" w:color="17365D"/>
              <w:right w:val="nil"/>
            </w:tcBorders>
            <w:shd w:val="clear" w:color="auto" w:fill="auto"/>
            <w:vAlign w:val="center"/>
          </w:tcPr>
          <w:p w14:paraId="1BA3F2F5" w14:textId="0335CC4B" w:rsidR="00974344" w:rsidRPr="00974344" w:rsidRDefault="00974344" w:rsidP="00974344">
            <w:pPr>
              <w:spacing w:after="0" w:line="240" w:lineRule="auto"/>
              <w:jc w:val="right"/>
              <w:rPr>
                <w:color w:val="17365D"/>
                <w:sz w:val="18"/>
                <w:szCs w:val="18"/>
              </w:rPr>
            </w:pPr>
            <w:r w:rsidRPr="00974344">
              <w:rPr>
                <w:color w:val="17365D"/>
                <w:sz w:val="18"/>
                <w:szCs w:val="18"/>
              </w:rPr>
              <w:t>1 695 342</w:t>
            </w:r>
          </w:p>
        </w:tc>
        <w:tc>
          <w:tcPr>
            <w:tcW w:w="1134" w:type="dxa"/>
            <w:tcBorders>
              <w:top w:val="single" w:sz="4" w:space="0" w:color="17365D"/>
              <w:left w:val="nil"/>
              <w:bottom w:val="single" w:sz="4" w:space="0" w:color="17365D"/>
              <w:right w:val="nil"/>
            </w:tcBorders>
            <w:shd w:val="clear" w:color="auto" w:fill="auto"/>
            <w:vAlign w:val="center"/>
          </w:tcPr>
          <w:p w14:paraId="7BAC5440" w14:textId="6E7CA799" w:rsidR="00974344" w:rsidRPr="00974344" w:rsidRDefault="00974344" w:rsidP="00974344">
            <w:pPr>
              <w:spacing w:after="0" w:line="240" w:lineRule="auto"/>
              <w:jc w:val="right"/>
              <w:rPr>
                <w:color w:val="17365D"/>
                <w:sz w:val="18"/>
                <w:szCs w:val="18"/>
              </w:rPr>
            </w:pPr>
            <w:r w:rsidRPr="00974344">
              <w:rPr>
                <w:color w:val="17365D"/>
                <w:sz w:val="18"/>
                <w:szCs w:val="18"/>
              </w:rPr>
              <w:t>1 287 233</w:t>
            </w:r>
          </w:p>
        </w:tc>
        <w:tc>
          <w:tcPr>
            <w:tcW w:w="1276" w:type="dxa"/>
            <w:tcBorders>
              <w:top w:val="single" w:sz="4" w:space="0" w:color="17365D"/>
              <w:left w:val="nil"/>
              <w:bottom w:val="single" w:sz="4" w:space="0" w:color="17365D"/>
              <w:right w:val="nil"/>
            </w:tcBorders>
            <w:shd w:val="clear" w:color="auto" w:fill="auto"/>
            <w:vAlign w:val="center"/>
          </w:tcPr>
          <w:p w14:paraId="1D2924BF" w14:textId="2B373849" w:rsidR="00974344" w:rsidRPr="00974344" w:rsidRDefault="00974344" w:rsidP="00974344">
            <w:pPr>
              <w:spacing w:after="0" w:line="240" w:lineRule="auto"/>
              <w:jc w:val="right"/>
              <w:rPr>
                <w:color w:val="17365D"/>
                <w:sz w:val="18"/>
                <w:szCs w:val="18"/>
              </w:rPr>
            </w:pPr>
            <w:r w:rsidRPr="00974344">
              <w:rPr>
                <w:color w:val="17365D"/>
                <w:sz w:val="18"/>
                <w:szCs w:val="18"/>
              </w:rPr>
              <w:t>1 081 567</w:t>
            </w:r>
          </w:p>
        </w:tc>
        <w:tc>
          <w:tcPr>
            <w:tcW w:w="1134" w:type="dxa"/>
            <w:tcBorders>
              <w:top w:val="single" w:sz="4" w:space="0" w:color="17365D"/>
              <w:bottom w:val="single" w:sz="4" w:space="0" w:color="17365D"/>
            </w:tcBorders>
            <w:shd w:val="clear" w:color="auto" w:fill="auto"/>
            <w:vAlign w:val="center"/>
            <w:hideMark/>
          </w:tcPr>
          <w:p w14:paraId="4E7372DA" w14:textId="3E7C13EE" w:rsidR="00974344" w:rsidRPr="00A27896" w:rsidRDefault="00974344" w:rsidP="0097434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974344" w:rsidRPr="00A27896" w14:paraId="782F274C" w14:textId="77777777" w:rsidTr="009A4177">
        <w:trPr>
          <w:trHeight w:val="266"/>
        </w:trPr>
        <w:tc>
          <w:tcPr>
            <w:tcW w:w="1942" w:type="dxa"/>
            <w:tcBorders>
              <w:top w:val="single" w:sz="4" w:space="0" w:color="17365D"/>
              <w:bottom w:val="single" w:sz="4" w:space="0" w:color="17365D"/>
            </w:tcBorders>
            <w:shd w:val="clear" w:color="auto" w:fill="auto"/>
            <w:vAlign w:val="center"/>
          </w:tcPr>
          <w:p w14:paraId="093E5D7A" w14:textId="36A54438" w:rsidR="00974344" w:rsidRPr="00A27896" w:rsidRDefault="00974344" w:rsidP="00974344">
            <w:pPr>
              <w:spacing w:after="0" w:line="240" w:lineRule="auto"/>
              <w:rPr>
                <w:rFonts w:eastAsia="Times New Roman" w:cs="Times New Roman"/>
                <w:color w:val="17365D"/>
                <w:sz w:val="18"/>
                <w:szCs w:val="18"/>
                <w:lang w:eastAsia="lv-LV"/>
              </w:rPr>
            </w:pPr>
            <w:r w:rsidRPr="00A27896">
              <w:rPr>
                <w:rFonts w:cs="Times New Roman"/>
                <w:color w:val="17365D"/>
                <w:sz w:val="18"/>
                <w:szCs w:val="18"/>
              </w:rPr>
              <w:t>Ilgtermiņa ieguldījumi nomātajos pamatlīdzekļos</w:t>
            </w:r>
          </w:p>
        </w:tc>
        <w:tc>
          <w:tcPr>
            <w:tcW w:w="1296" w:type="dxa"/>
            <w:tcBorders>
              <w:top w:val="single" w:sz="4" w:space="0" w:color="17365D"/>
              <w:left w:val="nil"/>
              <w:bottom w:val="single" w:sz="4" w:space="0" w:color="17365D"/>
              <w:right w:val="nil"/>
            </w:tcBorders>
            <w:shd w:val="clear" w:color="auto" w:fill="auto"/>
            <w:vAlign w:val="center"/>
          </w:tcPr>
          <w:p w14:paraId="3894B8BC" w14:textId="15BC60EB" w:rsidR="00974344" w:rsidRPr="00974344" w:rsidRDefault="00974344" w:rsidP="00974344">
            <w:pPr>
              <w:spacing w:after="0" w:line="240" w:lineRule="auto"/>
              <w:jc w:val="right"/>
              <w:rPr>
                <w:color w:val="17365D"/>
                <w:sz w:val="18"/>
                <w:szCs w:val="18"/>
              </w:rPr>
            </w:pPr>
            <w:r w:rsidRPr="00974344">
              <w:rPr>
                <w:color w:val="17365D"/>
                <w:sz w:val="18"/>
                <w:szCs w:val="18"/>
              </w:rPr>
              <w:t>106 434</w:t>
            </w:r>
          </w:p>
        </w:tc>
        <w:tc>
          <w:tcPr>
            <w:tcW w:w="1340" w:type="dxa"/>
            <w:tcBorders>
              <w:top w:val="single" w:sz="4" w:space="0" w:color="17365D"/>
              <w:left w:val="nil"/>
              <w:bottom w:val="single" w:sz="4" w:space="0" w:color="17365D"/>
              <w:right w:val="nil"/>
            </w:tcBorders>
            <w:shd w:val="clear" w:color="auto" w:fill="auto"/>
            <w:vAlign w:val="center"/>
          </w:tcPr>
          <w:p w14:paraId="3C7FCC9A" w14:textId="5D4F2A89" w:rsidR="00974344" w:rsidRPr="00974344" w:rsidRDefault="00974344" w:rsidP="00974344">
            <w:pPr>
              <w:spacing w:after="0" w:line="240" w:lineRule="auto"/>
              <w:jc w:val="right"/>
              <w:rPr>
                <w:color w:val="17365D"/>
                <w:sz w:val="18"/>
                <w:szCs w:val="18"/>
              </w:rPr>
            </w:pPr>
            <w:r w:rsidRPr="00974344">
              <w:rPr>
                <w:color w:val="17365D"/>
                <w:sz w:val="18"/>
                <w:szCs w:val="18"/>
              </w:rPr>
              <w:t>129 190</w:t>
            </w:r>
          </w:p>
        </w:tc>
        <w:tc>
          <w:tcPr>
            <w:tcW w:w="1234" w:type="dxa"/>
            <w:tcBorders>
              <w:top w:val="single" w:sz="4" w:space="0" w:color="17365D"/>
              <w:left w:val="nil"/>
              <w:bottom w:val="single" w:sz="4" w:space="0" w:color="17365D"/>
              <w:right w:val="nil"/>
            </w:tcBorders>
            <w:shd w:val="clear" w:color="auto" w:fill="auto"/>
            <w:vAlign w:val="center"/>
          </w:tcPr>
          <w:p w14:paraId="0DD914A7" w14:textId="78134F7A" w:rsidR="00974344" w:rsidRPr="00974344" w:rsidRDefault="00974344" w:rsidP="00974344">
            <w:pPr>
              <w:spacing w:after="0" w:line="240" w:lineRule="auto"/>
              <w:jc w:val="right"/>
              <w:rPr>
                <w:color w:val="17365D"/>
                <w:sz w:val="18"/>
                <w:szCs w:val="18"/>
              </w:rPr>
            </w:pPr>
            <w:r w:rsidRPr="00974344">
              <w:rPr>
                <w:color w:val="17365D"/>
                <w:sz w:val="18"/>
                <w:szCs w:val="18"/>
              </w:rPr>
              <w:t>129 190</w:t>
            </w:r>
          </w:p>
        </w:tc>
        <w:tc>
          <w:tcPr>
            <w:tcW w:w="1134" w:type="dxa"/>
            <w:tcBorders>
              <w:top w:val="single" w:sz="4" w:space="0" w:color="17365D"/>
              <w:left w:val="nil"/>
              <w:bottom w:val="single" w:sz="4" w:space="0" w:color="17365D"/>
              <w:right w:val="nil"/>
            </w:tcBorders>
            <w:shd w:val="clear" w:color="auto" w:fill="auto"/>
            <w:vAlign w:val="center"/>
          </w:tcPr>
          <w:p w14:paraId="5BFA02F0" w14:textId="4E69482E" w:rsidR="00974344" w:rsidRPr="00974344" w:rsidRDefault="00974344" w:rsidP="00974344">
            <w:pPr>
              <w:spacing w:after="0" w:line="240" w:lineRule="auto"/>
              <w:jc w:val="right"/>
              <w:rPr>
                <w:color w:val="17365D"/>
                <w:sz w:val="18"/>
                <w:szCs w:val="18"/>
              </w:rPr>
            </w:pPr>
            <w:r>
              <w:rPr>
                <w:color w:val="17365D"/>
                <w:sz w:val="18"/>
                <w:szCs w:val="18"/>
              </w:rPr>
              <w:t>0</w:t>
            </w:r>
          </w:p>
        </w:tc>
        <w:tc>
          <w:tcPr>
            <w:tcW w:w="1276" w:type="dxa"/>
            <w:tcBorders>
              <w:top w:val="single" w:sz="4" w:space="0" w:color="17365D"/>
              <w:left w:val="nil"/>
              <w:bottom w:val="single" w:sz="4" w:space="0" w:color="17365D"/>
              <w:right w:val="nil"/>
            </w:tcBorders>
            <w:shd w:val="clear" w:color="auto" w:fill="auto"/>
            <w:vAlign w:val="center"/>
          </w:tcPr>
          <w:p w14:paraId="214F9AD7" w14:textId="3802FC34" w:rsidR="00974344" w:rsidRPr="00974344" w:rsidRDefault="00974344" w:rsidP="00974344">
            <w:pPr>
              <w:spacing w:after="0" w:line="240" w:lineRule="auto"/>
              <w:jc w:val="right"/>
              <w:rPr>
                <w:color w:val="17365D"/>
                <w:sz w:val="18"/>
                <w:szCs w:val="18"/>
              </w:rPr>
            </w:pPr>
            <w:r>
              <w:rPr>
                <w:color w:val="17365D"/>
                <w:sz w:val="18"/>
                <w:szCs w:val="18"/>
              </w:rPr>
              <w:t>0</w:t>
            </w:r>
          </w:p>
        </w:tc>
        <w:tc>
          <w:tcPr>
            <w:tcW w:w="1134" w:type="dxa"/>
            <w:tcBorders>
              <w:top w:val="single" w:sz="4" w:space="0" w:color="17365D"/>
              <w:bottom w:val="single" w:sz="4" w:space="0" w:color="17365D"/>
            </w:tcBorders>
            <w:shd w:val="clear" w:color="auto" w:fill="auto"/>
            <w:vAlign w:val="center"/>
          </w:tcPr>
          <w:p w14:paraId="05F3E1EE" w14:textId="6E2CC114" w:rsidR="00974344" w:rsidRPr="00A27896" w:rsidRDefault="00974344" w:rsidP="00974344">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r>
      <w:tr w:rsidR="00974344" w:rsidRPr="00A27896" w14:paraId="7CC61397" w14:textId="77777777" w:rsidTr="009A4177">
        <w:trPr>
          <w:trHeight w:val="266"/>
        </w:trPr>
        <w:tc>
          <w:tcPr>
            <w:tcW w:w="1942" w:type="dxa"/>
            <w:tcBorders>
              <w:top w:val="single" w:sz="4" w:space="0" w:color="17365D"/>
              <w:bottom w:val="single" w:sz="4" w:space="0" w:color="17365D"/>
            </w:tcBorders>
            <w:shd w:val="clear" w:color="auto" w:fill="auto"/>
            <w:vAlign w:val="center"/>
            <w:hideMark/>
          </w:tcPr>
          <w:p w14:paraId="22EBE377" w14:textId="3E7A57D1" w:rsidR="00974344" w:rsidRPr="00A27896" w:rsidRDefault="00974344" w:rsidP="00974344">
            <w:pPr>
              <w:spacing w:after="0" w:line="240" w:lineRule="auto"/>
              <w:rPr>
                <w:rFonts w:eastAsia="Times New Roman" w:cs="Times New Roman"/>
                <w:color w:val="17365D"/>
                <w:sz w:val="18"/>
                <w:szCs w:val="18"/>
                <w:lang w:eastAsia="lv-LV"/>
              </w:rPr>
            </w:pPr>
            <w:r w:rsidRPr="00A27896">
              <w:rPr>
                <w:rFonts w:cs="Times New Roman"/>
                <w:b/>
                <w:bCs/>
                <w:color w:val="17365D"/>
                <w:sz w:val="18"/>
                <w:szCs w:val="18"/>
              </w:rPr>
              <w:t>Apgrozāmie līdzekļi</w:t>
            </w:r>
          </w:p>
        </w:tc>
        <w:tc>
          <w:tcPr>
            <w:tcW w:w="1296" w:type="dxa"/>
            <w:tcBorders>
              <w:top w:val="single" w:sz="4" w:space="0" w:color="17365D"/>
              <w:left w:val="nil"/>
              <w:bottom w:val="single" w:sz="4" w:space="0" w:color="17365D"/>
              <w:right w:val="nil"/>
            </w:tcBorders>
            <w:shd w:val="clear" w:color="auto" w:fill="auto"/>
            <w:vAlign w:val="center"/>
          </w:tcPr>
          <w:p w14:paraId="4E821B0E" w14:textId="76F47BAB" w:rsidR="00974344" w:rsidRPr="00974344" w:rsidRDefault="00974344" w:rsidP="00974344">
            <w:pPr>
              <w:spacing w:after="0" w:line="240" w:lineRule="auto"/>
              <w:jc w:val="right"/>
              <w:rPr>
                <w:b/>
                <w:bCs/>
                <w:color w:val="17365D"/>
                <w:sz w:val="18"/>
                <w:szCs w:val="18"/>
              </w:rPr>
            </w:pPr>
            <w:r w:rsidRPr="00974344">
              <w:rPr>
                <w:b/>
                <w:bCs/>
                <w:color w:val="17365D"/>
                <w:sz w:val="18"/>
                <w:szCs w:val="18"/>
              </w:rPr>
              <w:t>3 333 845</w:t>
            </w:r>
          </w:p>
        </w:tc>
        <w:tc>
          <w:tcPr>
            <w:tcW w:w="1340" w:type="dxa"/>
            <w:tcBorders>
              <w:top w:val="single" w:sz="4" w:space="0" w:color="17365D"/>
              <w:left w:val="nil"/>
              <w:bottom w:val="single" w:sz="4" w:space="0" w:color="17365D"/>
              <w:right w:val="nil"/>
            </w:tcBorders>
            <w:shd w:val="clear" w:color="auto" w:fill="auto"/>
            <w:vAlign w:val="center"/>
          </w:tcPr>
          <w:p w14:paraId="7054C538" w14:textId="5EB328BE" w:rsidR="00974344" w:rsidRPr="00974344" w:rsidRDefault="00974344" w:rsidP="00974344">
            <w:pPr>
              <w:spacing w:after="0" w:line="240" w:lineRule="auto"/>
              <w:jc w:val="right"/>
              <w:rPr>
                <w:b/>
                <w:bCs/>
                <w:color w:val="17365D"/>
                <w:sz w:val="18"/>
                <w:szCs w:val="18"/>
              </w:rPr>
            </w:pPr>
            <w:r w:rsidRPr="00974344">
              <w:rPr>
                <w:b/>
                <w:bCs/>
                <w:color w:val="17365D"/>
                <w:sz w:val="18"/>
                <w:szCs w:val="18"/>
              </w:rPr>
              <w:t>14 450</w:t>
            </w:r>
          </w:p>
        </w:tc>
        <w:tc>
          <w:tcPr>
            <w:tcW w:w="1234" w:type="dxa"/>
            <w:tcBorders>
              <w:top w:val="single" w:sz="4" w:space="0" w:color="17365D"/>
              <w:left w:val="nil"/>
              <w:bottom w:val="single" w:sz="4" w:space="0" w:color="17365D"/>
              <w:right w:val="nil"/>
            </w:tcBorders>
            <w:shd w:val="clear" w:color="auto" w:fill="auto"/>
            <w:vAlign w:val="center"/>
          </w:tcPr>
          <w:p w14:paraId="7F1EED13" w14:textId="12F97D2D" w:rsidR="00974344" w:rsidRPr="00974344" w:rsidRDefault="00974344" w:rsidP="00974344">
            <w:pPr>
              <w:spacing w:after="0" w:line="240" w:lineRule="auto"/>
              <w:jc w:val="right"/>
              <w:rPr>
                <w:b/>
                <w:bCs/>
                <w:color w:val="17365D"/>
                <w:sz w:val="18"/>
                <w:szCs w:val="18"/>
              </w:rPr>
            </w:pPr>
            <w:r w:rsidRPr="00974344">
              <w:rPr>
                <w:b/>
                <w:bCs/>
                <w:color w:val="17365D"/>
                <w:sz w:val="18"/>
                <w:szCs w:val="18"/>
              </w:rPr>
              <w:t>14 341</w:t>
            </w:r>
          </w:p>
        </w:tc>
        <w:tc>
          <w:tcPr>
            <w:tcW w:w="1134" w:type="dxa"/>
            <w:tcBorders>
              <w:top w:val="single" w:sz="4" w:space="0" w:color="17365D"/>
              <w:left w:val="nil"/>
              <w:bottom w:val="single" w:sz="4" w:space="0" w:color="17365D"/>
              <w:right w:val="nil"/>
            </w:tcBorders>
            <w:shd w:val="clear" w:color="auto" w:fill="auto"/>
            <w:vAlign w:val="center"/>
          </w:tcPr>
          <w:p w14:paraId="6079FC4B" w14:textId="2E42C16C" w:rsidR="00974344" w:rsidRPr="00974344" w:rsidRDefault="00974344" w:rsidP="00974344">
            <w:pPr>
              <w:spacing w:after="0" w:line="240" w:lineRule="auto"/>
              <w:jc w:val="right"/>
              <w:rPr>
                <w:b/>
                <w:bCs/>
                <w:color w:val="17365D"/>
                <w:sz w:val="18"/>
                <w:szCs w:val="18"/>
              </w:rPr>
            </w:pPr>
            <w:r w:rsidRPr="00974344">
              <w:rPr>
                <w:b/>
                <w:bCs/>
                <w:color w:val="17365D"/>
                <w:sz w:val="18"/>
                <w:szCs w:val="18"/>
              </w:rPr>
              <w:t>7 199</w:t>
            </w:r>
          </w:p>
        </w:tc>
        <w:tc>
          <w:tcPr>
            <w:tcW w:w="1276" w:type="dxa"/>
            <w:tcBorders>
              <w:top w:val="single" w:sz="4" w:space="0" w:color="17365D"/>
              <w:left w:val="nil"/>
              <w:bottom w:val="single" w:sz="4" w:space="0" w:color="17365D"/>
              <w:right w:val="nil"/>
            </w:tcBorders>
            <w:shd w:val="clear" w:color="auto" w:fill="auto"/>
            <w:vAlign w:val="center"/>
          </w:tcPr>
          <w:p w14:paraId="42D0B5F8" w14:textId="59748B24" w:rsidR="00974344" w:rsidRPr="00974344" w:rsidRDefault="00974344" w:rsidP="00974344">
            <w:pPr>
              <w:spacing w:after="0" w:line="240" w:lineRule="auto"/>
              <w:jc w:val="right"/>
              <w:rPr>
                <w:b/>
                <w:bCs/>
                <w:color w:val="17365D"/>
                <w:sz w:val="18"/>
                <w:szCs w:val="18"/>
              </w:rPr>
            </w:pPr>
            <w:r w:rsidRPr="00974344">
              <w:rPr>
                <w:b/>
                <w:bCs/>
                <w:color w:val="17365D"/>
                <w:sz w:val="18"/>
                <w:szCs w:val="18"/>
              </w:rPr>
              <w:t>6 249</w:t>
            </w:r>
          </w:p>
        </w:tc>
        <w:tc>
          <w:tcPr>
            <w:tcW w:w="1134" w:type="dxa"/>
            <w:tcBorders>
              <w:top w:val="single" w:sz="4" w:space="0" w:color="17365D"/>
              <w:bottom w:val="single" w:sz="4" w:space="0" w:color="17365D"/>
            </w:tcBorders>
            <w:shd w:val="clear" w:color="auto" w:fill="auto"/>
            <w:vAlign w:val="center"/>
            <w:hideMark/>
          </w:tcPr>
          <w:p w14:paraId="5BE1B413" w14:textId="15FE88A2" w:rsidR="00974344" w:rsidRPr="00A27896" w:rsidRDefault="00974344" w:rsidP="00974344">
            <w:pPr>
              <w:spacing w:after="0" w:line="240" w:lineRule="auto"/>
              <w:jc w:val="right"/>
              <w:rPr>
                <w:rFonts w:eastAsia="Times New Roman" w:cs="Times New Roman"/>
                <w:color w:val="17365D"/>
                <w:sz w:val="18"/>
                <w:szCs w:val="18"/>
                <w:lang w:eastAsia="lv-LV"/>
              </w:rPr>
            </w:pPr>
            <w:r w:rsidRPr="00A27896">
              <w:rPr>
                <w:rFonts w:cs="Times New Roman"/>
                <w:b/>
                <w:bCs/>
                <w:color w:val="17365D"/>
                <w:sz w:val="18"/>
                <w:szCs w:val="18"/>
              </w:rPr>
              <w:t>0</w:t>
            </w:r>
          </w:p>
        </w:tc>
      </w:tr>
      <w:tr w:rsidR="00974344" w:rsidRPr="00A27896" w14:paraId="749FAE68" w14:textId="77777777" w:rsidTr="009A4177">
        <w:trPr>
          <w:trHeight w:val="266"/>
        </w:trPr>
        <w:tc>
          <w:tcPr>
            <w:tcW w:w="1942" w:type="dxa"/>
            <w:tcBorders>
              <w:top w:val="single" w:sz="4" w:space="0" w:color="17365D"/>
              <w:bottom w:val="single" w:sz="4" w:space="0" w:color="17365D"/>
            </w:tcBorders>
            <w:shd w:val="clear" w:color="auto" w:fill="auto"/>
            <w:vAlign w:val="center"/>
            <w:hideMark/>
          </w:tcPr>
          <w:p w14:paraId="55EA8E20" w14:textId="60CC6DB7" w:rsidR="00974344" w:rsidRPr="00A27896" w:rsidRDefault="00974344" w:rsidP="00974344">
            <w:pPr>
              <w:spacing w:after="0" w:line="240" w:lineRule="auto"/>
              <w:rPr>
                <w:rFonts w:eastAsia="Times New Roman" w:cs="Times New Roman"/>
                <w:color w:val="17365D"/>
                <w:sz w:val="18"/>
                <w:szCs w:val="18"/>
                <w:lang w:eastAsia="lv-LV"/>
              </w:rPr>
            </w:pPr>
            <w:r w:rsidRPr="00A27896">
              <w:rPr>
                <w:rFonts w:cs="Times New Roman"/>
                <w:color w:val="17365D"/>
                <w:sz w:val="18"/>
                <w:szCs w:val="18"/>
              </w:rPr>
              <w:t>Inventārs</w:t>
            </w:r>
          </w:p>
        </w:tc>
        <w:tc>
          <w:tcPr>
            <w:tcW w:w="1296" w:type="dxa"/>
            <w:tcBorders>
              <w:top w:val="single" w:sz="4" w:space="0" w:color="17365D"/>
              <w:left w:val="nil"/>
              <w:bottom w:val="single" w:sz="4" w:space="0" w:color="17365D"/>
              <w:right w:val="nil"/>
            </w:tcBorders>
            <w:shd w:val="clear" w:color="auto" w:fill="auto"/>
            <w:vAlign w:val="center"/>
          </w:tcPr>
          <w:p w14:paraId="225B4EA6" w14:textId="221652B1" w:rsidR="00974344" w:rsidRPr="00974344" w:rsidRDefault="00974344" w:rsidP="00974344">
            <w:pPr>
              <w:spacing w:after="0" w:line="240" w:lineRule="auto"/>
              <w:jc w:val="right"/>
              <w:rPr>
                <w:color w:val="17365D"/>
                <w:sz w:val="18"/>
                <w:szCs w:val="18"/>
              </w:rPr>
            </w:pPr>
            <w:r w:rsidRPr="00974344">
              <w:rPr>
                <w:color w:val="17365D"/>
                <w:sz w:val="18"/>
                <w:szCs w:val="18"/>
              </w:rPr>
              <w:t>3 333 845</w:t>
            </w:r>
          </w:p>
        </w:tc>
        <w:tc>
          <w:tcPr>
            <w:tcW w:w="1340" w:type="dxa"/>
            <w:tcBorders>
              <w:top w:val="single" w:sz="4" w:space="0" w:color="17365D"/>
              <w:left w:val="nil"/>
              <w:bottom w:val="single" w:sz="4" w:space="0" w:color="17365D"/>
              <w:right w:val="nil"/>
            </w:tcBorders>
            <w:shd w:val="clear" w:color="auto" w:fill="auto"/>
            <w:vAlign w:val="center"/>
          </w:tcPr>
          <w:p w14:paraId="23E4F4CC" w14:textId="39F5F82D" w:rsidR="00974344" w:rsidRPr="00974344" w:rsidRDefault="00974344" w:rsidP="00974344">
            <w:pPr>
              <w:spacing w:after="0" w:line="240" w:lineRule="auto"/>
              <w:jc w:val="right"/>
              <w:rPr>
                <w:color w:val="17365D"/>
                <w:sz w:val="18"/>
                <w:szCs w:val="18"/>
              </w:rPr>
            </w:pPr>
            <w:r w:rsidRPr="00974344">
              <w:rPr>
                <w:color w:val="17365D"/>
                <w:sz w:val="18"/>
                <w:szCs w:val="18"/>
              </w:rPr>
              <w:t>14 450</w:t>
            </w:r>
          </w:p>
        </w:tc>
        <w:tc>
          <w:tcPr>
            <w:tcW w:w="1234" w:type="dxa"/>
            <w:tcBorders>
              <w:top w:val="single" w:sz="4" w:space="0" w:color="17365D"/>
              <w:left w:val="nil"/>
              <w:bottom w:val="single" w:sz="4" w:space="0" w:color="17365D"/>
              <w:right w:val="nil"/>
            </w:tcBorders>
            <w:shd w:val="clear" w:color="auto" w:fill="auto"/>
            <w:vAlign w:val="center"/>
          </w:tcPr>
          <w:p w14:paraId="218FFC52" w14:textId="7C810D07" w:rsidR="00974344" w:rsidRPr="00974344" w:rsidRDefault="00974344" w:rsidP="00974344">
            <w:pPr>
              <w:spacing w:after="0" w:line="240" w:lineRule="auto"/>
              <w:jc w:val="right"/>
              <w:rPr>
                <w:color w:val="17365D"/>
                <w:sz w:val="18"/>
                <w:szCs w:val="18"/>
              </w:rPr>
            </w:pPr>
            <w:r w:rsidRPr="00974344">
              <w:rPr>
                <w:color w:val="17365D"/>
                <w:sz w:val="18"/>
                <w:szCs w:val="18"/>
              </w:rPr>
              <w:t>14 341</w:t>
            </w:r>
          </w:p>
        </w:tc>
        <w:tc>
          <w:tcPr>
            <w:tcW w:w="1134" w:type="dxa"/>
            <w:tcBorders>
              <w:top w:val="single" w:sz="4" w:space="0" w:color="17365D"/>
              <w:left w:val="nil"/>
              <w:bottom w:val="single" w:sz="4" w:space="0" w:color="17365D"/>
              <w:right w:val="nil"/>
            </w:tcBorders>
            <w:shd w:val="clear" w:color="auto" w:fill="auto"/>
            <w:vAlign w:val="center"/>
          </w:tcPr>
          <w:p w14:paraId="2BCF90D6" w14:textId="3F9EE611" w:rsidR="00974344" w:rsidRPr="00974344" w:rsidRDefault="00974344" w:rsidP="00974344">
            <w:pPr>
              <w:spacing w:after="0" w:line="240" w:lineRule="auto"/>
              <w:jc w:val="right"/>
              <w:rPr>
                <w:color w:val="17365D"/>
                <w:sz w:val="18"/>
                <w:szCs w:val="18"/>
              </w:rPr>
            </w:pPr>
            <w:r w:rsidRPr="00974344">
              <w:rPr>
                <w:color w:val="17365D"/>
                <w:sz w:val="18"/>
                <w:szCs w:val="18"/>
              </w:rPr>
              <w:t>7 199</w:t>
            </w:r>
          </w:p>
        </w:tc>
        <w:tc>
          <w:tcPr>
            <w:tcW w:w="1276" w:type="dxa"/>
            <w:tcBorders>
              <w:top w:val="single" w:sz="4" w:space="0" w:color="17365D"/>
              <w:left w:val="nil"/>
              <w:bottom w:val="single" w:sz="4" w:space="0" w:color="17365D"/>
              <w:right w:val="nil"/>
            </w:tcBorders>
            <w:shd w:val="clear" w:color="auto" w:fill="auto"/>
            <w:vAlign w:val="center"/>
          </w:tcPr>
          <w:p w14:paraId="54F41A50" w14:textId="183179EB" w:rsidR="00974344" w:rsidRPr="00974344" w:rsidRDefault="00974344" w:rsidP="00974344">
            <w:pPr>
              <w:spacing w:after="0" w:line="240" w:lineRule="auto"/>
              <w:jc w:val="right"/>
              <w:rPr>
                <w:color w:val="17365D"/>
                <w:sz w:val="18"/>
                <w:szCs w:val="18"/>
              </w:rPr>
            </w:pPr>
            <w:r w:rsidRPr="00974344">
              <w:rPr>
                <w:color w:val="17365D"/>
                <w:sz w:val="18"/>
                <w:szCs w:val="18"/>
              </w:rPr>
              <w:t>6 249</w:t>
            </w:r>
          </w:p>
        </w:tc>
        <w:tc>
          <w:tcPr>
            <w:tcW w:w="1134" w:type="dxa"/>
            <w:tcBorders>
              <w:top w:val="single" w:sz="4" w:space="0" w:color="17365D"/>
              <w:bottom w:val="single" w:sz="4" w:space="0" w:color="17365D"/>
            </w:tcBorders>
            <w:shd w:val="clear" w:color="auto" w:fill="auto"/>
            <w:vAlign w:val="center"/>
            <w:hideMark/>
          </w:tcPr>
          <w:p w14:paraId="33A24E39" w14:textId="49A2F9ED" w:rsidR="00974344" w:rsidRPr="00A27896" w:rsidRDefault="00974344" w:rsidP="0097434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0C1009" w:rsidRPr="00A27896" w14:paraId="1E763144" w14:textId="77777777" w:rsidTr="009A4177">
        <w:trPr>
          <w:trHeight w:val="60"/>
        </w:trPr>
        <w:tc>
          <w:tcPr>
            <w:tcW w:w="1942" w:type="dxa"/>
            <w:tcBorders>
              <w:top w:val="single" w:sz="4" w:space="0" w:color="17365D"/>
              <w:bottom w:val="nil"/>
            </w:tcBorders>
            <w:shd w:val="clear" w:color="000000" w:fill="B9CDE5"/>
            <w:vAlign w:val="center"/>
            <w:hideMark/>
          </w:tcPr>
          <w:p w14:paraId="3588C284" w14:textId="77777777" w:rsidR="006F7CBB" w:rsidRPr="00A27896" w:rsidRDefault="006F7CBB" w:rsidP="006F7CB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96" w:type="dxa"/>
            <w:tcBorders>
              <w:top w:val="single" w:sz="4" w:space="0" w:color="17365D"/>
              <w:bottom w:val="nil"/>
            </w:tcBorders>
            <w:shd w:val="clear" w:color="000000" w:fill="B9CDE5"/>
            <w:vAlign w:val="center"/>
            <w:hideMark/>
          </w:tcPr>
          <w:p w14:paraId="5A9B0889" w14:textId="77777777" w:rsidR="006F7CBB" w:rsidRPr="00A27896" w:rsidRDefault="006F7CBB" w:rsidP="006F7CB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340" w:type="dxa"/>
            <w:tcBorders>
              <w:top w:val="single" w:sz="4" w:space="0" w:color="17365D"/>
              <w:bottom w:val="nil"/>
            </w:tcBorders>
            <w:shd w:val="clear" w:color="000000" w:fill="B9CDE5"/>
            <w:noWrap/>
            <w:vAlign w:val="center"/>
            <w:hideMark/>
          </w:tcPr>
          <w:p w14:paraId="08A34DA9" w14:textId="77777777" w:rsidR="006F7CBB" w:rsidRPr="00A27896" w:rsidRDefault="006F7CBB" w:rsidP="006F7CBB">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34" w:type="dxa"/>
            <w:tcBorders>
              <w:top w:val="single" w:sz="4" w:space="0" w:color="17365D"/>
              <w:bottom w:val="nil"/>
            </w:tcBorders>
            <w:shd w:val="clear" w:color="000000" w:fill="B9CDE5"/>
            <w:noWrap/>
            <w:vAlign w:val="center"/>
            <w:hideMark/>
          </w:tcPr>
          <w:p w14:paraId="7BE6F05B"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bottom w:val="nil"/>
            </w:tcBorders>
            <w:shd w:val="clear" w:color="000000" w:fill="B9CDE5"/>
            <w:noWrap/>
            <w:vAlign w:val="center"/>
            <w:hideMark/>
          </w:tcPr>
          <w:p w14:paraId="659FDA74"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76" w:type="dxa"/>
            <w:tcBorders>
              <w:top w:val="single" w:sz="4" w:space="0" w:color="17365D"/>
              <w:bottom w:val="nil"/>
            </w:tcBorders>
            <w:shd w:val="clear" w:color="000000" w:fill="B9CDE5"/>
            <w:noWrap/>
            <w:vAlign w:val="center"/>
            <w:hideMark/>
          </w:tcPr>
          <w:p w14:paraId="408C76AC"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bottom w:val="nil"/>
            </w:tcBorders>
            <w:shd w:val="clear" w:color="000000" w:fill="B9CDE5"/>
            <w:noWrap/>
            <w:vAlign w:val="center"/>
            <w:hideMark/>
          </w:tcPr>
          <w:p w14:paraId="67B178DA"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3C4B0671" w14:textId="05032393" w:rsidR="00735C41" w:rsidRPr="00A27896" w:rsidRDefault="00735C41" w:rsidP="00572E7A">
      <w:pPr>
        <w:pStyle w:val="Heading4"/>
        <w:spacing w:line="240" w:lineRule="auto"/>
        <w:jc w:val="both"/>
        <w:rPr>
          <w:rFonts w:cs="Times New Roman"/>
        </w:rPr>
      </w:pPr>
      <w:r w:rsidRPr="00A27896">
        <w:rPr>
          <w:rFonts w:cs="Times New Roman"/>
        </w:rPr>
        <w:t xml:space="preserve">Piezīme Nr. V5. </w:t>
      </w:r>
      <w:r w:rsidR="005D56E1" w:rsidRPr="00A27896">
        <w:rPr>
          <w:rFonts w:cs="Times New Roman"/>
        </w:rPr>
        <w:t>Valsts ieņēmumu dienesta administrēto nodokļu, nodevu un citu tā administrēto uz valsts budžetu attiecināmu maksājumu rezultāts</w:t>
      </w:r>
    </w:p>
    <w:p w14:paraId="673F9353" w14:textId="72FAAC29" w:rsidR="008B1A32" w:rsidRPr="00A27896" w:rsidRDefault="008B1A32" w:rsidP="00F53AD9">
      <w:pPr>
        <w:pStyle w:val="Pamatteksts1"/>
      </w:pPr>
      <w:r w:rsidRPr="00A27896">
        <w:t xml:space="preserve">Pārskata gada beigās nodokļu prasību bruto summa ir </w:t>
      </w:r>
      <w:r w:rsidR="00920C94" w:rsidRPr="00920C94">
        <w:rPr>
          <w:rFonts w:eastAsia="Calibri"/>
        </w:rPr>
        <w:t xml:space="preserve">2 </w:t>
      </w:r>
      <w:r w:rsidR="00870F05">
        <w:rPr>
          <w:rFonts w:eastAsia="Calibri"/>
        </w:rPr>
        <w:t>297</w:t>
      </w:r>
      <w:r w:rsidR="00974344">
        <w:rPr>
          <w:rFonts w:eastAsia="Calibri"/>
        </w:rPr>
        <w:t>,</w:t>
      </w:r>
      <w:r w:rsidR="00870F05">
        <w:rPr>
          <w:rFonts w:eastAsia="Calibri"/>
        </w:rPr>
        <w:t>7</w:t>
      </w:r>
      <w:r w:rsidR="00974344">
        <w:rPr>
          <w:rFonts w:eastAsia="Calibri"/>
        </w:rPr>
        <w:t xml:space="preserve"> milj.</w:t>
      </w:r>
      <w:r w:rsidR="00920C94">
        <w:rPr>
          <w:rFonts w:eastAsia="Calibri"/>
        </w:rPr>
        <w:t xml:space="preserve"> </w:t>
      </w:r>
      <w:r w:rsidRPr="00A27896">
        <w:rPr>
          <w:i/>
        </w:rPr>
        <w:t>euro</w:t>
      </w:r>
      <w:r w:rsidRPr="00A27896">
        <w:t xml:space="preserve">, bet nodokļu </w:t>
      </w:r>
      <w:r w:rsidR="0014394B" w:rsidRPr="00A27896">
        <w:t xml:space="preserve">saistību summa ir </w:t>
      </w:r>
      <w:r w:rsidR="00870F05">
        <w:t>1 073,9 milj.</w:t>
      </w:r>
      <w:r w:rsidR="00920C94">
        <w:t xml:space="preserve"> </w:t>
      </w:r>
      <w:r w:rsidRPr="00A27896">
        <w:rPr>
          <w:i/>
        </w:rPr>
        <w:t>euro</w:t>
      </w:r>
      <w:r w:rsidRPr="00A27896">
        <w:t>, kas veido lielāko daļu no valsts budžeta ieņēmumu prasībām un saistībām.</w:t>
      </w:r>
      <w:r w:rsidR="00870F05">
        <w:t xml:space="preserve"> </w:t>
      </w:r>
    </w:p>
    <w:p w14:paraId="496FFAC5" w14:textId="55282DA4" w:rsidR="00FF42D5" w:rsidRDefault="008B1A32" w:rsidP="00F53AD9">
      <w:pPr>
        <w:pStyle w:val="Pamatteksts1"/>
      </w:pPr>
      <w:r w:rsidRPr="00A27896">
        <w:t>Nodokļu prasību kopsumma pret nodokļu maksātājiem,</w:t>
      </w:r>
      <w:r w:rsidR="00FF42D5" w:rsidRPr="00A27896">
        <w:t xml:space="preserve"> pret</w:t>
      </w:r>
      <w:r w:rsidRPr="00A27896">
        <w:t xml:space="preserve"> kur</w:t>
      </w:r>
      <w:r w:rsidR="00FF42D5" w:rsidRPr="00A27896">
        <w:t>iem</w:t>
      </w:r>
      <w:r w:rsidRPr="00A27896">
        <w:t xml:space="preserve"> prasības apjoms pārsniedz 1 m</w:t>
      </w:r>
      <w:r w:rsidR="006E6B94">
        <w:t>i</w:t>
      </w:r>
      <w:r w:rsidRPr="00A27896">
        <w:t xml:space="preserve">lj. </w:t>
      </w:r>
      <w:r w:rsidR="00FF42D5" w:rsidRPr="00A27896">
        <w:rPr>
          <w:i/>
        </w:rPr>
        <w:t>e</w:t>
      </w:r>
      <w:r w:rsidRPr="00A27896">
        <w:rPr>
          <w:i/>
        </w:rPr>
        <w:t>uro</w:t>
      </w:r>
      <w:r w:rsidRPr="00A27896">
        <w:t xml:space="preserve">, </w:t>
      </w:r>
      <w:r w:rsidR="00FF42D5" w:rsidRPr="00A27896">
        <w:t xml:space="preserve">ir </w:t>
      </w:r>
      <w:r w:rsidR="00870F05">
        <w:rPr>
          <w:rFonts w:eastAsia="Calibri"/>
        </w:rPr>
        <w:t>260,4 milj.</w:t>
      </w:r>
      <w:r w:rsidR="000D2E21" w:rsidRPr="006931A9">
        <w:rPr>
          <w:rFonts w:eastAsia="Calibri"/>
        </w:rPr>
        <w:t xml:space="preserve"> </w:t>
      </w:r>
      <w:r w:rsidR="00FF42D5" w:rsidRPr="00A27896">
        <w:rPr>
          <w:i/>
        </w:rPr>
        <w:t>euro</w:t>
      </w:r>
      <w:r w:rsidR="00FF42D5" w:rsidRPr="00A27896">
        <w:t>.</w:t>
      </w:r>
      <w:r w:rsidRPr="00A27896">
        <w:t xml:space="preserve"> </w:t>
      </w:r>
      <w:r w:rsidR="00FF42D5" w:rsidRPr="00A27896">
        <w:t>Lielākā daļa nodokļu prasību apmaksas termiņš ir viena gada laikā pēc bilances datuma.</w:t>
      </w:r>
      <w:r w:rsidR="00870F05">
        <w:t xml:space="preserve"> Lielāko nodokļu prasību pieaugumu pārskata gadā veido ieņēmumi no iedzīvotāju ienākuma nodokļa un solidaritātes nodokļa – 86,7 milj. </w:t>
      </w:r>
      <w:proofErr w:type="spellStart"/>
      <w:r w:rsidR="00870F05" w:rsidRPr="00870F05">
        <w:rPr>
          <w:i/>
          <w:iCs/>
        </w:rPr>
        <w:t>euro</w:t>
      </w:r>
      <w:proofErr w:type="spellEnd"/>
      <w:r w:rsidR="00870F05">
        <w:t xml:space="preserve"> un </w:t>
      </w:r>
      <w:proofErr w:type="spellStart"/>
      <w:r w:rsidR="00870F05">
        <w:t>ienēmumi</w:t>
      </w:r>
      <w:proofErr w:type="spellEnd"/>
      <w:r w:rsidR="00870F05">
        <w:t xml:space="preserve"> no juridisko personu ienākuma nodokļa – 65,0 milj.</w:t>
      </w:r>
      <w:r w:rsidR="00095197">
        <w:t xml:space="preserve"> </w:t>
      </w:r>
      <w:r w:rsidR="00870F05" w:rsidRPr="00870F05">
        <w:rPr>
          <w:i/>
          <w:iCs/>
        </w:rPr>
        <w:t>euro</w:t>
      </w:r>
      <w:r w:rsidR="00870F05">
        <w:t xml:space="preserve">. </w:t>
      </w:r>
    </w:p>
    <w:p w14:paraId="48B1A9E7" w14:textId="5D7F2E7D" w:rsidR="00080D33" w:rsidRPr="00A27896" w:rsidRDefault="00080D33" w:rsidP="00F53AD9">
      <w:pPr>
        <w:pStyle w:val="Pamatteksts1"/>
      </w:pPr>
      <w:r>
        <w:lastRenderedPageBreak/>
        <w:t>Nodokļu saistību pieaugumu pārskata gadā veido galvenokārt saistības par pievienotās vērtības nodokli 123,0 milj.</w:t>
      </w:r>
      <w:r w:rsidR="00F6796F">
        <w:t xml:space="preserve"> </w:t>
      </w:r>
      <w:r w:rsidRPr="00870F05">
        <w:rPr>
          <w:i/>
          <w:iCs/>
        </w:rPr>
        <w:t>euro</w:t>
      </w:r>
      <w:r>
        <w:rPr>
          <w:i/>
          <w:iCs/>
        </w:rPr>
        <w:t xml:space="preserve">, </w:t>
      </w:r>
      <w:r w:rsidRPr="00080D33">
        <w:t xml:space="preserve">par </w:t>
      </w:r>
      <w:r w:rsidR="00245456">
        <w:t xml:space="preserve">iedzīvotāju </w:t>
      </w:r>
      <w:r w:rsidRPr="00080D33">
        <w:t>ienākuma nodok</w:t>
      </w:r>
      <w:r w:rsidR="00245456">
        <w:t>li</w:t>
      </w:r>
      <w:r>
        <w:t xml:space="preserve"> 44,</w:t>
      </w:r>
      <w:r w:rsidR="00245456">
        <w:t>3</w:t>
      </w:r>
      <w:r>
        <w:t xml:space="preserve"> milj.</w:t>
      </w:r>
      <w:r w:rsidR="00095197">
        <w:t xml:space="preserve"> </w:t>
      </w:r>
      <w:r w:rsidRPr="00870F05">
        <w:rPr>
          <w:i/>
          <w:iCs/>
        </w:rPr>
        <w:t>euro</w:t>
      </w:r>
      <w:r>
        <w:t>, par muitas nodokli 5,0 milj.</w:t>
      </w:r>
      <w:r w:rsidR="00095197">
        <w:t xml:space="preserve"> </w:t>
      </w:r>
      <w:r w:rsidRPr="00870F05">
        <w:rPr>
          <w:i/>
          <w:iCs/>
        </w:rPr>
        <w:t>euro</w:t>
      </w:r>
      <w:r>
        <w:rPr>
          <w:i/>
          <w:iCs/>
        </w:rPr>
        <w:t>.</w:t>
      </w:r>
    </w:p>
    <w:p w14:paraId="2B038FCB" w14:textId="3CDCA8D9" w:rsidR="00735C41" w:rsidRPr="00A27896" w:rsidRDefault="00FF42D5" w:rsidP="00F53AD9">
      <w:pPr>
        <w:pStyle w:val="Pamatteksts1"/>
      </w:pPr>
      <w:r w:rsidRPr="00A27896">
        <w:t>D</w:t>
      </w:r>
      <w:r w:rsidR="008B1A32" w:rsidRPr="00A27896">
        <w:t>etalizēta informācija par nodokļu prasību sadalījumu atbilstoši apmaksas termiņiem, nodokļu prasību struktūras izmaiņām un prasībām, kas pārsniedz 1 </w:t>
      </w:r>
      <w:r w:rsidR="00095197">
        <w:t>milj.</w:t>
      </w:r>
      <w:r w:rsidR="008B1A32" w:rsidRPr="00A27896">
        <w:t> </w:t>
      </w:r>
      <w:r w:rsidR="008B1A32" w:rsidRPr="00A27896">
        <w:rPr>
          <w:i/>
        </w:rPr>
        <w:t>euro</w:t>
      </w:r>
      <w:r w:rsidR="008B1A32" w:rsidRPr="00A27896">
        <w:t xml:space="preserve">, </w:t>
      </w:r>
      <w:r w:rsidRPr="00A27896">
        <w:t xml:space="preserve">ir pieejama </w:t>
      </w:r>
      <w:r w:rsidR="00B814D6" w:rsidRPr="00A27896">
        <w:t>Valsts kases tīmekļvietnē sadaļā “Pārskati un tāmes”</w:t>
      </w:r>
      <w:r w:rsidR="0014394B" w:rsidRPr="00A27896">
        <w:t xml:space="preserve"> </w:t>
      </w:r>
      <w:r w:rsidR="00D9706D" w:rsidRPr="00A27896">
        <w:sym w:font="Wingdings" w:char="F0E0"/>
      </w:r>
      <w:r w:rsidR="0014394B" w:rsidRPr="00A27896">
        <w:t xml:space="preserve"> </w:t>
      </w:r>
      <w:r w:rsidR="00B814D6" w:rsidRPr="00A27896">
        <w:t>Latvijas Republikas gada pārskats</w:t>
      </w:r>
      <w:r w:rsidR="00D9706D" w:rsidRPr="00A27896">
        <w:sym w:font="Wingdings" w:char="F0E0"/>
      </w:r>
      <w:r w:rsidR="0014394B" w:rsidRPr="00A27896">
        <w:t xml:space="preserve"> </w:t>
      </w:r>
      <w:r w:rsidR="00F41931" w:rsidRPr="00A27896">
        <w:t>202</w:t>
      </w:r>
      <w:r w:rsidR="00870F05">
        <w:t>4</w:t>
      </w:r>
      <w:r w:rsidR="000C1009" w:rsidRPr="00A27896">
        <w:t>. gad</w:t>
      </w:r>
      <w:r w:rsidR="0014394B" w:rsidRPr="00A27896">
        <w:t xml:space="preserve">a pārskats </w:t>
      </w:r>
      <w:r w:rsidR="0014394B" w:rsidRPr="00A27896">
        <w:sym w:font="Wingdings" w:char="F0E0"/>
      </w:r>
      <w:r w:rsidR="0014394B" w:rsidRPr="00A27896">
        <w:t xml:space="preserve"> </w:t>
      </w:r>
      <w:proofErr w:type="spellStart"/>
      <w:r w:rsidR="00B814D6" w:rsidRPr="00A27896">
        <w:t>ePārskatu</w:t>
      </w:r>
      <w:proofErr w:type="spellEnd"/>
      <w:r w:rsidR="00B814D6" w:rsidRPr="00A27896">
        <w:t xml:space="preserve"> informācija</w:t>
      </w:r>
      <w:r w:rsidR="0014394B" w:rsidRPr="00A27896">
        <w:t xml:space="preserve"> </w:t>
      </w:r>
      <w:r w:rsidR="00D9706D" w:rsidRPr="00A27896">
        <w:sym w:font="Wingdings" w:char="F0E0"/>
      </w:r>
      <w:r w:rsidR="0014394B" w:rsidRPr="00A27896">
        <w:t xml:space="preserve"> </w:t>
      </w:r>
      <w:r w:rsidR="00B814D6" w:rsidRPr="00A27896">
        <w:t>Finanšu pārskata posteņu skaidrojums</w:t>
      </w:r>
      <w:r w:rsidR="0014394B" w:rsidRPr="00A27896">
        <w:t xml:space="preserve"> </w:t>
      </w:r>
      <w:r w:rsidR="00D9706D" w:rsidRPr="00A27896">
        <w:sym w:font="Wingdings" w:char="F0E0"/>
      </w:r>
      <w:r w:rsidR="0014394B" w:rsidRPr="00A27896">
        <w:t xml:space="preserve"> </w:t>
      </w:r>
      <w:r w:rsidR="00B814D6" w:rsidRPr="00A27896">
        <w:t>V5.piezīme.</w:t>
      </w:r>
    </w:p>
    <w:p w14:paraId="2E119ADC" w14:textId="0AA30500" w:rsidR="007B7D77" w:rsidRPr="00A27896" w:rsidRDefault="007B7D77" w:rsidP="000229AE">
      <w:pPr>
        <w:pStyle w:val="Heading4"/>
        <w:rPr>
          <w:rFonts w:cs="Times New Roman"/>
        </w:rPr>
      </w:pPr>
      <w:r w:rsidRPr="00A27896">
        <w:rPr>
          <w:rFonts w:cs="Times New Roman"/>
        </w:rPr>
        <w:t xml:space="preserve">Piezīme </w:t>
      </w:r>
      <w:r w:rsidR="00AC754B" w:rsidRPr="00A27896">
        <w:rPr>
          <w:rFonts w:cs="Times New Roman"/>
        </w:rPr>
        <w:t xml:space="preserve">Nr. </w:t>
      </w:r>
      <w:r w:rsidRPr="00A27896">
        <w:rPr>
          <w:rFonts w:cs="Times New Roman"/>
        </w:rPr>
        <w:t>V6. Tiesvedības</w:t>
      </w:r>
    </w:p>
    <w:p w14:paraId="64C569AE" w14:textId="0778D766" w:rsidR="00AC754B" w:rsidRPr="00A27896" w:rsidRDefault="00CF154C" w:rsidP="002A2F6E">
      <w:pPr>
        <w:pStyle w:val="Pamatteksts1"/>
      </w:pPr>
      <w:r w:rsidRPr="00A27896">
        <w:t>Saskaņā ar budžeta iestāžu novērtējumu un sniegto informāciju ā</w:t>
      </w:r>
      <w:r w:rsidR="00713D41" w:rsidRPr="00A27896">
        <w:t>rvalstu un s</w:t>
      </w:r>
      <w:r w:rsidR="004A55BE" w:rsidRPr="00A27896">
        <w:t>tarptautisk</w:t>
      </w:r>
      <w:r w:rsidR="00713D41" w:rsidRPr="00A27896">
        <w:t>aj</w:t>
      </w:r>
      <w:r w:rsidR="004A55BE" w:rsidRPr="00A27896">
        <w:t xml:space="preserve">ās </w:t>
      </w:r>
      <w:r w:rsidR="00713D41" w:rsidRPr="00A27896">
        <w:t xml:space="preserve">tiesu institūcijās notiekošām tiesvedībām </w:t>
      </w:r>
      <w:r w:rsidR="004626BD" w:rsidRPr="00A27896">
        <w:t>izveidoti uzkrājumi 4</w:t>
      </w:r>
      <w:r w:rsidR="006E5CB8">
        <w:t>,8 milj.</w:t>
      </w:r>
      <w:r w:rsidR="004626BD" w:rsidRPr="00A27896">
        <w:t xml:space="preserve"> </w:t>
      </w:r>
      <w:r w:rsidR="004626BD" w:rsidRPr="00A27896">
        <w:rPr>
          <w:i/>
        </w:rPr>
        <w:t>euro</w:t>
      </w:r>
      <w:r w:rsidR="004626BD" w:rsidRPr="00A27896">
        <w:t xml:space="preserve"> vērtībā, lielākie uzkrājumi izveidoti Ogres novada pašvaldībai</w:t>
      </w:r>
      <w:r w:rsidR="00713D41" w:rsidRPr="00A27896">
        <w:t xml:space="preserve">. Citām tiesvedībām </w:t>
      </w:r>
      <w:r w:rsidR="001F2268" w:rsidRPr="00A27896">
        <w:t xml:space="preserve">lielākie </w:t>
      </w:r>
      <w:r w:rsidR="00713D41" w:rsidRPr="00A27896">
        <w:t xml:space="preserve">uzkrājumi </w:t>
      </w:r>
      <w:r w:rsidR="001F2268" w:rsidRPr="00A27896">
        <w:t xml:space="preserve">izveidoti </w:t>
      </w:r>
      <w:proofErr w:type="spellStart"/>
      <w:r w:rsidR="0033469D">
        <w:t>Iekšlietu</w:t>
      </w:r>
      <w:proofErr w:type="spellEnd"/>
      <w:r w:rsidR="0033469D">
        <w:t xml:space="preserve"> ministrijai </w:t>
      </w:r>
      <w:r w:rsidR="006E5CB8">
        <w:t>5,1 milj.</w:t>
      </w:r>
      <w:r w:rsidR="0033469D">
        <w:t xml:space="preserve"> </w:t>
      </w:r>
      <w:r w:rsidR="0033469D" w:rsidRPr="00A27896">
        <w:rPr>
          <w:i/>
        </w:rPr>
        <w:t>euro</w:t>
      </w:r>
      <w:r w:rsidR="0033469D" w:rsidRPr="00A27896">
        <w:t xml:space="preserve"> vērtībā. </w:t>
      </w:r>
      <w:r w:rsidR="004A55BE" w:rsidRPr="00A27896">
        <w:t xml:space="preserve">Lielākās zembilances saistības par citām tiesvedībām uzskaitītas Finanšu ministrijai </w:t>
      </w:r>
      <w:r w:rsidR="006E5CB8">
        <w:t>6,0 milj.</w:t>
      </w:r>
      <w:r w:rsidR="0033469D" w:rsidRPr="00A27896">
        <w:t xml:space="preserve"> </w:t>
      </w:r>
      <w:r w:rsidR="004A55BE" w:rsidRPr="00A27896">
        <w:rPr>
          <w:i/>
        </w:rPr>
        <w:t>euro</w:t>
      </w:r>
      <w:r w:rsidR="004A55BE" w:rsidRPr="00A27896">
        <w:t xml:space="preserve"> vērtībā</w:t>
      </w:r>
      <w:r w:rsidR="006E5CB8">
        <w:t xml:space="preserve">, </w:t>
      </w:r>
      <w:r w:rsidR="006E5CB8" w:rsidRPr="00A27896">
        <w:t>Ekonomikas ministrijai 2</w:t>
      </w:r>
      <w:r w:rsidR="006E5CB8">
        <w:t>,</w:t>
      </w:r>
      <w:r w:rsidR="006E5CB8" w:rsidRPr="00A27896">
        <w:t>6</w:t>
      </w:r>
      <w:r w:rsidR="006E5CB8">
        <w:t xml:space="preserve"> milj.</w:t>
      </w:r>
      <w:r w:rsidR="006E5CB8" w:rsidRPr="00A27896">
        <w:t> </w:t>
      </w:r>
      <w:r w:rsidR="006E5CB8" w:rsidRPr="00A27896">
        <w:rPr>
          <w:i/>
        </w:rPr>
        <w:t xml:space="preserve">euro </w:t>
      </w:r>
      <w:r w:rsidR="006E5CB8" w:rsidRPr="00A27896">
        <w:t>un</w:t>
      </w:r>
      <w:r w:rsidR="006E5CB8">
        <w:t xml:space="preserve"> </w:t>
      </w:r>
      <w:r w:rsidR="006E5CB8" w:rsidRPr="00A27896">
        <w:t xml:space="preserve">Rīgas pilsētas pašvaldībai </w:t>
      </w:r>
      <w:r w:rsidR="006E5CB8">
        <w:t>1,3 milj.</w:t>
      </w:r>
      <w:r w:rsidR="006E5CB8" w:rsidRPr="00A27896">
        <w:t> </w:t>
      </w:r>
      <w:r w:rsidR="006E5CB8" w:rsidRPr="00A27896">
        <w:rPr>
          <w:i/>
        </w:rPr>
        <w:t>euro</w:t>
      </w:r>
      <w:r w:rsidR="006E5CB8" w:rsidRPr="00A27896">
        <w:t xml:space="preserve"> vērtībā</w:t>
      </w:r>
      <w:r w:rsidR="004A55BE" w:rsidRPr="00A27896">
        <w:t>.</w:t>
      </w:r>
      <w:r w:rsidR="0033469D">
        <w:t xml:space="preserve"> Pārskata gadā lielākie izdevumi</w:t>
      </w:r>
      <w:r w:rsidR="000C3372">
        <w:t xml:space="preserve"> saistībā ar tiesvedībām bijuši Ministru kabinetam </w:t>
      </w:r>
      <w:r w:rsidR="006E5CB8">
        <w:t>2,2 milj.</w:t>
      </w:r>
      <w:r w:rsidR="000C3372">
        <w:t xml:space="preserve"> </w:t>
      </w:r>
      <w:r w:rsidR="000C3372" w:rsidRPr="00CB6B88">
        <w:rPr>
          <w:i/>
        </w:rPr>
        <w:t>euro</w:t>
      </w:r>
      <w:r w:rsidR="000C3372">
        <w:t xml:space="preserve"> vērtībā.</w:t>
      </w:r>
    </w:p>
    <w:p w14:paraId="3A66C0FA" w14:textId="77777777" w:rsidR="0019458D" w:rsidRPr="00A27896" w:rsidRDefault="0019458D" w:rsidP="005A3758">
      <w:pPr>
        <w:pStyle w:val="Heading4"/>
        <w:rPr>
          <w:rFonts w:cs="Times New Roman"/>
        </w:rPr>
      </w:pPr>
      <w:r w:rsidRPr="00A27896">
        <w:rPr>
          <w:rFonts w:cs="Times New Roman"/>
        </w:rPr>
        <w:t>Piezīme Nr. V7. Informācija par publisko un privāto partnerību</w:t>
      </w:r>
    </w:p>
    <w:p w14:paraId="4FF002EC" w14:textId="337CDDB7" w:rsidR="000E0ECD" w:rsidRPr="00A27896" w:rsidRDefault="0094412C" w:rsidP="000D2C39">
      <w:pPr>
        <w:pStyle w:val="Heading5"/>
      </w:pPr>
      <w:r w:rsidRPr="00A27896">
        <w:t xml:space="preserve">Piezīme </w:t>
      </w:r>
      <w:r w:rsidR="00AC754B" w:rsidRPr="00A27896">
        <w:t xml:space="preserve">Nr. </w:t>
      </w:r>
      <w:r w:rsidRPr="00A27896">
        <w:t>V7. Informācija par partnerības līgumu</w:t>
      </w:r>
      <w:r w:rsidR="00186738" w:rsidRPr="00A27896">
        <w:t xml:space="preserve"> </w:t>
      </w:r>
    </w:p>
    <w:p w14:paraId="71C7A39E" w14:textId="00719DD3" w:rsidR="00FB6674" w:rsidRPr="00A27896" w:rsidRDefault="00477828" w:rsidP="002A2F6E">
      <w:pPr>
        <w:pStyle w:val="Pamatteksts1"/>
      </w:pPr>
      <w:r w:rsidRPr="00A27896">
        <w:t>Publiskās un privātās partnerības līgumus par pirmsskola</w:t>
      </w:r>
      <w:r w:rsidR="000E0ECD" w:rsidRPr="00A27896">
        <w:t>s izglītības iestāžu būvniecību</w:t>
      </w:r>
      <w:r w:rsidR="0020116D" w:rsidRPr="00A27896">
        <w:t xml:space="preserve"> īstenojušas</w:t>
      </w:r>
      <w:r w:rsidRPr="00A27896">
        <w:t xml:space="preserve"> Mārupes novada pašvald</w:t>
      </w:r>
      <w:r w:rsidR="0020116D" w:rsidRPr="00A27896">
        <w:t xml:space="preserve">ība saskaņā ar </w:t>
      </w:r>
      <w:r w:rsidR="000E0ECD" w:rsidRPr="00A27896">
        <w:t>līgumu</w:t>
      </w:r>
      <w:r w:rsidRPr="00A27896">
        <w:t xml:space="preserve"> Nr.</w:t>
      </w:r>
      <w:r w:rsidR="00FB6674" w:rsidRPr="00A27896">
        <w:t xml:space="preserve">5-25/134-2009, Ķekavas novada pašvaldība – līgums Nr.133/2009 un Tukuma novada pašvaldība – līgums Nr.391. </w:t>
      </w:r>
    </w:p>
    <w:p w14:paraId="09CB7EEB" w14:textId="68BA19D7" w:rsidR="002B6495" w:rsidRPr="00A27896" w:rsidRDefault="00477828" w:rsidP="002A2F6E">
      <w:pPr>
        <w:pStyle w:val="Pamatteksts1"/>
      </w:pPr>
      <w:r w:rsidRPr="00A27896">
        <w:t xml:space="preserve">Publiskās un privātās partnerības līgumu </w:t>
      </w:r>
      <w:r w:rsidR="00DE0377">
        <w:t>Nr. </w:t>
      </w:r>
      <w:r w:rsidR="00DE0377" w:rsidRPr="00A27896">
        <w:t xml:space="preserve">SM2021/-26 </w:t>
      </w:r>
      <w:r w:rsidR="0033772A" w:rsidRPr="00A27896">
        <w:t xml:space="preserve">par </w:t>
      </w:r>
      <w:r w:rsidR="00572E7A" w:rsidRPr="00A27896">
        <w:t xml:space="preserve">autoceļa </w:t>
      </w:r>
      <w:r w:rsidR="0033772A" w:rsidRPr="00A27896">
        <w:t>E67/A7 Rīga-Bauska-Lietuvas robeža posma (Ķekavas apvedceļa) projektēšanu, būvniecību un uzturēšanu</w:t>
      </w:r>
      <w:r w:rsidR="00C36594">
        <w:t xml:space="preserve"> </w:t>
      </w:r>
      <w:r w:rsidR="00DE0377">
        <w:t>īstenojusi</w:t>
      </w:r>
      <w:r w:rsidR="00DE0377" w:rsidRPr="00A27896">
        <w:t xml:space="preserve"> </w:t>
      </w:r>
      <w:r w:rsidR="002B6495" w:rsidRPr="00A27896">
        <w:t>Satiksmes ministrija.</w:t>
      </w:r>
    </w:p>
    <w:p w14:paraId="62E9EABE" w14:textId="77777777" w:rsidR="005E3A38" w:rsidRPr="00A27896" w:rsidRDefault="003B6C8A" w:rsidP="000D2C39">
      <w:pPr>
        <w:pStyle w:val="Heading5"/>
      </w:pPr>
      <w:r w:rsidRPr="00A27896">
        <w:t>Piezīme Nr.</w:t>
      </w:r>
      <w:r w:rsidR="005A010F" w:rsidRPr="00A27896">
        <w:t>V7.</w:t>
      </w:r>
      <w:r w:rsidR="000E0ECD" w:rsidRPr="00A27896">
        <w:t xml:space="preserve"> </w:t>
      </w:r>
      <w:r w:rsidR="00DE4C7C" w:rsidRPr="00A27896">
        <w:t>Informācija par pamatlīdzekļiem, kas analītiski nodalīti par partnerības aktīviem</w:t>
      </w:r>
      <w:r w:rsidR="005E3A38" w:rsidRPr="00A27896">
        <w:t xml:space="preserve"> </w:t>
      </w:r>
    </w:p>
    <w:p w14:paraId="342AAD9C" w14:textId="44F24CAC" w:rsidR="005A010F" w:rsidRPr="00A27896" w:rsidRDefault="005E3A38" w:rsidP="002A2F6E">
      <w:pPr>
        <w:pStyle w:val="Pamatteksts1"/>
      </w:pPr>
      <w:r w:rsidRPr="00A27896">
        <w:t xml:space="preserve">Pārskata gadā </w:t>
      </w:r>
      <w:r w:rsidR="004E7DAA" w:rsidRPr="00A27896">
        <w:t>atbilstoši noslēgtajam līgumam Satiksmes minis</w:t>
      </w:r>
      <w:r w:rsidR="000C1009" w:rsidRPr="00A27896">
        <w:t>t</w:t>
      </w:r>
      <w:r w:rsidR="004E7DAA" w:rsidRPr="00A27896">
        <w:t xml:space="preserve">rijas </w:t>
      </w:r>
      <w:r w:rsidR="00F75CE1" w:rsidRPr="00A27896">
        <w:t xml:space="preserve">un pašvaldību </w:t>
      </w:r>
      <w:r w:rsidR="004E7DAA" w:rsidRPr="00A27896">
        <w:t xml:space="preserve">uzskaitē </w:t>
      </w:r>
      <w:r w:rsidRPr="00A27896">
        <w:t>analītiski nodalīt</w:t>
      </w:r>
      <w:r w:rsidR="00F75CE1" w:rsidRPr="00A27896">
        <w:t>i</w:t>
      </w:r>
      <w:r w:rsidRPr="00A27896">
        <w:t xml:space="preserve"> partnerības akt</w:t>
      </w:r>
      <w:r w:rsidR="001F557E" w:rsidRPr="00A27896">
        <w:t>īv</w:t>
      </w:r>
      <w:r w:rsidR="00F75CE1" w:rsidRPr="00A27896">
        <w:t>i un</w:t>
      </w:r>
      <w:r w:rsidR="004E7DAA" w:rsidRPr="00A27896">
        <w:t xml:space="preserve"> nepabeigtā būvniecība</w:t>
      </w:r>
      <w:r w:rsidR="00034664" w:rsidRPr="00A27896">
        <w:t>, par ko sniegta informā</w:t>
      </w:r>
      <w:r w:rsidR="009169B4" w:rsidRPr="00A27896">
        <w:t>c</w:t>
      </w:r>
      <w:r w:rsidR="00034664" w:rsidRPr="00A27896">
        <w:t xml:space="preserve">ija </w:t>
      </w:r>
      <w:r w:rsidR="001231AF">
        <w:t>1.</w:t>
      </w:r>
      <w:r w:rsidR="000229AE" w:rsidRPr="00A27896">
        <w:t>2</w:t>
      </w:r>
      <w:r w:rsidR="00F128AB">
        <w:t>9</w:t>
      </w:r>
      <w:r w:rsidR="00034664" w:rsidRPr="00A27896">
        <w:t>.tabulā</w:t>
      </w:r>
      <w:r w:rsidR="001F557E" w:rsidRPr="00A27896">
        <w:t>.</w:t>
      </w:r>
    </w:p>
    <w:p w14:paraId="2CCBEC4E" w14:textId="05B3459E" w:rsidR="003877C0" w:rsidRPr="00A27896" w:rsidRDefault="001231AF" w:rsidP="003877C0">
      <w:pPr>
        <w:pStyle w:val="Tabulasnosaukums1"/>
        <w:spacing w:before="0" w:line="240" w:lineRule="auto"/>
        <w:rPr>
          <w:rFonts w:cs="Times New Roman"/>
          <w:i/>
          <w:color w:val="17365D"/>
          <w:szCs w:val="22"/>
        </w:rPr>
      </w:pPr>
      <w:r>
        <w:rPr>
          <w:rFonts w:cs="Times New Roman"/>
          <w:i/>
          <w:color w:val="17365D"/>
          <w:szCs w:val="22"/>
        </w:rPr>
        <w:t>1.</w:t>
      </w:r>
      <w:r w:rsidR="000229AE" w:rsidRPr="00F342FC">
        <w:rPr>
          <w:rFonts w:cs="Times New Roman"/>
          <w:i/>
          <w:color w:val="17365D"/>
          <w:szCs w:val="22"/>
        </w:rPr>
        <w:t>2</w:t>
      </w:r>
      <w:r w:rsidR="00F128AB">
        <w:rPr>
          <w:rFonts w:cs="Times New Roman"/>
          <w:i/>
          <w:color w:val="17365D"/>
          <w:szCs w:val="22"/>
        </w:rPr>
        <w:t>9</w:t>
      </w:r>
      <w:r w:rsidR="005E3A38" w:rsidRPr="00F342FC">
        <w:rPr>
          <w:rFonts w:cs="Times New Roman"/>
          <w:i/>
          <w:color w:val="17365D"/>
          <w:szCs w:val="22"/>
        </w:rPr>
        <w:t>. tabula</w:t>
      </w:r>
      <w:r w:rsidR="003877C0" w:rsidRPr="00F342FC">
        <w:rPr>
          <w:rFonts w:cs="Times New Roman"/>
          <w:i/>
          <w:color w:val="17365D"/>
          <w:szCs w:val="22"/>
        </w:rPr>
        <w:t>.</w:t>
      </w:r>
      <w:r w:rsidR="005E3A38" w:rsidRPr="00A27896">
        <w:rPr>
          <w:rFonts w:cs="Times New Roman"/>
          <w:i/>
          <w:color w:val="17365D"/>
          <w:szCs w:val="22"/>
        </w:rPr>
        <w:t xml:space="preserve"> Informācija par </w:t>
      </w:r>
      <w:r w:rsidR="00DE4C7C" w:rsidRPr="00A27896">
        <w:rPr>
          <w:rFonts w:cs="Times New Roman"/>
          <w:i/>
          <w:color w:val="17365D"/>
          <w:szCs w:val="22"/>
        </w:rPr>
        <w:t>pamatlīdzekļiem,</w:t>
      </w:r>
    </w:p>
    <w:p w14:paraId="5178C18D" w14:textId="73E82B24" w:rsidR="005E3A38" w:rsidRPr="00A27896" w:rsidRDefault="00DE4C7C" w:rsidP="003877C0">
      <w:pPr>
        <w:pStyle w:val="Tabulasnosaukums1"/>
        <w:spacing w:before="0" w:line="240" w:lineRule="auto"/>
        <w:rPr>
          <w:rFonts w:cs="Times New Roman"/>
          <w:i/>
          <w:color w:val="17365D"/>
          <w:szCs w:val="22"/>
        </w:rPr>
      </w:pPr>
      <w:r w:rsidRPr="00A27896">
        <w:rPr>
          <w:rFonts w:cs="Times New Roman"/>
          <w:i/>
          <w:color w:val="17365D"/>
          <w:szCs w:val="22"/>
        </w:rPr>
        <w:t>kas analītiski nodalīti par partnerības aktīviem</w:t>
      </w:r>
      <w:r w:rsidR="005E3A38" w:rsidRPr="00A27896">
        <w:rPr>
          <w:rFonts w:cs="Times New Roman"/>
          <w:i/>
          <w:color w:val="17365D"/>
          <w:szCs w:val="22"/>
        </w:rPr>
        <w:t xml:space="preserve"> (euro)</w:t>
      </w:r>
    </w:p>
    <w:tbl>
      <w:tblPr>
        <w:tblW w:w="9308" w:type="dxa"/>
        <w:tblInd w:w="-5" w:type="dxa"/>
        <w:tblBorders>
          <w:top w:val="single" w:sz="4" w:space="0" w:color="000000"/>
          <w:bottom w:val="single" w:sz="4" w:space="0" w:color="000000"/>
          <w:insideH w:val="single" w:sz="4" w:space="0" w:color="000000"/>
        </w:tblBorders>
        <w:tblLayout w:type="fixed"/>
        <w:tblLook w:val="04A0" w:firstRow="1" w:lastRow="0" w:firstColumn="1" w:lastColumn="0" w:noHBand="0" w:noVBand="1"/>
      </w:tblPr>
      <w:tblGrid>
        <w:gridCol w:w="2000"/>
        <w:gridCol w:w="1241"/>
        <w:gridCol w:w="1146"/>
        <w:gridCol w:w="1147"/>
        <w:gridCol w:w="141"/>
        <w:gridCol w:w="284"/>
        <w:gridCol w:w="886"/>
        <w:gridCol w:w="1146"/>
        <w:gridCol w:w="1317"/>
      </w:tblGrid>
      <w:tr w:rsidR="00D73960" w:rsidRPr="00A27896" w14:paraId="44BDBF0C" w14:textId="77777777" w:rsidTr="00D73960">
        <w:trPr>
          <w:trHeight w:val="300"/>
        </w:trPr>
        <w:tc>
          <w:tcPr>
            <w:tcW w:w="2000" w:type="dxa"/>
            <w:vMerge w:val="restart"/>
            <w:tcBorders>
              <w:top w:val="nil"/>
            </w:tcBorders>
            <w:shd w:val="clear" w:color="auto" w:fill="B8CCE4" w:themeFill="accent1" w:themeFillTint="66"/>
            <w:vAlign w:val="center"/>
            <w:hideMark/>
          </w:tcPr>
          <w:p w14:paraId="4FBC26D7" w14:textId="06275DA2" w:rsidR="00D73960" w:rsidRPr="00A27896" w:rsidRDefault="00D73960"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Kontu grupa</w:t>
            </w:r>
          </w:p>
        </w:tc>
        <w:tc>
          <w:tcPr>
            <w:tcW w:w="3534" w:type="dxa"/>
            <w:gridSpan w:val="3"/>
            <w:tcBorders>
              <w:top w:val="nil"/>
              <w:bottom w:val="single" w:sz="4" w:space="0" w:color="17365D"/>
            </w:tcBorders>
            <w:shd w:val="clear" w:color="auto" w:fill="B8CCE4" w:themeFill="accent1" w:themeFillTint="66"/>
            <w:vAlign w:val="center"/>
            <w:hideMark/>
          </w:tcPr>
          <w:p w14:paraId="002AEB7D" w14:textId="77777777" w:rsidR="00D73960" w:rsidRPr="00A27896" w:rsidRDefault="00D73960"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periodā</w:t>
            </w:r>
          </w:p>
        </w:tc>
        <w:tc>
          <w:tcPr>
            <w:tcW w:w="425" w:type="dxa"/>
            <w:gridSpan w:val="2"/>
            <w:tcBorders>
              <w:top w:val="nil"/>
              <w:bottom w:val="nil"/>
            </w:tcBorders>
            <w:shd w:val="clear" w:color="auto" w:fill="B8CCE4" w:themeFill="accent1" w:themeFillTint="66"/>
            <w:vAlign w:val="center"/>
            <w:hideMark/>
          </w:tcPr>
          <w:p w14:paraId="165EC86C" w14:textId="554DA662" w:rsidR="00D73960" w:rsidRPr="00A27896" w:rsidRDefault="00D73960" w:rsidP="00163BA8">
            <w:pPr>
              <w:spacing w:after="0" w:line="240" w:lineRule="auto"/>
              <w:jc w:val="center"/>
              <w:rPr>
                <w:rFonts w:eastAsia="Times New Roman" w:cs="Times New Roman"/>
                <w:b/>
                <w:color w:val="17365D"/>
                <w:sz w:val="18"/>
                <w:szCs w:val="18"/>
                <w:lang w:eastAsia="lv-LV"/>
              </w:rPr>
            </w:pPr>
          </w:p>
        </w:tc>
        <w:tc>
          <w:tcPr>
            <w:tcW w:w="3349" w:type="dxa"/>
            <w:gridSpan w:val="3"/>
            <w:tcBorders>
              <w:top w:val="nil"/>
              <w:bottom w:val="single" w:sz="4" w:space="0" w:color="17365D"/>
            </w:tcBorders>
            <w:shd w:val="clear" w:color="auto" w:fill="B8CCE4" w:themeFill="accent1" w:themeFillTint="66"/>
            <w:vAlign w:val="center"/>
          </w:tcPr>
          <w:p w14:paraId="0998C4AC" w14:textId="009E55C9" w:rsidR="00D73960" w:rsidRPr="00A27896" w:rsidRDefault="00D73960"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Iepriekšējā pārskata periodā</w:t>
            </w:r>
          </w:p>
        </w:tc>
      </w:tr>
      <w:tr w:rsidR="000C1009" w:rsidRPr="00A27896" w14:paraId="0F97599B" w14:textId="77777777" w:rsidTr="009A4177">
        <w:trPr>
          <w:trHeight w:val="792"/>
        </w:trPr>
        <w:tc>
          <w:tcPr>
            <w:tcW w:w="2000" w:type="dxa"/>
            <w:vMerge/>
            <w:tcBorders>
              <w:bottom w:val="single" w:sz="4" w:space="0" w:color="17365D"/>
            </w:tcBorders>
            <w:shd w:val="clear" w:color="auto" w:fill="B8CCE4" w:themeFill="accent1" w:themeFillTint="66"/>
            <w:vAlign w:val="center"/>
            <w:hideMark/>
          </w:tcPr>
          <w:p w14:paraId="3E56F8EE"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p>
        </w:tc>
        <w:tc>
          <w:tcPr>
            <w:tcW w:w="1241" w:type="dxa"/>
            <w:tcBorders>
              <w:top w:val="single" w:sz="4" w:space="0" w:color="17365D"/>
              <w:bottom w:val="single" w:sz="4" w:space="0" w:color="17365D"/>
            </w:tcBorders>
            <w:shd w:val="clear" w:color="auto" w:fill="B8CCE4" w:themeFill="accent1" w:themeFillTint="66"/>
            <w:vAlign w:val="center"/>
            <w:hideMark/>
          </w:tcPr>
          <w:p w14:paraId="29989B41"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sākotnējā vērtība (+)</w:t>
            </w:r>
          </w:p>
        </w:tc>
        <w:tc>
          <w:tcPr>
            <w:tcW w:w="1146" w:type="dxa"/>
            <w:tcBorders>
              <w:top w:val="single" w:sz="4" w:space="0" w:color="17365D"/>
              <w:bottom w:val="single" w:sz="4" w:space="0" w:color="17365D"/>
            </w:tcBorders>
            <w:shd w:val="clear" w:color="auto" w:fill="B8CCE4" w:themeFill="accent1" w:themeFillTint="66"/>
            <w:vAlign w:val="center"/>
            <w:hideMark/>
          </w:tcPr>
          <w:p w14:paraId="5E88C974"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nolietojums (-)</w:t>
            </w:r>
          </w:p>
        </w:tc>
        <w:tc>
          <w:tcPr>
            <w:tcW w:w="1288" w:type="dxa"/>
            <w:gridSpan w:val="2"/>
            <w:tcBorders>
              <w:top w:val="single" w:sz="4" w:space="0" w:color="17365D"/>
              <w:bottom w:val="single" w:sz="4" w:space="0" w:color="17365D"/>
            </w:tcBorders>
            <w:shd w:val="clear" w:color="auto" w:fill="B8CCE4" w:themeFill="accent1" w:themeFillTint="66"/>
            <w:vAlign w:val="center"/>
            <w:hideMark/>
          </w:tcPr>
          <w:p w14:paraId="40A553DD" w14:textId="77777777" w:rsidR="005B6245" w:rsidRPr="00A27896" w:rsidRDefault="005B6245" w:rsidP="00D73960">
            <w:pPr>
              <w:spacing w:after="0" w:line="240" w:lineRule="auto"/>
              <w:ind w:right="-103"/>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vērtības samazinājums (+,-)</w:t>
            </w:r>
          </w:p>
        </w:tc>
        <w:tc>
          <w:tcPr>
            <w:tcW w:w="1170" w:type="dxa"/>
            <w:gridSpan w:val="2"/>
            <w:tcBorders>
              <w:top w:val="nil"/>
              <w:bottom w:val="single" w:sz="4" w:space="0" w:color="17365D"/>
            </w:tcBorders>
            <w:shd w:val="clear" w:color="auto" w:fill="B8CCE4" w:themeFill="accent1" w:themeFillTint="66"/>
            <w:vAlign w:val="center"/>
            <w:hideMark/>
          </w:tcPr>
          <w:p w14:paraId="218F0E44"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sākotnējā vērtība (+)</w:t>
            </w:r>
          </w:p>
        </w:tc>
        <w:tc>
          <w:tcPr>
            <w:tcW w:w="1146" w:type="dxa"/>
            <w:tcBorders>
              <w:top w:val="nil"/>
              <w:bottom w:val="single" w:sz="4" w:space="0" w:color="17365D"/>
            </w:tcBorders>
            <w:shd w:val="clear" w:color="auto" w:fill="B8CCE4" w:themeFill="accent1" w:themeFillTint="66"/>
            <w:vAlign w:val="center"/>
            <w:hideMark/>
          </w:tcPr>
          <w:p w14:paraId="08231D66"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nolietojums (-)</w:t>
            </w:r>
          </w:p>
        </w:tc>
        <w:tc>
          <w:tcPr>
            <w:tcW w:w="1317" w:type="dxa"/>
            <w:tcBorders>
              <w:top w:val="nil"/>
              <w:bottom w:val="single" w:sz="4" w:space="0" w:color="17365D"/>
            </w:tcBorders>
            <w:shd w:val="clear" w:color="auto" w:fill="B8CCE4" w:themeFill="accent1" w:themeFillTint="66"/>
            <w:vAlign w:val="center"/>
            <w:hideMark/>
          </w:tcPr>
          <w:p w14:paraId="462B8B99"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vērtības samazinājums (+,-)</w:t>
            </w:r>
          </w:p>
        </w:tc>
      </w:tr>
      <w:tr w:rsidR="00A27896" w:rsidRPr="00A27896" w14:paraId="2897CE60" w14:textId="77777777" w:rsidTr="00D73960">
        <w:trPr>
          <w:trHeight w:val="288"/>
        </w:trPr>
        <w:tc>
          <w:tcPr>
            <w:tcW w:w="2000" w:type="dxa"/>
            <w:tcBorders>
              <w:top w:val="single" w:sz="4" w:space="0" w:color="17365D"/>
              <w:bottom w:val="single" w:sz="4" w:space="0" w:color="17365D"/>
            </w:tcBorders>
            <w:shd w:val="clear" w:color="auto" w:fill="auto"/>
            <w:vAlign w:val="center"/>
            <w:hideMark/>
          </w:tcPr>
          <w:p w14:paraId="3C554DCD" w14:textId="697634B9"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41" w:type="dxa"/>
            <w:tcBorders>
              <w:top w:val="single" w:sz="4" w:space="0" w:color="17365D"/>
              <w:bottom w:val="single" w:sz="4" w:space="0" w:color="17365D"/>
            </w:tcBorders>
            <w:shd w:val="clear" w:color="auto" w:fill="auto"/>
            <w:vAlign w:val="center"/>
            <w:hideMark/>
          </w:tcPr>
          <w:p w14:paraId="2F9677AF" w14:textId="58FE0DCC"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146" w:type="dxa"/>
            <w:tcBorders>
              <w:top w:val="single" w:sz="4" w:space="0" w:color="17365D"/>
              <w:bottom w:val="single" w:sz="4" w:space="0" w:color="17365D"/>
            </w:tcBorders>
            <w:shd w:val="clear" w:color="auto" w:fill="auto"/>
            <w:vAlign w:val="center"/>
            <w:hideMark/>
          </w:tcPr>
          <w:p w14:paraId="3A7A2F9E" w14:textId="4FA45C1A"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288" w:type="dxa"/>
            <w:gridSpan w:val="2"/>
            <w:tcBorders>
              <w:top w:val="single" w:sz="4" w:space="0" w:color="17365D"/>
              <w:bottom w:val="single" w:sz="4" w:space="0" w:color="17365D"/>
            </w:tcBorders>
            <w:shd w:val="clear" w:color="auto" w:fill="auto"/>
            <w:vAlign w:val="center"/>
            <w:hideMark/>
          </w:tcPr>
          <w:p w14:paraId="7C819F54" w14:textId="4D242DAE"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170" w:type="dxa"/>
            <w:gridSpan w:val="2"/>
            <w:tcBorders>
              <w:top w:val="single" w:sz="4" w:space="0" w:color="17365D"/>
              <w:bottom w:val="single" w:sz="4" w:space="0" w:color="17365D"/>
            </w:tcBorders>
            <w:shd w:val="clear" w:color="auto" w:fill="auto"/>
            <w:vAlign w:val="center"/>
            <w:hideMark/>
          </w:tcPr>
          <w:p w14:paraId="13CA5F0A" w14:textId="1F820E67"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146" w:type="dxa"/>
            <w:tcBorders>
              <w:top w:val="single" w:sz="4" w:space="0" w:color="17365D"/>
              <w:bottom w:val="single" w:sz="4" w:space="0" w:color="17365D"/>
            </w:tcBorders>
            <w:shd w:val="clear" w:color="auto" w:fill="auto"/>
            <w:vAlign w:val="center"/>
            <w:hideMark/>
          </w:tcPr>
          <w:p w14:paraId="55ACD07B" w14:textId="40C0D8B0"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317" w:type="dxa"/>
            <w:tcBorders>
              <w:top w:val="single" w:sz="4" w:space="0" w:color="17365D"/>
              <w:bottom w:val="single" w:sz="4" w:space="0" w:color="17365D"/>
            </w:tcBorders>
            <w:shd w:val="clear" w:color="auto" w:fill="auto"/>
            <w:vAlign w:val="center"/>
            <w:hideMark/>
          </w:tcPr>
          <w:p w14:paraId="61C6F452" w14:textId="716DBD38"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5063A7" w:rsidRPr="00A27896" w14:paraId="7FDD42AF" w14:textId="77777777" w:rsidTr="009A4177">
        <w:trPr>
          <w:trHeight w:val="300"/>
        </w:trPr>
        <w:tc>
          <w:tcPr>
            <w:tcW w:w="2000" w:type="dxa"/>
            <w:tcBorders>
              <w:top w:val="single" w:sz="4" w:space="0" w:color="17365D"/>
              <w:bottom w:val="single" w:sz="4" w:space="0" w:color="17365D"/>
            </w:tcBorders>
            <w:shd w:val="clear" w:color="auto" w:fill="auto"/>
            <w:vAlign w:val="center"/>
            <w:hideMark/>
          </w:tcPr>
          <w:p w14:paraId="62D4F185" w14:textId="77777777" w:rsidR="005063A7" w:rsidRPr="00A27896" w:rsidRDefault="005063A7" w:rsidP="005063A7">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Pamatlīdzekļi</w:t>
            </w:r>
          </w:p>
        </w:tc>
        <w:tc>
          <w:tcPr>
            <w:tcW w:w="1241" w:type="dxa"/>
            <w:tcBorders>
              <w:top w:val="single" w:sz="4" w:space="0" w:color="17365D"/>
              <w:left w:val="nil"/>
              <w:bottom w:val="single" w:sz="4" w:space="0" w:color="17365D"/>
              <w:right w:val="nil"/>
            </w:tcBorders>
            <w:shd w:val="clear" w:color="auto" w:fill="auto"/>
            <w:vAlign w:val="center"/>
            <w:hideMark/>
          </w:tcPr>
          <w:p w14:paraId="1E426172" w14:textId="0FCFE6A9" w:rsidR="005063A7" w:rsidRPr="005063A7" w:rsidRDefault="005063A7" w:rsidP="005063A7">
            <w:pPr>
              <w:spacing w:after="0" w:line="240" w:lineRule="auto"/>
              <w:jc w:val="right"/>
              <w:rPr>
                <w:b/>
                <w:bCs/>
                <w:color w:val="17365D"/>
                <w:sz w:val="18"/>
                <w:szCs w:val="18"/>
              </w:rPr>
            </w:pPr>
            <w:r w:rsidRPr="005063A7">
              <w:rPr>
                <w:b/>
                <w:bCs/>
                <w:color w:val="17365D"/>
                <w:sz w:val="18"/>
                <w:szCs w:val="18"/>
              </w:rPr>
              <w:t>168 031 110</w:t>
            </w:r>
          </w:p>
        </w:tc>
        <w:tc>
          <w:tcPr>
            <w:tcW w:w="1146" w:type="dxa"/>
            <w:tcBorders>
              <w:top w:val="single" w:sz="4" w:space="0" w:color="17365D"/>
              <w:left w:val="nil"/>
              <w:bottom w:val="single" w:sz="4" w:space="0" w:color="17365D"/>
              <w:right w:val="nil"/>
            </w:tcBorders>
            <w:shd w:val="clear" w:color="auto" w:fill="auto"/>
            <w:vAlign w:val="center"/>
            <w:hideMark/>
          </w:tcPr>
          <w:p w14:paraId="73A11BFE" w14:textId="20A3A164" w:rsidR="005063A7" w:rsidRPr="005063A7" w:rsidRDefault="005063A7" w:rsidP="005063A7">
            <w:pPr>
              <w:spacing w:after="0" w:line="240" w:lineRule="auto"/>
              <w:jc w:val="right"/>
              <w:rPr>
                <w:b/>
                <w:bCs/>
                <w:color w:val="17365D"/>
                <w:sz w:val="18"/>
                <w:szCs w:val="18"/>
              </w:rPr>
            </w:pPr>
            <w:r w:rsidRPr="005063A7">
              <w:rPr>
                <w:b/>
                <w:bCs/>
                <w:color w:val="17365D"/>
                <w:sz w:val="18"/>
                <w:szCs w:val="18"/>
              </w:rPr>
              <w:t>-9 867 169</w:t>
            </w:r>
          </w:p>
        </w:tc>
        <w:tc>
          <w:tcPr>
            <w:tcW w:w="1288" w:type="dxa"/>
            <w:gridSpan w:val="2"/>
            <w:tcBorders>
              <w:top w:val="single" w:sz="4" w:space="0" w:color="17365D"/>
              <w:bottom w:val="single" w:sz="4" w:space="0" w:color="17365D"/>
            </w:tcBorders>
            <w:shd w:val="clear" w:color="auto" w:fill="auto"/>
            <w:vAlign w:val="center"/>
            <w:hideMark/>
          </w:tcPr>
          <w:p w14:paraId="06BBC75A" w14:textId="1327A449" w:rsidR="005063A7" w:rsidRPr="00A27896" w:rsidRDefault="005063A7" w:rsidP="005063A7">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c>
          <w:tcPr>
            <w:tcW w:w="1170" w:type="dxa"/>
            <w:gridSpan w:val="2"/>
            <w:tcBorders>
              <w:top w:val="single" w:sz="4" w:space="0" w:color="17365D"/>
              <w:bottom w:val="single" w:sz="4" w:space="0" w:color="17365D"/>
            </w:tcBorders>
            <w:shd w:val="clear" w:color="auto" w:fill="auto"/>
            <w:vAlign w:val="center"/>
            <w:hideMark/>
          </w:tcPr>
          <w:p w14:paraId="6CDB86B5" w14:textId="6E3C61EE" w:rsidR="005063A7" w:rsidRPr="00EF76DA" w:rsidRDefault="005063A7" w:rsidP="005063A7">
            <w:pPr>
              <w:spacing w:after="0" w:line="240" w:lineRule="auto"/>
              <w:jc w:val="right"/>
              <w:rPr>
                <w:b/>
                <w:bCs/>
                <w:color w:val="17365D"/>
                <w:sz w:val="18"/>
                <w:szCs w:val="18"/>
              </w:rPr>
            </w:pPr>
            <w:r w:rsidRPr="00EF76DA">
              <w:rPr>
                <w:b/>
                <w:bCs/>
                <w:color w:val="17365D"/>
                <w:sz w:val="18"/>
                <w:szCs w:val="18"/>
              </w:rPr>
              <w:t>129 470 481</w:t>
            </w:r>
          </w:p>
        </w:tc>
        <w:tc>
          <w:tcPr>
            <w:tcW w:w="1146" w:type="dxa"/>
            <w:tcBorders>
              <w:top w:val="single" w:sz="4" w:space="0" w:color="17365D"/>
              <w:bottom w:val="single" w:sz="4" w:space="0" w:color="17365D"/>
            </w:tcBorders>
            <w:shd w:val="clear" w:color="auto" w:fill="auto"/>
            <w:vAlign w:val="center"/>
            <w:hideMark/>
          </w:tcPr>
          <w:p w14:paraId="3CCBC4BE" w14:textId="3426A12A" w:rsidR="005063A7" w:rsidRPr="00EF76DA" w:rsidRDefault="005063A7" w:rsidP="005063A7">
            <w:pPr>
              <w:spacing w:after="0" w:line="240" w:lineRule="auto"/>
              <w:jc w:val="right"/>
              <w:rPr>
                <w:b/>
                <w:bCs/>
                <w:color w:val="17365D"/>
                <w:sz w:val="18"/>
                <w:szCs w:val="18"/>
              </w:rPr>
            </w:pPr>
            <w:r w:rsidRPr="00EF76DA">
              <w:rPr>
                <w:b/>
                <w:bCs/>
                <w:color w:val="17365D"/>
                <w:sz w:val="18"/>
                <w:szCs w:val="18"/>
              </w:rPr>
              <w:t>-1 526 542</w:t>
            </w:r>
          </w:p>
        </w:tc>
        <w:tc>
          <w:tcPr>
            <w:tcW w:w="1317" w:type="dxa"/>
            <w:tcBorders>
              <w:top w:val="single" w:sz="4" w:space="0" w:color="17365D"/>
              <w:bottom w:val="single" w:sz="4" w:space="0" w:color="17365D"/>
            </w:tcBorders>
            <w:shd w:val="clear" w:color="auto" w:fill="auto"/>
            <w:vAlign w:val="center"/>
            <w:hideMark/>
          </w:tcPr>
          <w:p w14:paraId="70477195" w14:textId="77777777" w:rsidR="005063A7" w:rsidRPr="00A27896" w:rsidRDefault="005063A7" w:rsidP="005063A7">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r>
      <w:tr w:rsidR="005063A7" w:rsidRPr="00A27896" w14:paraId="68BD8970" w14:textId="77777777" w:rsidTr="009A4177">
        <w:trPr>
          <w:trHeight w:val="288"/>
        </w:trPr>
        <w:tc>
          <w:tcPr>
            <w:tcW w:w="2000" w:type="dxa"/>
            <w:tcBorders>
              <w:top w:val="single" w:sz="4" w:space="0" w:color="17365D"/>
              <w:bottom w:val="single" w:sz="4" w:space="0" w:color="17365D"/>
            </w:tcBorders>
            <w:shd w:val="clear" w:color="auto" w:fill="auto"/>
            <w:vAlign w:val="center"/>
            <w:hideMark/>
          </w:tcPr>
          <w:p w14:paraId="66542098" w14:textId="77777777" w:rsidR="005063A7" w:rsidRPr="00A27896" w:rsidRDefault="005063A7" w:rsidP="005063A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Zeme un būves</w:t>
            </w:r>
          </w:p>
        </w:tc>
        <w:tc>
          <w:tcPr>
            <w:tcW w:w="1241" w:type="dxa"/>
            <w:tcBorders>
              <w:top w:val="single" w:sz="4" w:space="0" w:color="17365D"/>
              <w:left w:val="nil"/>
              <w:bottom w:val="single" w:sz="4" w:space="0" w:color="17365D"/>
              <w:right w:val="nil"/>
            </w:tcBorders>
            <w:shd w:val="clear" w:color="auto" w:fill="auto"/>
            <w:vAlign w:val="center"/>
            <w:hideMark/>
          </w:tcPr>
          <w:p w14:paraId="44734C26" w14:textId="1D7F2D07" w:rsidR="005063A7" w:rsidRPr="005063A7" w:rsidRDefault="005063A7" w:rsidP="005063A7">
            <w:pPr>
              <w:spacing w:after="0" w:line="240" w:lineRule="auto"/>
              <w:jc w:val="right"/>
              <w:rPr>
                <w:color w:val="17365D"/>
                <w:sz w:val="18"/>
                <w:szCs w:val="18"/>
              </w:rPr>
            </w:pPr>
            <w:r w:rsidRPr="005063A7">
              <w:rPr>
                <w:color w:val="17365D"/>
                <w:sz w:val="18"/>
                <w:szCs w:val="18"/>
              </w:rPr>
              <w:t>167 073 131</w:t>
            </w:r>
          </w:p>
        </w:tc>
        <w:tc>
          <w:tcPr>
            <w:tcW w:w="1146" w:type="dxa"/>
            <w:tcBorders>
              <w:top w:val="single" w:sz="4" w:space="0" w:color="17365D"/>
              <w:left w:val="nil"/>
              <w:bottom w:val="single" w:sz="4" w:space="0" w:color="17365D"/>
              <w:right w:val="nil"/>
            </w:tcBorders>
            <w:shd w:val="clear" w:color="auto" w:fill="auto"/>
            <w:vAlign w:val="center"/>
            <w:hideMark/>
          </w:tcPr>
          <w:p w14:paraId="163D1AFC" w14:textId="1C06CAD1" w:rsidR="005063A7" w:rsidRPr="005063A7" w:rsidRDefault="005063A7" w:rsidP="005063A7">
            <w:pPr>
              <w:spacing w:after="0" w:line="240" w:lineRule="auto"/>
              <w:jc w:val="right"/>
              <w:rPr>
                <w:color w:val="17365D"/>
                <w:sz w:val="18"/>
                <w:szCs w:val="18"/>
              </w:rPr>
            </w:pPr>
            <w:r w:rsidRPr="005063A7">
              <w:rPr>
                <w:color w:val="17365D"/>
                <w:sz w:val="18"/>
                <w:szCs w:val="18"/>
              </w:rPr>
              <w:t>-9 724 807</w:t>
            </w:r>
          </w:p>
        </w:tc>
        <w:tc>
          <w:tcPr>
            <w:tcW w:w="1288" w:type="dxa"/>
            <w:gridSpan w:val="2"/>
            <w:tcBorders>
              <w:top w:val="single" w:sz="4" w:space="0" w:color="17365D"/>
              <w:bottom w:val="single" w:sz="4" w:space="0" w:color="17365D"/>
            </w:tcBorders>
            <w:shd w:val="clear" w:color="auto" w:fill="auto"/>
            <w:vAlign w:val="center"/>
            <w:hideMark/>
          </w:tcPr>
          <w:p w14:paraId="4140EC78" w14:textId="6124D704" w:rsidR="005063A7" w:rsidRPr="00A27896" w:rsidRDefault="005063A7"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0" w:type="dxa"/>
            <w:gridSpan w:val="2"/>
            <w:tcBorders>
              <w:top w:val="single" w:sz="4" w:space="0" w:color="17365D"/>
              <w:bottom w:val="single" w:sz="4" w:space="0" w:color="17365D"/>
            </w:tcBorders>
            <w:shd w:val="clear" w:color="auto" w:fill="auto"/>
            <w:vAlign w:val="center"/>
            <w:hideMark/>
          </w:tcPr>
          <w:p w14:paraId="72BC96E6" w14:textId="5E279117" w:rsidR="005063A7" w:rsidRPr="00EF76DA" w:rsidRDefault="005063A7" w:rsidP="005063A7">
            <w:pPr>
              <w:spacing w:after="0" w:line="240" w:lineRule="auto"/>
              <w:jc w:val="right"/>
              <w:rPr>
                <w:color w:val="17365D"/>
                <w:sz w:val="18"/>
                <w:szCs w:val="18"/>
              </w:rPr>
            </w:pPr>
            <w:r w:rsidRPr="00EF76DA">
              <w:rPr>
                <w:color w:val="17365D"/>
                <w:sz w:val="18"/>
                <w:szCs w:val="18"/>
              </w:rPr>
              <w:t>129 167 452</w:t>
            </w:r>
          </w:p>
        </w:tc>
        <w:tc>
          <w:tcPr>
            <w:tcW w:w="1146" w:type="dxa"/>
            <w:tcBorders>
              <w:top w:val="single" w:sz="4" w:space="0" w:color="17365D"/>
              <w:bottom w:val="single" w:sz="4" w:space="0" w:color="17365D"/>
            </w:tcBorders>
            <w:shd w:val="clear" w:color="auto" w:fill="auto"/>
            <w:vAlign w:val="center"/>
            <w:hideMark/>
          </w:tcPr>
          <w:p w14:paraId="47F5F78E" w14:textId="2ED89427" w:rsidR="005063A7" w:rsidRPr="00EF76DA" w:rsidRDefault="005063A7" w:rsidP="005063A7">
            <w:pPr>
              <w:spacing w:after="0" w:line="240" w:lineRule="auto"/>
              <w:jc w:val="right"/>
              <w:rPr>
                <w:color w:val="17365D"/>
                <w:sz w:val="18"/>
                <w:szCs w:val="18"/>
              </w:rPr>
            </w:pPr>
            <w:r w:rsidRPr="00EF76DA">
              <w:rPr>
                <w:color w:val="17365D"/>
                <w:sz w:val="18"/>
                <w:szCs w:val="18"/>
              </w:rPr>
              <w:t>-1 390 717</w:t>
            </w:r>
          </w:p>
        </w:tc>
        <w:tc>
          <w:tcPr>
            <w:tcW w:w="1317" w:type="dxa"/>
            <w:tcBorders>
              <w:top w:val="single" w:sz="4" w:space="0" w:color="17365D"/>
              <w:bottom w:val="single" w:sz="4" w:space="0" w:color="17365D"/>
            </w:tcBorders>
            <w:shd w:val="clear" w:color="auto" w:fill="auto"/>
            <w:vAlign w:val="center"/>
            <w:hideMark/>
          </w:tcPr>
          <w:p w14:paraId="4226E21F" w14:textId="77777777" w:rsidR="005063A7" w:rsidRPr="00A27896" w:rsidRDefault="005063A7"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5063A7" w:rsidRPr="00A27896" w14:paraId="42A86208" w14:textId="77777777" w:rsidTr="009A4177">
        <w:trPr>
          <w:trHeight w:val="288"/>
        </w:trPr>
        <w:tc>
          <w:tcPr>
            <w:tcW w:w="2000" w:type="dxa"/>
            <w:tcBorders>
              <w:top w:val="single" w:sz="4" w:space="0" w:color="17365D"/>
              <w:bottom w:val="single" w:sz="4" w:space="0" w:color="17365D"/>
            </w:tcBorders>
            <w:shd w:val="clear" w:color="auto" w:fill="auto"/>
            <w:vAlign w:val="center"/>
            <w:hideMark/>
          </w:tcPr>
          <w:p w14:paraId="4A4E8725" w14:textId="77777777" w:rsidR="005063A7" w:rsidRPr="00A27896" w:rsidRDefault="005063A7" w:rsidP="005063A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pamatlīdzekļi</w:t>
            </w:r>
          </w:p>
        </w:tc>
        <w:tc>
          <w:tcPr>
            <w:tcW w:w="1241" w:type="dxa"/>
            <w:tcBorders>
              <w:top w:val="single" w:sz="4" w:space="0" w:color="17365D"/>
              <w:left w:val="nil"/>
              <w:bottom w:val="single" w:sz="4" w:space="0" w:color="17365D"/>
              <w:right w:val="nil"/>
            </w:tcBorders>
            <w:shd w:val="clear" w:color="auto" w:fill="auto"/>
            <w:vAlign w:val="center"/>
            <w:hideMark/>
          </w:tcPr>
          <w:p w14:paraId="41A38124" w14:textId="289E2FFB" w:rsidR="005063A7" w:rsidRPr="005063A7" w:rsidRDefault="005063A7" w:rsidP="005063A7">
            <w:pPr>
              <w:spacing w:after="0" w:line="240" w:lineRule="auto"/>
              <w:jc w:val="right"/>
              <w:rPr>
                <w:color w:val="17365D"/>
                <w:sz w:val="18"/>
                <w:szCs w:val="18"/>
              </w:rPr>
            </w:pPr>
            <w:r w:rsidRPr="005063A7">
              <w:rPr>
                <w:color w:val="17365D"/>
                <w:sz w:val="18"/>
                <w:szCs w:val="18"/>
              </w:rPr>
              <w:t>170 756</w:t>
            </w:r>
          </w:p>
        </w:tc>
        <w:tc>
          <w:tcPr>
            <w:tcW w:w="1146" w:type="dxa"/>
            <w:tcBorders>
              <w:top w:val="single" w:sz="4" w:space="0" w:color="17365D"/>
              <w:left w:val="nil"/>
              <w:bottom w:val="single" w:sz="4" w:space="0" w:color="17365D"/>
              <w:right w:val="nil"/>
            </w:tcBorders>
            <w:shd w:val="clear" w:color="auto" w:fill="auto"/>
            <w:vAlign w:val="center"/>
            <w:hideMark/>
          </w:tcPr>
          <w:p w14:paraId="389E0EBB" w14:textId="363DED83" w:rsidR="005063A7" w:rsidRPr="005063A7" w:rsidRDefault="005063A7" w:rsidP="005063A7">
            <w:pPr>
              <w:spacing w:after="0" w:line="240" w:lineRule="auto"/>
              <w:jc w:val="right"/>
              <w:rPr>
                <w:color w:val="17365D"/>
                <w:sz w:val="18"/>
                <w:szCs w:val="18"/>
              </w:rPr>
            </w:pPr>
            <w:r w:rsidRPr="005063A7">
              <w:rPr>
                <w:color w:val="17365D"/>
                <w:sz w:val="18"/>
                <w:szCs w:val="18"/>
              </w:rPr>
              <w:t>-142 362</w:t>
            </w:r>
          </w:p>
        </w:tc>
        <w:tc>
          <w:tcPr>
            <w:tcW w:w="1288" w:type="dxa"/>
            <w:gridSpan w:val="2"/>
            <w:tcBorders>
              <w:top w:val="single" w:sz="4" w:space="0" w:color="17365D"/>
              <w:bottom w:val="single" w:sz="4" w:space="0" w:color="17365D"/>
            </w:tcBorders>
            <w:shd w:val="clear" w:color="auto" w:fill="auto"/>
            <w:vAlign w:val="center"/>
            <w:hideMark/>
          </w:tcPr>
          <w:p w14:paraId="22A7EECE" w14:textId="6EA52FB9" w:rsidR="005063A7" w:rsidRPr="00A27896" w:rsidRDefault="005063A7"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0" w:type="dxa"/>
            <w:gridSpan w:val="2"/>
            <w:tcBorders>
              <w:top w:val="single" w:sz="4" w:space="0" w:color="17365D"/>
              <w:bottom w:val="single" w:sz="4" w:space="0" w:color="17365D"/>
            </w:tcBorders>
            <w:shd w:val="clear" w:color="auto" w:fill="auto"/>
            <w:vAlign w:val="center"/>
            <w:hideMark/>
          </w:tcPr>
          <w:p w14:paraId="1F812AA2" w14:textId="515493BC" w:rsidR="005063A7" w:rsidRPr="00EF76DA" w:rsidRDefault="005063A7" w:rsidP="005063A7">
            <w:pPr>
              <w:spacing w:after="0" w:line="240" w:lineRule="auto"/>
              <w:jc w:val="right"/>
              <w:rPr>
                <w:color w:val="17365D"/>
                <w:sz w:val="18"/>
                <w:szCs w:val="18"/>
              </w:rPr>
            </w:pPr>
            <w:r w:rsidRPr="00EF76DA">
              <w:rPr>
                <w:color w:val="17365D"/>
                <w:sz w:val="18"/>
                <w:szCs w:val="18"/>
              </w:rPr>
              <w:t>171 708</w:t>
            </w:r>
          </w:p>
        </w:tc>
        <w:tc>
          <w:tcPr>
            <w:tcW w:w="1146" w:type="dxa"/>
            <w:tcBorders>
              <w:top w:val="single" w:sz="4" w:space="0" w:color="17365D"/>
              <w:bottom w:val="single" w:sz="4" w:space="0" w:color="17365D"/>
            </w:tcBorders>
            <w:shd w:val="clear" w:color="auto" w:fill="auto"/>
            <w:vAlign w:val="center"/>
            <w:hideMark/>
          </w:tcPr>
          <w:p w14:paraId="394D3B81" w14:textId="0798173A" w:rsidR="005063A7" w:rsidRPr="00EF76DA" w:rsidRDefault="005063A7" w:rsidP="005063A7">
            <w:pPr>
              <w:spacing w:after="0" w:line="240" w:lineRule="auto"/>
              <w:jc w:val="right"/>
              <w:rPr>
                <w:color w:val="17365D"/>
                <w:sz w:val="18"/>
                <w:szCs w:val="18"/>
              </w:rPr>
            </w:pPr>
            <w:r w:rsidRPr="00EF76DA">
              <w:rPr>
                <w:color w:val="17365D"/>
                <w:sz w:val="18"/>
                <w:szCs w:val="18"/>
              </w:rPr>
              <w:t>-135 825</w:t>
            </w:r>
          </w:p>
        </w:tc>
        <w:tc>
          <w:tcPr>
            <w:tcW w:w="1317" w:type="dxa"/>
            <w:tcBorders>
              <w:top w:val="single" w:sz="4" w:space="0" w:color="17365D"/>
              <w:bottom w:val="single" w:sz="4" w:space="0" w:color="17365D"/>
            </w:tcBorders>
            <w:shd w:val="clear" w:color="auto" w:fill="auto"/>
            <w:vAlign w:val="center"/>
            <w:hideMark/>
          </w:tcPr>
          <w:p w14:paraId="62F0959C" w14:textId="77777777" w:rsidR="005063A7" w:rsidRPr="00A27896" w:rsidRDefault="005063A7"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EF76DA" w:rsidRPr="00A27896" w14:paraId="5FB26A84" w14:textId="77777777" w:rsidTr="009A4177">
        <w:trPr>
          <w:trHeight w:val="528"/>
        </w:trPr>
        <w:tc>
          <w:tcPr>
            <w:tcW w:w="2000" w:type="dxa"/>
            <w:tcBorders>
              <w:top w:val="single" w:sz="4" w:space="0" w:color="17365D"/>
              <w:bottom w:val="single" w:sz="4" w:space="0" w:color="17365D"/>
            </w:tcBorders>
            <w:shd w:val="clear" w:color="auto" w:fill="auto"/>
            <w:vAlign w:val="center"/>
            <w:hideMark/>
          </w:tcPr>
          <w:p w14:paraId="50C59702" w14:textId="77777777" w:rsidR="00EF76DA" w:rsidRPr="00A27896" w:rsidRDefault="00EF76DA" w:rsidP="00EF76D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Pamatlīdzekļu izveidošana un nepabeigtā būvniecība</w:t>
            </w:r>
          </w:p>
        </w:tc>
        <w:tc>
          <w:tcPr>
            <w:tcW w:w="1241" w:type="dxa"/>
            <w:tcBorders>
              <w:top w:val="single" w:sz="4" w:space="0" w:color="17365D"/>
              <w:left w:val="nil"/>
              <w:bottom w:val="single" w:sz="4" w:space="0" w:color="17365D"/>
              <w:right w:val="nil"/>
            </w:tcBorders>
            <w:shd w:val="clear" w:color="auto" w:fill="auto"/>
            <w:vAlign w:val="center"/>
            <w:hideMark/>
          </w:tcPr>
          <w:p w14:paraId="473F1A38" w14:textId="704832D2" w:rsidR="00EF76DA" w:rsidRPr="00A27896" w:rsidRDefault="005063A7" w:rsidP="005063A7">
            <w:pPr>
              <w:spacing w:after="0" w:line="240" w:lineRule="auto"/>
              <w:jc w:val="right"/>
              <w:rPr>
                <w:rFonts w:eastAsia="Times New Roman" w:cs="Times New Roman"/>
                <w:color w:val="17365D"/>
                <w:sz w:val="18"/>
                <w:szCs w:val="18"/>
                <w:lang w:eastAsia="lv-LV"/>
              </w:rPr>
            </w:pPr>
            <w:r w:rsidRPr="005063A7">
              <w:rPr>
                <w:color w:val="17365D"/>
                <w:sz w:val="18"/>
                <w:szCs w:val="18"/>
              </w:rPr>
              <w:t>770 945</w:t>
            </w:r>
          </w:p>
        </w:tc>
        <w:tc>
          <w:tcPr>
            <w:tcW w:w="1146" w:type="dxa"/>
            <w:tcBorders>
              <w:top w:val="single" w:sz="4" w:space="0" w:color="17365D"/>
              <w:left w:val="nil"/>
              <w:bottom w:val="single" w:sz="4" w:space="0" w:color="17365D"/>
              <w:right w:val="nil"/>
            </w:tcBorders>
            <w:shd w:val="clear" w:color="auto" w:fill="auto"/>
            <w:vAlign w:val="center"/>
            <w:hideMark/>
          </w:tcPr>
          <w:p w14:paraId="5ADD9ECC" w14:textId="3F0EAEBD" w:rsidR="00EF76DA" w:rsidRPr="00A27896" w:rsidRDefault="00EF76DA" w:rsidP="005063A7">
            <w:pPr>
              <w:spacing w:after="0" w:line="240" w:lineRule="auto"/>
              <w:jc w:val="right"/>
              <w:rPr>
                <w:rFonts w:eastAsia="Times New Roman" w:cs="Times New Roman"/>
                <w:color w:val="17365D"/>
                <w:sz w:val="18"/>
                <w:szCs w:val="18"/>
                <w:lang w:eastAsia="lv-LV"/>
              </w:rPr>
            </w:pPr>
            <w:r>
              <w:rPr>
                <w:color w:val="17365D"/>
                <w:sz w:val="18"/>
                <w:szCs w:val="18"/>
              </w:rPr>
              <w:t>0</w:t>
            </w:r>
          </w:p>
        </w:tc>
        <w:tc>
          <w:tcPr>
            <w:tcW w:w="1288" w:type="dxa"/>
            <w:gridSpan w:val="2"/>
            <w:tcBorders>
              <w:top w:val="single" w:sz="4" w:space="0" w:color="17365D"/>
              <w:bottom w:val="single" w:sz="4" w:space="0" w:color="17365D"/>
            </w:tcBorders>
            <w:shd w:val="clear" w:color="auto" w:fill="auto"/>
            <w:vAlign w:val="center"/>
            <w:hideMark/>
          </w:tcPr>
          <w:p w14:paraId="0321EAC1" w14:textId="41B34D80" w:rsidR="00EF76DA" w:rsidRPr="00A27896" w:rsidRDefault="00EF76DA"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0" w:type="dxa"/>
            <w:gridSpan w:val="2"/>
            <w:tcBorders>
              <w:top w:val="single" w:sz="4" w:space="0" w:color="17365D"/>
              <w:bottom w:val="single" w:sz="4" w:space="0" w:color="17365D"/>
            </w:tcBorders>
            <w:shd w:val="clear" w:color="auto" w:fill="auto"/>
            <w:vAlign w:val="center"/>
            <w:hideMark/>
          </w:tcPr>
          <w:p w14:paraId="47379E24" w14:textId="09EA2F97" w:rsidR="00EF76DA" w:rsidRPr="00EF76DA" w:rsidRDefault="00EF76DA" w:rsidP="005063A7">
            <w:pPr>
              <w:spacing w:after="0" w:line="240" w:lineRule="auto"/>
              <w:jc w:val="right"/>
              <w:rPr>
                <w:color w:val="17365D"/>
                <w:sz w:val="18"/>
                <w:szCs w:val="18"/>
              </w:rPr>
            </w:pPr>
            <w:r w:rsidRPr="00EF76DA">
              <w:rPr>
                <w:color w:val="17365D"/>
                <w:sz w:val="18"/>
                <w:szCs w:val="18"/>
              </w:rPr>
              <w:t>115 043</w:t>
            </w:r>
          </w:p>
        </w:tc>
        <w:tc>
          <w:tcPr>
            <w:tcW w:w="1146" w:type="dxa"/>
            <w:tcBorders>
              <w:top w:val="single" w:sz="4" w:space="0" w:color="17365D"/>
              <w:bottom w:val="single" w:sz="4" w:space="0" w:color="17365D"/>
            </w:tcBorders>
            <w:shd w:val="clear" w:color="auto" w:fill="auto"/>
            <w:vAlign w:val="center"/>
            <w:hideMark/>
          </w:tcPr>
          <w:p w14:paraId="3BBAB57B" w14:textId="76999B49" w:rsidR="00EF76DA" w:rsidRPr="00EF76DA" w:rsidRDefault="00EF76DA" w:rsidP="005063A7">
            <w:pPr>
              <w:spacing w:after="0" w:line="240" w:lineRule="auto"/>
              <w:jc w:val="right"/>
              <w:rPr>
                <w:color w:val="17365D"/>
                <w:sz w:val="18"/>
                <w:szCs w:val="18"/>
              </w:rPr>
            </w:pPr>
            <w:r w:rsidRPr="00EF76DA">
              <w:rPr>
                <w:color w:val="17365D"/>
                <w:sz w:val="18"/>
                <w:szCs w:val="18"/>
              </w:rPr>
              <w:t>0</w:t>
            </w:r>
          </w:p>
        </w:tc>
        <w:tc>
          <w:tcPr>
            <w:tcW w:w="1317" w:type="dxa"/>
            <w:tcBorders>
              <w:top w:val="single" w:sz="4" w:space="0" w:color="17365D"/>
              <w:bottom w:val="single" w:sz="4" w:space="0" w:color="17365D"/>
            </w:tcBorders>
            <w:shd w:val="clear" w:color="auto" w:fill="auto"/>
            <w:vAlign w:val="center"/>
            <w:hideMark/>
          </w:tcPr>
          <w:p w14:paraId="04D0F778" w14:textId="77777777" w:rsidR="00EF76DA" w:rsidRPr="00A27896" w:rsidRDefault="00EF76DA"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EF76DA" w:rsidRPr="00A27896" w14:paraId="4A7A5CBC" w14:textId="77777777" w:rsidTr="009A4177">
        <w:trPr>
          <w:trHeight w:val="288"/>
        </w:trPr>
        <w:tc>
          <w:tcPr>
            <w:tcW w:w="2000" w:type="dxa"/>
            <w:tcBorders>
              <w:top w:val="single" w:sz="4" w:space="0" w:color="17365D"/>
              <w:bottom w:val="single" w:sz="4" w:space="0" w:color="17365D"/>
            </w:tcBorders>
            <w:shd w:val="clear" w:color="auto" w:fill="auto"/>
            <w:vAlign w:val="center"/>
            <w:hideMark/>
          </w:tcPr>
          <w:p w14:paraId="5AAD456F" w14:textId="77777777" w:rsidR="00EF76DA" w:rsidRPr="00A27896" w:rsidRDefault="00EF76DA" w:rsidP="00EF76D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Bioloģiskie un pazemes aktīvi</w:t>
            </w:r>
          </w:p>
        </w:tc>
        <w:tc>
          <w:tcPr>
            <w:tcW w:w="1241" w:type="dxa"/>
            <w:tcBorders>
              <w:top w:val="single" w:sz="4" w:space="0" w:color="17365D"/>
              <w:left w:val="nil"/>
              <w:bottom w:val="single" w:sz="4" w:space="0" w:color="17365D"/>
              <w:right w:val="nil"/>
            </w:tcBorders>
            <w:shd w:val="clear" w:color="auto" w:fill="auto"/>
            <w:vAlign w:val="center"/>
            <w:hideMark/>
          </w:tcPr>
          <w:p w14:paraId="444D9A5A" w14:textId="749D2963" w:rsidR="00EF76DA" w:rsidRPr="00A27896" w:rsidRDefault="00EF76DA" w:rsidP="005063A7">
            <w:pPr>
              <w:spacing w:after="0" w:line="240" w:lineRule="auto"/>
              <w:jc w:val="right"/>
              <w:rPr>
                <w:rFonts w:eastAsia="Times New Roman" w:cs="Times New Roman"/>
                <w:color w:val="17365D"/>
                <w:sz w:val="18"/>
                <w:szCs w:val="18"/>
                <w:lang w:eastAsia="lv-LV"/>
              </w:rPr>
            </w:pPr>
            <w:r>
              <w:rPr>
                <w:color w:val="17365D"/>
                <w:sz w:val="18"/>
                <w:szCs w:val="18"/>
              </w:rPr>
              <w:t>16 278</w:t>
            </w:r>
          </w:p>
        </w:tc>
        <w:tc>
          <w:tcPr>
            <w:tcW w:w="1146" w:type="dxa"/>
            <w:tcBorders>
              <w:top w:val="single" w:sz="4" w:space="0" w:color="17365D"/>
              <w:left w:val="nil"/>
              <w:bottom w:val="single" w:sz="4" w:space="0" w:color="17365D"/>
              <w:right w:val="nil"/>
            </w:tcBorders>
            <w:shd w:val="clear" w:color="auto" w:fill="auto"/>
            <w:vAlign w:val="center"/>
            <w:hideMark/>
          </w:tcPr>
          <w:p w14:paraId="70273F2A" w14:textId="3FC9FE8B" w:rsidR="00EF76DA" w:rsidRPr="00A27896" w:rsidRDefault="00EF76DA" w:rsidP="005063A7">
            <w:pPr>
              <w:spacing w:after="0" w:line="240" w:lineRule="auto"/>
              <w:jc w:val="right"/>
              <w:rPr>
                <w:rFonts w:eastAsia="Times New Roman" w:cs="Times New Roman"/>
                <w:color w:val="17365D"/>
                <w:sz w:val="18"/>
                <w:szCs w:val="18"/>
                <w:lang w:eastAsia="lv-LV"/>
              </w:rPr>
            </w:pPr>
            <w:r>
              <w:rPr>
                <w:color w:val="17365D"/>
                <w:sz w:val="18"/>
                <w:szCs w:val="18"/>
              </w:rPr>
              <w:t>0</w:t>
            </w:r>
          </w:p>
        </w:tc>
        <w:tc>
          <w:tcPr>
            <w:tcW w:w="1288" w:type="dxa"/>
            <w:gridSpan w:val="2"/>
            <w:tcBorders>
              <w:top w:val="single" w:sz="4" w:space="0" w:color="17365D"/>
              <w:bottom w:val="single" w:sz="4" w:space="0" w:color="17365D"/>
            </w:tcBorders>
            <w:shd w:val="clear" w:color="auto" w:fill="auto"/>
            <w:vAlign w:val="center"/>
            <w:hideMark/>
          </w:tcPr>
          <w:p w14:paraId="2CAF319C" w14:textId="2E2E7A14" w:rsidR="00EF76DA" w:rsidRPr="00A27896" w:rsidRDefault="00EF76DA"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0" w:type="dxa"/>
            <w:gridSpan w:val="2"/>
            <w:tcBorders>
              <w:top w:val="single" w:sz="4" w:space="0" w:color="17365D"/>
              <w:bottom w:val="single" w:sz="4" w:space="0" w:color="17365D"/>
            </w:tcBorders>
            <w:shd w:val="clear" w:color="auto" w:fill="auto"/>
            <w:vAlign w:val="center"/>
            <w:hideMark/>
          </w:tcPr>
          <w:p w14:paraId="580EF12E" w14:textId="2AA9F7C9" w:rsidR="00EF76DA" w:rsidRPr="00EF76DA" w:rsidRDefault="00EF76DA" w:rsidP="005063A7">
            <w:pPr>
              <w:spacing w:after="0" w:line="240" w:lineRule="auto"/>
              <w:jc w:val="right"/>
              <w:rPr>
                <w:color w:val="17365D"/>
                <w:sz w:val="18"/>
                <w:szCs w:val="18"/>
              </w:rPr>
            </w:pPr>
            <w:r w:rsidRPr="00EF76DA">
              <w:rPr>
                <w:color w:val="17365D"/>
                <w:sz w:val="18"/>
                <w:szCs w:val="18"/>
              </w:rPr>
              <w:t>16 278</w:t>
            </w:r>
          </w:p>
        </w:tc>
        <w:tc>
          <w:tcPr>
            <w:tcW w:w="1146" w:type="dxa"/>
            <w:tcBorders>
              <w:top w:val="single" w:sz="4" w:space="0" w:color="17365D"/>
              <w:bottom w:val="single" w:sz="4" w:space="0" w:color="17365D"/>
            </w:tcBorders>
            <w:shd w:val="clear" w:color="auto" w:fill="auto"/>
            <w:vAlign w:val="center"/>
            <w:hideMark/>
          </w:tcPr>
          <w:p w14:paraId="504764CD" w14:textId="1A967C91" w:rsidR="00EF76DA" w:rsidRPr="00EF76DA" w:rsidRDefault="00EF76DA" w:rsidP="005063A7">
            <w:pPr>
              <w:spacing w:after="0" w:line="240" w:lineRule="auto"/>
              <w:jc w:val="right"/>
              <w:rPr>
                <w:color w:val="17365D"/>
                <w:sz w:val="18"/>
                <w:szCs w:val="18"/>
              </w:rPr>
            </w:pPr>
            <w:r w:rsidRPr="00EF76DA">
              <w:rPr>
                <w:color w:val="17365D"/>
                <w:sz w:val="18"/>
                <w:szCs w:val="18"/>
              </w:rPr>
              <w:t>0</w:t>
            </w:r>
          </w:p>
        </w:tc>
        <w:tc>
          <w:tcPr>
            <w:tcW w:w="1317" w:type="dxa"/>
            <w:tcBorders>
              <w:top w:val="single" w:sz="4" w:space="0" w:color="17365D"/>
              <w:bottom w:val="single" w:sz="4" w:space="0" w:color="17365D"/>
            </w:tcBorders>
            <w:shd w:val="clear" w:color="auto" w:fill="auto"/>
            <w:vAlign w:val="center"/>
            <w:hideMark/>
          </w:tcPr>
          <w:p w14:paraId="5DF2E64F" w14:textId="77777777" w:rsidR="00EF76DA" w:rsidRPr="00A27896" w:rsidRDefault="00EF76DA" w:rsidP="005063A7">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0C1009" w:rsidRPr="00A27896" w14:paraId="067FF419" w14:textId="77777777" w:rsidTr="009A4177">
        <w:trPr>
          <w:trHeight w:val="184"/>
        </w:trPr>
        <w:tc>
          <w:tcPr>
            <w:tcW w:w="2000" w:type="dxa"/>
            <w:tcBorders>
              <w:top w:val="single" w:sz="4" w:space="0" w:color="17365D"/>
              <w:bottom w:val="nil"/>
            </w:tcBorders>
            <w:shd w:val="clear" w:color="auto" w:fill="B8CCE4" w:themeFill="accent1" w:themeFillTint="66"/>
            <w:vAlign w:val="center"/>
          </w:tcPr>
          <w:p w14:paraId="47EF327F" w14:textId="77777777" w:rsidR="00163BA8" w:rsidRPr="00A27896" w:rsidRDefault="00163BA8" w:rsidP="005B6245">
            <w:pPr>
              <w:spacing w:after="0" w:line="240" w:lineRule="auto"/>
              <w:rPr>
                <w:rFonts w:eastAsia="Times New Roman" w:cs="Times New Roman"/>
                <w:color w:val="17365D"/>
                <w:sz w:val="20"/>
                <w:szCs w:val="20"/>
                <w:lang w:eastAsia="lv-LV"/>
              </w:rPr>
            </w:pPr>
          </w:p>
        </w:tc>
        <w:tc>
          <w:tcPr>
            <w:tcW w:w="1241" w:type="dxa"/>
            <w:tcBorders>
              <w:top w:val="single" w:sz="4" w:space="0" w:color="17365D"/>
              <w:bottom w:val="nil"/>
            </w:tcBorders>
            <w:shd w:val="clear" w:color="auto" w:fill="B8CCE4" w:themeFill="accent1" w:themeFillTint="66"/>
            <w:vAlign w:val="center"/>
          </w:tcPr>
          <w:p w14:paraId="3E711BB6"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146" w:type="dxa"/>
            <w:tcBorders>
              <w:top w:val="single" w:sz="4" w:space="0" w:color="17365D"/>
              <w:bottom w:val="nil"/>
            </w:tcBorders>
            <w:shd w:val="clear" w:color="auto" w:fill="B8CCE4" w:themeFill="accent1" w:themeFillTint="66"/>
            <w:vAlign w:val="center"/>
          </w:tcPr>
          <w:p w14:paraId="1440EC56"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288" w:type="dxa"/>
            <w:gridSpan w:val="2"/>
            <w:tcBorders>
              <w:top w:val="single" w:sz="4" w:space="0" w:color="17365D"/>
              <w:bottom w:val="nil"/>
            </w:tcBorders>
            <w:shd w:val="clear" w:color="auto" w:fill="B8CCE4" w:themeFill="accent1" w:themeFillTint="66"/>
            <w:vAlign w:val="center"/>
          </w:tcPr>
          <w:p w14:paraId="19B76334"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170" w:type="dxa"/>
            <w:gridSpan w:val="2"/>
            <w:tcBorders>
              <w:top w:val="single" w:sz="4" w:space="0" w:color="17365D"/>
              <w:bottom w:val="nil"/>
            </w:tcBorders>
            <w:shd w:val="clear" w:color="auto" w:fill="B8CCE4" w:themeFill="accent1" w:themeFillTint="66"/>
            <w:vAlign w:val="center"/>
          </w:tcPr>
          <w:p w14:paraId="2B659211"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146" w:type="dxa"/>
            <w:tcBorders>
              <w:top w:val="single" w:sz="4" w:space="0" w:color="17365D"/>
              <w:bottom w:val="nil"/>
            </w:tcBorders>
            <w:shd w:val="clear" w:color="auto" w:fill="B8CCE4" w:themeFill="accent1" w:themeFillTint="66"/>
            <w:vAlign w:val="center"/>
          </w:tcPr>
          <w:p w14:paraId="72A15749"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317" w:type="dxa"/>
            <w:tcBorders>
              <w:top w:val="single" w:sz="4" w:space="0" w:color="17365D"/>
              <w:bottom w:val="nil"/>
            </w:tcBorders>
            <w:shd w:val="clear" w:color="auto" w:fill="B8CCE4" w:themeFill="accent1" w:themeFillTint="66"/>
            <w:vAlign w:val="center"/>
          </w:tcPr>
          <w:p w14:paraId="329E85CE"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r>
    </w:tbl>
    <w:p w14:paraId="2EABE18A" w14:textId="5EBEFCCF" w:rsidR="005B6245" w:rsidRPr="00A27896" w:rsidRDefault="005B6245" w:rsidP="003877C0">
      <w:pPr>
        <w:pStyle w:val="Tabulasnosaukums1"/>
        <w:spacing w:before="0" w:line="240" w:lineRule="auto"/>
        <w:rPr>
          <w:rFonts w:cs="Times New Roman"/>
          <w:color w:val="17365D"/>
        </w:rPr>
      </w:pPr>
    </w:p>
    <w:p w14:paraId="60A4EB55" w14:textId="4FE63F37" w:rsidR="005A010F" w:rsidRPr="00A27896" w:rsidRDefault="00715EF2" w:rsidP="000D2C39">
      <w:pPr>
        <w:pStyle w:val="Heading5"/>
      </w:pPr>
      <w:r w:rsidRPr="00A27896">
        <w:lastRenderedPageBreak/>
        <w:t xml:space="preserve">Piezīme Nr. </w:t>
      </w:r>
      <w:r w:rsidR="0045219A" w:rsidRPr="00A27896">
        <w:t>V7.</w:t>
      </w:r>
      <w:r w:rsidR="00350716" w:rsidRPr="00A27896">
        <w:t xml:space="preserve"> </w:t>
      </w:r>
      <w:r w:rsidR="00DE4C7C" w:rsidRPr="00A27896">
        <w:t>Informācija par saistībām un privātā partnera sniegtajiem pakalpojumiem partnerības līguma ietvaros</w:t>
      </w:r>
    </w:p>
    <w:p w14:paraId="072210EE" w14:textId="311D2029" w:rsidR="005861EC" w:rsidRDefault="005861EC" w:rsidP="002A2F6E">
      <w:pPr>
        <w:pStyle w:val="Pamatteksts1"/>
      </w:pPr>
      <w:r w:rsidRPr="00A27896">
        <w:t xml:space="preserve">Pārskata gada beigās partnerības līguma ietvaros saistības pret piegādātājiem un darbuzņēmējiem par sniegtajiem pakalpojumiem ir atzītas </w:t>
      </w:r>
      <w:r w:rsidR="00F122AB">
        <w:t>271,9 milj.</w:t>
      </w:r>
      <w:r w:rsidR="005759FB">
        <w:t> </w:t>
      </w:r>
      <w:proofErr w:type="spellStart"/>
      <w:r w:rsidRPr="00A27896">
        <w:rPr>
          <w:i/>
        </w:rPr>
        <w:t>euro</w:t>
      </w:r>
      <w:proofErr w:type="spellEnd"/>
      <w:r w:rsidRPr="00A27896">
        <w:t xml:space="preserve"> vērtībā un </w:t>
      </w:r>
      <w:r w:rsidR="00D356BB">
        <w:t>1.</w:t>
      </w:r>
      <w:r w:rsidR="00F128AB">
        <w:t>30</w:t>
      </w:r>
      <w:r w:rsidRPr="00A27896">
        <w:t>. tabulā sniegta informācija par to nākotnes maksājumiem un par izdevumiem līdz līguma termiņa beigām.</w:t>
      </w:r>
    </w:p>
    <w:p w14:paraId="49055ACC" w14:textId="45679657" w:rsidR="005E3A38" w:rsidRPr="00A27896" w:rsidRDefault="00D356BB" w:rsidP="005E3A38">
      <w:pPr>
        <w:pStyle w:val="Tabulasnosaukums1"/>
        <w:spacing w:before="0" w:line="240" w:lineRule="auto"/>
        <w:rPr>
          <w:rFonts w:cs="Times New Roman"/>
          <w:i/>
          <w:color w:val="17365D"/>
          <w:szCs w:val="22"/>
        </w:rPr>
      </w:pPr>
      <w:r>
        <w:rPr>
          <w:rFonts w:cs="Times New Roman"/>
          <w:i/>
          <w:color w:val="17365D"/>
          <w:szCs w:val="22"/>
        </w:rPr>
        <w:t>1.</w:t>
      </w:r>
      <w:r w:rsidR="00F128AB">
        <w:rPr>
          <w:rFonts w:cs="Times New Roman"/>
          <w:i/>
          <w:color w:val="17365D"/>
          <w:szCs w:val="22"/>
        </w:rPr>
        <w:t>30</w:t>
      </w:r>
      <w:r w:rsidR="005E3A38" w:rsidRPr="00817EBA">
        <w:rPr>
          <w:rFonts w:cs="Times New Roman"/>
          <w:i/>
          <w:color w:val="17365D"/>
          <w:szCs w:val="22"/>
        </w:rPr>
        <w:t>. tabula</w:t>
      </w:r>
      <w:r w:rsidR="003877C0" w:rsidRPr="00817EBA">
        <w:rPr>
          <w:rFonts w:cs="Times New Roman"/>
          <w:i/>
          <w:color w:val="17365D"/>
          <w:szCs w:val="22"/>
        </w:rPr>
        <w:t>.</w:t>
      </w:r>
      <w:r w:rsidR="005E3A38" w:rsidRPr="00817EBA">
        <w:rPr>
          <w:rFonts w:cs="Times New Roman"/>
          <w:i/>
          <w:color w:val="17365D"/>
          <w:szCs w:val="22"/>
        </w:rPr>
        <w:t xml:space="preserve"> Informācija</w:t>
      </w:r>
      <w:r w:rsidR="005E3A38" w:rsidRPr="00A27896">
        <w:rPr>
          <w:rFonts w:cs="Times New Roman"/>
          <w:i/>
          <w:color w:val="17365D"/>
          <w:szCs w:val="22"/>
        </w:rPr>
        <w:t xml:space="preserve"> par saistībām un privātā partnera </w:t>
      </w:r>
    </w:p>
    <w:p w14:paraId="2AEBC1FD" w14:textId="68817228" w:rsidR="005E3A38" w:rsidRPr="00A27896" w:rsidRDefault="005E3A38" w:rsidP="005E3A38">
      <w:pPr>
        <w:pStyle w:val="Tabulasnosaukums1"/>
        <w:spacing w:before="0" w:line="240" w:lineRule="auto"/>
        <w:rPr>
          <w:rFonts w:cs="Times New Roman"/>
          <w:color w:val="17365D"/>
        </w:rPr>
      </w:pPr>
      <w:r w:rsidRPr="00A27896">
        <w:rPr>
          <w:rFonts w:cs="Times New Roman"/>
          <w:i/>
          <w:color w:val="17365D"/>
          <w:szCs w:val="22"/>
        </w:rPr>
        <w:t>sniegtajiem pakalpojumiem partnerības līguma ietvaros (euro)</w:t>
      </w:r>
    </w:p>
    <w:tbl>
      <w:tblPr>
        <w:tblW w:w="9388" w:type="dxa"/>
        <w:tblBorders>
          <w:insideH w:val="single" w:sz="4" w:space="0" w:color="17365D"/>
        </w:tblBorders>
        <w:tblLayout w:type="fixed"/>
        <w:tblLook w:val="04A0" w:firstRow="1" w:lastRow="0" w:firstColumn="1" w:lastColumn="0" w:noHBand="0" w:noVBand="1"/>
      </w:tblPr>
      <w:tblGrid>
        <w:gridCol w:w="1864"/>
        <w:gridCol w:w="541"/>
        <w:gridCol w:w="811"/>
        <w:gridCol w:w="356"/>
        <w:gridCol w:w="961"/>
        <w:gridCol w:w="142"/>
        <w:gridCol w:w="142"/>
        <w:gridCol w:w="369"/>
        <w:gridCol w:w="906"/>
        <w:gridCol w:w="721"/>
        <w:gridCol w:w="275"/>
        <w:gridCol w:w="766"/>
        <w:gridCol w:w="374"/>
        <w:gridCol w:w="1144"/>
        <w:gridCol w:w="16"/>
      </w:tblGrid>
      <w:tr w:rsidR="00D73960" w:rsidRPr="00A27896" w14:paraId="1CBD077D" w14:textId="77777777" w:rsidTr="008A5267">
        <w:trPr>
          <w:gridAfter w:val="1"/>
          <w:wAfter w:w="11" w:type="dxa"/>
          <w:trHeight w:val="260"/>
          <w:tblHeader/>
        </w:trPr>
        <w:tc>
          <w:tcPr>
            <w:tcW w:w="2407" w:type="dxa"/>
            <w:gridSpan w:val="2"/>
            <w:vMerge w:val="restart"/>
            <w:shd w:val="clear" w:color="000000" w:fill="B9CDE5"/>
            <w:vAlign w:val="center"/>
          </w:tcPr>
          <w:p w14:paraId="37C44DD9" w14:textId="7407BA6A" w:rsidR="00D73960" w:rsidRPr="00A27896" w:rsidRDefault="00D73960"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2129" w:type="dxa"/>
            <w:gridSpan w:val="3"/>
            <w:tcBorders>
              <w:top w:val="nil"/>
              <w:bottom w:val="single" w:sz="4" w:space="0" w:color="17365D"/>
              <w:right w:val="nil"/>
            </w:tcBorders>
            <w:shd w:val="clear" w:color="000000" w:fill="B9CDE5"/>
            <w:vAlign w:val="center"/>
          </w:tcPr>
          <w:p w14:paraId="11CF73A9" w14:textId="02C7A098" w:rsidR="00D73960" w:rsidRPr="00A27896" w:rsidRDefault="00D73960"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vērtība</w:t>
            </w:r>
          </w:p>
        </w:tc>
        <w:tc>
          <w:tcPr>
            <w:tcW w:w="284" w:type="dxa"/>
            <w:gridSpan w:val="2"/>
            <w:tcBorders>
              <w:top w:val="nil"/>
              <w:left w:val="nil"/>
              <w:bottom w:val="nil"/>
            </w:tcBorders>
            <w:shd w:val="clear" w:color="000000" w:fill="B9CDE5"/>
            <w:vAlign w:val="center"/>
          </w:tcPr>
          <w:p w14:paraId="6DD5FF6A" w14:textId="3EDA44E4" w:rsidR="00D73960" w:rsidRPr="00A27896" w:rsidRDefault="00D73960" w:rsidP="005E3A38">
            <w:pPr>
              <w:spacing w:after="0" w:line="240" w:lineRule="auto"/>
              <w:jc w:val="center"/>
              <w:rPr>
                <w:rFonts w:eastAsia="Times New Roman" w:cs="Times New Roman"/>
                <w:b/>
                <w:bCs/>
                <w:color w:val="17365D"/>
                <w:sz w:val="18"/>
                <w:szCs w:val="18"/>
                <w:lang w:eastAsia="lv-LV"/>
              </w:rPr>
            </w:pPr>
          </w:p>
        </w:tc>
        <w:tc>
          <w:tcPr>
            <w:tcW w:w="4557" w:type="dxa"/>
            <w:gridSpan w:val="7"/>
            <w:tcBorders>
              <w:top w:val="nil"/>
              <w:left w:val="nil"/>
              <w:bottom w:val="single" w:sz="4" w:space="0" w:color="17365D"/>
            </w:tcBorders>
            <w:shd w:val="clear" w:color="000000" w:fill="B9CDE5"/>
            <w:vAlign w:val="center"/>
          </w:tcPr>
          <w:p w14:paraId="5C92958E" w14:textId="3BF19B29" w:rsidR="00D73960" w:rsidRPr="00A27896" w:rsidRDefault="00D73960" w:rsidP="005E3A3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Nākotnes maksājumi</w:t>
            </w:r>
          </w:p>
        </w:tc>
      </w:tr>
      <w:tr w:rsidR="00D73960" w:rsidRPr="00A27896" w14:paraId="441A602D" w14:textId="77777777" w:rsidTr="009A4177">
        <w:trPr>
          <w:gridAfter w:val="1"/>
          <w:wAfter w:w="16" w:type="dxa"/>
          <w:trHeight w:val="616"/>
          <w:tblHeader/>
        </w:trPr>
        <w:tc>
          <w:tcPr>
            <w:tcW w:w="2407" w:type="dxa"/>
            <w:gridSpan w:val="2"/>
            <w:vMerge/>
            <w:tcBorders>
              <w:bottom w:val="single" w:sz="4" w:space="0" w:color="17365D"/>
            </w:tcBorders>
          </w:tcPr>
          <w:p w14:paraId="1AD51A42" w14:textId="3DCF7886" w:rsidR="00D73960" w:rsidRPr="00A27896" w:rsidRDefault="00D73960" w:rsidP="00F122AB">
            <w:pPr>
              <w:spacing w:after="0" w:line="240" w:lineRule="auto"/>
              <w:rPr>
                <w:rFonts w:eastAsia="Times New Roman" w:cs="Times New Roman"/>
                <w:b/>
                <w:bCs/>
                <w:color w:val="17365D"/>
                <w:sz w:val="18"/>
                <w:szCs w:val="18"/>
                <w:lang w:eastAsia="lv-LV"/>
              </w:rPr>
            </w:pPr>
          </w:p>
        </w:tc>
        <w:tc>
          <w:tcPr>
            <w:tcW w:w="1167" w:type="dxa"/>
            <w:gridSpan w:val="2"/>
            <w:tcBorders>
              <w:top w:val="single" w:sz="4" w:space="0" w:color="17365D"/>
              <w:bottom w:val="single" w:sz="4" w:space="0" w:color="17365D"/>
            </w:tcBorders>
            <w:shd w:val="clear" w:color="000000" w:fill="B9CDE5"/>
            <w:vAlign w:val="center"/>
          </w:tcPr>
          <w:p w14:paraId="45470739" w14:textId="4A1D2912"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pārskata perioda beigās</w:t>
            </w:r>
          </w:p>
        </w:tc>
        <w:tc>
          <w:tcPr>
            <w:tcW w:w="1104" w:type="dxa"/>
            <w:gridSpan w:val="2"/>
            <w:tcBorders>
              <w:top w:val="single" w:sz="4" w:space="0" w:color="17365D"/>
              <w:bottom w:val="single" w:sz="4" w:space="0" w:color="17365D"/>
              <w:right w:val="nil"/>
            </w:tcBorders>
            <w:shd w:val="clear" w:color="000000" w:fill="B9CDE5"/>
            <w:vAlign w:val="center"/>
          </w:tcPr>
          <w:p w14:paraId="2987B31F" w14:textId="32BA6618"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1418" w:type="dxa"/>
            <w:gridSpan w:val="3"/>
            <w:tcBorders>
              <w:top w:val="nil"/>
              <w:left w:val="nil"/>
              <w:bottom w:val="single" w:sz="4" w:space="0" w:color="17365D"/>
            </w:tcBorders>
            <w:shd w:val="clear" w:color="000000" w:fill="B9CDE5"/>
            <w:vAlign w:val="center"/>
            <w:hideMark/>
          </w:tcPr>
          <w:p w14:paraId="19B907E0" w14:textId="5A1409F0"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996" w:type="dxa"/>
            <w:gridSpan w:val="2"/>
            <w:tcBorders>
              <w:top w:val="nil"/>
              <w:bottom w:val="single" w:sz="4" w:space="0" w:color="17365D"/>
            </w:tcBorders>
            <w:shd w:val="clear" w:color="000000" w:fill="B9CDE5"/>
            <w:vAlign w:val="center"/>
            <w:hideMark/>
          </w:tcPr>
          <w:p w14:paraId="6A6FCCB4" w14:textId="35E60FBC"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5</w:t>
            </w:r>
          </w:p>
        </w:tc>
        <w:tc>
          <w:tcPr>
            <w:tcW w:w="1140" w:type="dxa"/>
            <w:gridSpan w:val="2"/>
            <w:tcBorders>
              <w:top w:val="nil"/>
              <w:bottom w:val="single" w:sz="4" w:space="0" w:color="17365D"/>
            </w:tcBorders>
            <w:shd w:val="clear" w:color="000000" w:fill="B9CDE5"/>
            <w:vAlign w:val="center"/>
            <w:hideMark/>
          </w:tcPr>
          <w:p w14:paraId="5E0CF54C" w14:textId="69A67B80"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6</w:t>
            </w:r>
          </w:p>
        </w:tc>
        <w:tc>
          <w:tcPr>
            <w:tcW w:w="1140" w:type="dxa"/>
            <w:tcBorders>
              <w:top w:val="nil"/>
              <w:bottom w:val="single" w:sz="4" w:space="0" w:color="17365D"/>
            </w:tcBorders>
            <w:shd w:val="clear" w:color="000000" w:fill="B9CDE5"/>
            <w:vAlign w:val="center"/>
            <w:hideMark/>
          </w:tcPr>
          <w:p w14:paraId="322B51A2" w14:textId="5A805E9C"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7</w:t>
            </w:r>
          </w:p>
        </w:tc>
      </w:tr>
      <w:tr w:rsidR="00D73960" w:rsidRPr="00A27896" w14:paraId="0689C152" w14:textId="77777777" w:rsidTr="009A4177">
        <w:trPr>
          <w:gridAfter w:val="1"/>
          <w:wAfter w:w="16" w:type="dxa"/>
          <w:trHeight w:val="269"/>
          <w:tblHeader/>
        </w:trPr>
        <w:tc>
          <w:tcPr>
            <w:tcW w:w="2407" w:type="dxa"/>
            <w:gridSpan w:val="2"/>
            <w:tcBorders>
              <w:top w:val="single" w:sz="4" w:space="0" w:color="17365D"/>
              <w:bottom w:val="single" w:sz="4" w:space="0" w:color="17365D"/>
            </w:tcBorders>
            <w:vAlign w:val="center"/>
          </w:tcPr>
          <w:p w14:paraId="42E87FC1" w14:textId="1DC2FC1F"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167" w:type="dxa"/>
            <w:gridSpan w:val="2"/>
            <w:tcBorders>
              <w:top w:val="single" w:sz="4" w:space="0" w:color="17365D"/>
              <w:bottom w:val="single" w:sz="4" w:space="0" w:color="17365D"/>
            </w:tcBorders>
            <w:vAlign w:val="center"/>
          </w:tcPr>
          <w:p w14:paraId="2F18A3BA" w14:textId="0ED75447"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104" w:type="dxa"/>
            <w:gridSpan w:val="2"/>
            <w:tcBorders>
              <w:top w:val="single" w:sz="4" w:space="0" w:color="17365D"/>
              <w:bottom w:val="single" w:sz="4" w:space="0" w:color="17365D"/>
            </w:tcBorders>
            <w:vAlign w:val="center"/>
          </w:tcPr>
          <w:p w14:paraId="5FFE505E" w14:textId="33451E39"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418" w:type="dxa"/>
            <w:gridSpan w:val="3"/>
            <w:tcBorders>
              <w:top w:val="single" w:sz="4" w:space="0" w:color="17365D"/>
              <w:bottom w:val="single" w:sz="4" w:space="0" w:color="17365D"/>
            </w:tcBorders>
            <w:shd w:val="clear" w:color="auto" w:fill="auto"/>
            <w:vAlign w:val="center"/>
            <w:hideMark/>
          </w:tcPr>
          <w:p w14:paraId="1CAE2185" w14:textId="798595CD"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996" w:type="dxa"/>
            <w:gridSpan w:val="2"/>
            <w:tcBorders>
              <w:top w:val="single" w:sz="4" w:space="0" w:color="17365D"/>
              <w:bottom w:val="single" w:sz="4" w:space="0" w:color="17365D"/>
            </w:tcBorders>
            <w:shd w:val="clear" w:color="auto" w:fill="auto"/>
            <w:vAlign w:val="center"/>
            <w:hideMark/>
          </w:tcPr>
          <w:p w14:paraId="5F48B92A" w14:textId="56B3F41C"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140" w:type="dxa"/>
            <w:gridSpan w:val="2"/>
            <w:tcBorders>
              <w:top w:val="single" w:sz="4" w:space="0" w:color="17365D"/>
              <w:bottom w:val="single" w:sz="4" w:space="0" w:color="17365D"/>
            </w:tcBorders>
            <w:shd w:val="clear" w:color="auto" w:fill="auto"/>
            <w:vAlign w:val="center"/>
            <w:hideMark/>
          </w:tcPr>
          <w:p w14:paraId="03F475E6" w14:textId="6471828F"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40" w:type="dxa"/>
            <w:tcBorders>
              <w:top w:val="single" w:sz="4" w:space="0" w:color="17365D"/>
              <w:bottom w:val="single" w:sz="4" w:space="0" w:color="17365D"/>
            </w:tcBorders>
            <w:shd w:val="clear" w:color="auto" w:fill="auto"/>
            <w:vAlign w:val="center"/>
            <w:hideMark/>
          </w:tcPr>
          <w:p w14:paraId="545BB2C6" w14:textId="3D3722D6" w:rsidR="00D73960" w:rsidRPr="00A27896" w:rsidRDefault="00D73960" w:rsidP="00F122A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D73960" w:rsidRPr="00A27896" w14:paraId="4FDFCC16" w14:textId="77777777" w:rsidTr="009A4177">
        <w:trPr>
          <w:gridAfter w:val="1"/>
          <w:wAfter w:w="16" w:type="dxa"/>
          <w:trHeight w:val="246"/>
        </w:trPr>
        <w:tc>
          <w:tcPr>
            <w:tcW w:w="2407" w:type="dxa"/>
            <w:gridSpan w:val="2"/>
            <w:tcBorders>
              <w:top w:val="single" w:sz="4" w:space="0" w:color="17365D"/>
              <w:bottom w:val="single" w:sz="4" w:space="0" w:color="17365D"/>
            </w:tcBorders>
            <w:vAlign w:val="center"/>
          </w:tcPr>
          <w:p w14:paraId="6AB30889" w14:textId="2BDF5E9C" w:rsidR="00D73960" w:rsidRPr="00A27896" w:rsidRDefault="00D73960" w:rsidP="00F122AB">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Saistības pret piegādātājiem un darbuzņēmējiem</w:t>
            </w:r>
          </w:p>
        </w:tc>
        <w:tc>
          <w:tcPr>
            <w:tcW w:w="1167" w:type="dxa"/>
            <w:gridSpan w:val="2"/>
            <w:tcBorders>
              <w:top w:val="single" w:sz="4" w:space="0" w:color="17365D"/>
              <w:bottom w:val="single" w:sz="4" w:space="0" w:color="17365D"/>
            </w:tcBorders>
            <w:vAlign w:val="center"/>
          </w:tcPr>
          <w:p w14:paraId="715B70DE" w14:textId="2BC0EEF8" w:rsidR="00D73960" w:rsidRPr="00F122AB"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271 881 589</w:t>
            </w:r>
          </w:p>
        </w:tc>
        <w:tc>
          <w:tcPr>
            <w:tcW w:w="1104" w:type="dxa"/>
            <w:gridSpan w:val="2"/>
            <w:tcBorders>
              <w:top w:val="single" w:sz="4" w:space="0" w:color="17365D"/>
              <w:bottom w:val="single" w:sz="4" w:space="0" w:color="17365D"/>
            </w:tcBorders>
            <w:vAlign w:val="center"/>
          </w:tcPr>
          <w:p w14:paraId="5C05F393" w14:textId="1C1894A9" w:rsidR="00D73960" w:rsidRPr="00F122AB" w:rsidRDefault="00D73960" w:rsidP="00F122AB">
            <w:pPr>
              <w:spacing w:after="0" w:line="240" w:lineRule="auto"/>
              <w:ind w:left="-57" w:right="-57"/>
              <w:jc w:val="right"/>
              <w:rPr>
                <w:rFonts w:eastAsia="Times New Roman" w:cs="Times New Roman"/>
                <w:color w:val="17365D"/>
                <w:sz w:val="17"/>
                <w:szCs w:val="17"/>
                <w:lang w:eastAsia="lv-LV"/>
              </w:rPr>
            </w:pPr>
            <w:r w:rsidRPr="00A07303">
              <w:rPr>
                <w:rFonts w:eastAsia="Times New Roman" w:cs="Times New Roman"/>
                <w:color w:val="17365D"/>
                <w:sz w:val="17"/>
                <w:szCs w:val="17"/>
                <w:lang w:eastAsia="lv-LV"/>
              </w:rPr>
              <w:t>272 433 545</w:t>
            </w:r>
          </w:p>
        </w:tc>
        <w:tc>
          <w:tcPr>
            <w:tcW w:w="1418" w:type="dxa"/>
            <w:gridSpan w:val="3"/>
            <w:tcBorders>
              <w:top w:val="single" w:sz="4" w:space="0" w:color="17365D"/>
              <w:bottom w:val="single" w:sz="4" w:space="0" w:color="17365D"/>
            </w:tcBorders>
            <w:shd w:val="clear" w:color="auto" w:fill="auto"/>
            <w:vAlign w:val="center"/>
          </w:tcPr>
          <w:p w14:paraId="6B5E4337" w14:textId="2BB72E1C" w:rsidR="00D73960" w:rsidRPr="00F122AB"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271 881 589</w:t>
            </w:r>
          </w:p>
        </w:tc>
        <w:tc>
          <w:tcPr>
            <w:tcW w:w="996" w:type="dxa"/>
            <w:gridSpan w:val="2"/>
            <w:tcBorders>
              <w:top w:val="single" w:sz="4" w:space="0" w:color="17365D"/>
              <w:bottom w:val="single" w:sz="4" w:space="0" w:color="17365D"/>
            </w:tcBorders>
            <w:shd w:val="clear" w:color="auto" w:fill="auto"/>
            <w:vAlign w:val="center"/>
          </w:tcPr>
          <w:p w14:paraId="1A4575A4" w14:textId="5D5EA681" w:rsidR="00D73960" w:rsidRPr="00F122AB" w:rsidRDefault="00D73960" w:rsidP="00F122AB">
            <w:pPr>
              <w:spacing w:after="0" w:line="240" w:lineRule="auto"/>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14 124 639</w:t>
            </w:r>
          </w:p>
        </w:tc>
        <w:tc>
          <w:tcPr>
            <w:tcW w:w="1140" w:type="dxa"/>
            <w:gridSpan w:val="2"/>
            <w:tcBorders>
              <w:top w:val="single" w:sz="4" w:space="0" w:color="17365D"/>
              <w:bottom w:val="single" w:sz="4" w:space="0" w:color="17365D"/>
            </w:tcBorders>
            <w:shd w:val="clear" w:color="auto" w:fill="auto"/>
            <w:vAlign w:val="center"/>
          </w:tcPr>
          <w:p w14:paraId="75BED457" w14:textId="472BCFD2" w:rsidR="00D73960" w:rsidRPr="00F122AB"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14 002 917</w:t>
            </w:r>
          </w:p>
        </w:tc>
        <w:tc>
          <w:tcPr>
            <w:tcW w:w="1140" w:type="dxa"/>
            <w:tcBorders>
              <w:top w:val="single" w:sz="4" w:space="0" w:color="17365D"/>
              <w:bottom w:val="single" w:sz="4" w:space="0" w:color="17365D"/>
            </w:tcBorders>
            <w:shd w:val="clear" w:color="auto" w:fill="auto"/>
            <w:vAlign w:val="center"/>
          </w:tcPr>
          <w:p w14:paraId="34E4FD8D" w14:textId="3867D679" w:rsidR="00D73960" w:rsidRPr="00F122AB"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14 041 341</w:t>
            </w:r>
          </w:p>
        </w:tc>
      </w:tr>
      <w:tr w:rsidR="00D73960" w:rsidRPr="00A27896" w14:paraId="5F4B7556" w14:textId="77777777" w:rsidTr="009A4177">
        <w:trPr>
          <w:gridAfter w:val="1"/>
          <w:wAfter w:w="16" w:type="dxa"/>
          <w:trHeight w:val="289"/>
        </w:trPr>
        <w:tc>
          <w:tcPr>
            <w:tcW w:w="2407" w:type="dxa"/>
            <w:gridSpan w:val="2"/>
            <w:tcBorders>
              <w:top w:val="single" w:sz="4" w:space="0" w:color="17365D"/>
              <w:bottom w:val="single" w:sz="4" w:space="0" w:color="17365D"/>
            </w:tcBorders>
            <w:vAlign w:val="center"/>
          </w:tcPr>
          <w:p w14:paraId="04D364D0" w14:textId="2FA87348" w:rsidR="00D73960" w:rsidRPr="00A27896" w:rsidRDefault="00D73960" w:rsidP="00F122AB">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Izdevumi</w:t>
            </w:r>
          </w:p>
        </w:tc>
        <w:tc>
          <w:tcPr>
            <w:tcW w:w="1167" w:type="dxa"/>
            <w:gridSpan w:val="2"/>
            <w:tcBorders>
              <w:top w:val="single" w:sz="4" w:space="0" w:color="17365D"/>
              <w:bottom w:val="single" w:sz="4" w:space="0" w:color="17365D"/>
            </w:tcBorders>
            <w:vAlign w:val="center"/>
          </w:tcPr>
          <w:p w14:paraId="3CCF2B9F" w14:textId="0122DB7C" w:rsidR="00D73960" w:rsidRPr="00A27896" w:rsidRDefault="00D73960" w:rsidP="00F122A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x</w:t>
            </w:r>
          </w:p>
        </w:tc>
        <w:tc>
          <w:tcPr>
            <w:tcW w:w="1104" w:type="dxa"/>
            <w:gridSpan w:val="2"/>
            <w:tcBorders>
              <w:top w:val="single" w:sz="4" w:space="0" w:color="17365D"/>
              <w:bottom w:val="single" w:sz="4" w:space="0" w:color="17365D"/>
            </w:tcBorders>
            <w:vAlign w:val="center"/>
          </w:tcPr>
          <w:p w14:paraId="72C9451B" w14:textId="314AD979" w:rsidR="00D73960" w:rsidRPr="00A27896" w:rsidRDefault="00D73960" w:rsidP="00F122A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x</w:t>
            </w:r>
          </w:p>
        </w:tc>
        <w:tc>
          <w:tcPr>
            <w:tcW w:w="1418" w:type="dxa"/>
            <w:gridSpan w:val="3"/>
            <w:tcBorders>
              <w:top w:val="single" w:sz="4" w:space="0" w:color="17365D"/>
              <w:bottom w:val="single" w:sz="4" w:space="0" w:color="17365D"/>
            </w:tcBorders>
            <w:vAlign w:val="center"/>
          </w:tcPr>
          <w:p w14:paraId="2E6D0E8D" w14:textId="5845F07A" w:rsidR="00D73960" w:rsidRPr="00EA0031"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55 412 096</w:t>
            </w:r>
          </w:p>
        </w:tc>
        <w:tc>
          <w:tcPr>
            <w:tcW w:w="996" w:type="dxa"/>
            <w:gridSpan w:val="2"/>
            <w:tcBorders>
              <w:top w:val="single" w:sz="4" w:space="0" w:color="17365D"/>
              <w:bottom w:val="single" w:sz="4" w:space="0" w:color="17365D"/>
            </w:tcBorders>
            <w:shd w:val="clear" w:color="auto" w:fill="auto"/>
            <w:vAlign w:val="center"/>
          </w:tcPr>
          <w:p w14:paraId="28D406E0" w14:textId="0A60245E" w:rsidR="00D73960" w:rsidRPr="00EA0031"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3 594 284</w:t>
            </w:r>
          </w:p>
        </w:tc>
        <w:tc>
          <w:tcPr>
            <w:tcW w:w="1140" w:type="dxa"/>
            <w:gridSpan w:val="2"/>
            <w:tcBorders>
              <w:top w:val="single" w:sz="4" w:space="0" w:color="17365D"/>
              <w:bottom w:val="single" w:sz="4" w:space="0" w:color="17365D"/>
            </w:tcBorders>
            <w:shd w:val="clear" w:color="auto" w:fill="auto"/>
            <w:vAlign w:val="center"/>
          </w:tcPr>
          <w:p w14:paraId="69187612" w14:textId="6C38B89A" w:rsidR="00D73960" w:rsidRPr="00EA0031"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3 268 439</w:t>
            </w:r>
          </w:p>
        </w:tc>
        <w:tc>
          <w:tcPr>
            <w:tcW w:w="1140" w:type="dxa"/>
            <w:tcBorders>
              <w:top w:val="single" w:sz="4" w:space="0" w:color="17365D"/>
              <w:bottom w:val="single" w:sz="4" w:space="0" w:color="17365D"/>
            </w:tcBorders>
            <w:shd w:val="clear" w:color="auto" w:fill="auto"/>
            <w:vAlign w:val="center"/>
          </w:tcPr>
          <w:p w14:paraId="6A76814E" w14:textId="700DDC00" w:rsidR="00D73960" w:rsidRPr="00EA0031" w:rsidRDefault="00D73960" w:rsidP="00F122AB">
            <w:pPr>
              <w:spacing w:after="0" w:line="240" w:lineRule="auto"/>
              <w:ind w:right="57"/>
              <w:jc w:val="right"/>
              <w:rPr>
                <w:rFonts w:eastAsia="Times New Roman" w:cs="Times New Roman"/>
                <w:color w:val="17365D"/>
                <w:sz w:val="17"/>
                <w:szCs w:val="17"/>
                <w:lang w:eastAsia="lv-LV"/>
              </w:rPr>
            </w:pPr>
            <w:r w:rsidRPr="00F122AB">
              <w:rPr>
                <w:rFonts w:eastAsia="Times New Roman" w:cs="Times New Roman"/>
                <w:color w:val="17365D"/>
                <w:sz w:val="17"/>
                <w:szCs w:val="17"/>
                <w:lang w:eastAsia="lv-LV"/>
              </w:rPr>
              <w:t>3 297 070</w:t>
            </w:r>
          </w:p>
        </w:tc>
      </w:tr>
      <w:tr w:rsidR="00D73960" w:rsidRPr="00A27896" w14:paraId="16389C52" w14:textId="77777777" w:rsidTr="008A5267">
        <w:trPr>
          <w:trHeight w:val="60"/>
        </w:trPr>
        <w:tc>
          <w:tcPr>
            <w:tcW w:w="1866" w:type="dxa"/>
            <w:shd w:val="clear" w:color="auto" w:fill="B9CDE5"/>
            <w:vAlign w:val="center"/>
          </w:tcPr>
          <w:p w14:paraId="436D93CD" w14:textId="77777777" w:rsidR="00D73960" w:rsidRPr="00A27896" w:rsidRDefault="00D73960" w:rsidP="00F122AB">
            <w:pPr>
              <w:spacing w:after="0" w:line="240" w:lineRule="auto"/>
              <w:rPr>
                <w:rFonts w:eastAsia="Times New Roman" w:cs="Times New Roman"/>
                <w:color w:val="17365D"/>
                <w:sz w:val="18"/>
                <w:szCs w:val="18"/>
                <w:lang w:eastAsia="lv-LV"/>
              </w:rPr>
            </w:pPr>
          </w:p>
        </w:tc>
        <w:tc>
          <w:tcPr>
            <w:tcW w:w="1352" w:type="dxa"/>
            <w:gridSpan w:val="2"/>
            <w:shd w:val="clear" w:color="auto" w:fill="B9CDE5"/>
            <w:vAlign w:val="center"/>
            <w:hideMark/>
          </w:tcPr>
          <w:p w14:paraId="276A4666" w14:textId="4FDB13E9" w:rsidR="00D73960" w:rsidRPr="00A27896" w:rsidRDefault="00D73960" w:rsidP="00F122AB">
            <w:pPr>
              <w:spacing w:after="0" w:line="240" w:lineRule="auto"/>
              <w:rPr>
                <w:rFonts w:eastAsia="Times New Roman" w:cs="Times New Roman"/>
                <w:color w:val="17365D"/>
                <w:sz w:val="18"/>
                <w:szCs w:val="18"/>
                <w:lang w:eastAsia="lv-LV"/>
              </w:rPr>
            </w:pPr>
          </w:p>
        </w:tc>
        <w:tc>
          <w:tcPr>
            <w:tcW w:w="1318" w:type="dxa"/>
            <w:gridSpan w:val="2"/>
            <w:shd w:val="clear" w:color="auto" w:fill="B9CDE5"/>
            <w:vAlign w:val="center"/>
          </w:tcPr>
          <w:p w14:paraId="0777E6B1" w14:textId="77777777" w:rsidR="00D73960" w:rsidRPr="00A27896" w:rsidRDefault="00D73960" w:rsidP="00F122AB">
            <w:pPr>
              <w:spacing w:after="0" w:line="240" w:lineRule="auto"/>
              <w:jc w:val="center"/>
              <w:rPr>
                <w:rFonts w:eastAsia="Times New Roman" w:cs="Times New Roman"/>
                <w:color w:val="17365D"/>
                <w:sz w:val="18"/>
                <w:szCs w:val="18"/>
                <w:lang w:eastAsia="lv-LV"/>
              </w:rPr>
            </w:pPr>
          </w:p>
        </w:tc>
        <w:tc>
          <w:tcPr>
            <w:tcW w:w="653" w:type="dxa"/>
            <w:gridSpan w:val="3"/>
            <w:shd w:val="clear" w:color="auto" w:fill="B9CDE5"/>
            <w:vAlign w:val="center"/>
          </w:tcPr>
          <w:p w14:paraId="5BDAE250" w14:textId="199571E2" w:rsidR="00D73960" w:rsidRPr="00A27896" w:rsidRDefault="00D73960" w:rsidP="00F122AB">
            <w:pPr>
              <w:spacing w:after="0" w:line="240" w:lineRule="auto"/>
              <w:jc w:val="center"/>
              <w:rPr>
                <w:rFonts w:eastAsia="Times New Roman" w:cs="Times New Roman"/>
                <w:color w:val="17365D"/>
                <w:sz w:val="18"/>
                <w:szCs w:val="18"/>
                <w:lang w:eastAsia="lv-LV"/>
              </w:rPr>
            </w:pPr>
          </w:p>
        </w:tc>
        <w:tc>
          <w:tcPr>
            <w:tcW w:w="1628" w:type="dxa"/>
            <w:gridSpan w:val="2"/>
            <w:shd w:val="clear" w:color="auto" w:fill="B9CDE5"/>
            <w:noWrap/>
            <w:vAlign w:val="center"/>
            <w:hideMark/>
          </w:tcPr>
          <w:p w14:paraId="41144F93" w14:textId="2297BD52" w:rsidR="00D73960" w:rsidRPr="00A27896" w:rsidRDefault="00D73960" w:rsidP="00F122AB">
            <w:pPr>
              <w:spacing w:after="0" w:line="240" w:lineRule="auto"/>
              <w:jc w:val="center"/>
              <w:rPr>
                <w:rFonts w:eastAsia="Times New Roman" w:cs="Times New Roman"/>
                <w:color w:val="17365D"/>
                <w:sz w:val="18"/>
                <w:szCs w:val="18"/>
                <w:lang w:eastAsia="lv-LV"/>
              </w:rPr>
            </w:pPr>
          </w:p>
        </w:tc>
        <w:tc>
          <w:tcPr>
            <w:tcW w:w="1041" w:type="dxa"/>
            <w:gridSpan w:val="2"/>
            <w:shd w:val="clear" w:color="auto" w:fill="B9CDE5"/>
            <w:noWrap/>
            <w:vAlign w:val="center"/>
            <w:hideMark/>
          </w:tcPr>
          <w:p w14:paraId="433D8DF3" w14:textId="3246A6F1" w:rsidR="00D73960" w:rsidRPr="00A27896" w:rsidRDefault="00D73960" w:rsidP="00F122AB">
            <w:pPr>
              <w:spacing w:after="0" w:line="240" w:lineRule="auto"/>
              <w:jc w:val="right"/>
              <w:rPr>
                <w:rFonts w:eastAsia="Times New Roman" w:cs="Times New Roman"/>
                <w:color w:val="17365D"/>
                <w:sz w:val="18"/>
                <w:szCs w:val="18"/>
                <w:lang w:eastAsia="lv-LV"/>
              </w:rPr>
            </w:pPr>
          </w:p>
        </w:tc>
        <w:tc>
          <w:tcPr>
            <w:tcW w:w="1530" w:type="dxa"/>
            <w:gridSpan w:val="3"/>
            <w:shd w:val="clear" w:color="auto" w:fill="B9CDE5"/>
            <w:noWrap/>
            <w:vAlign w:val="center"/>
            <w:hideMark/>
          </w:tcPr>
          <w:p w14:paraId="2B7B6B0F" w14:textId="5B7F2F36" w:rsidR="00D73960" w:rsidRPr="00A27896" w:rsidRDefault="00D73960" w:rsidP="00F122AB">
            <w:pPr>
              <w:spacing w:after="0" w:line="240" w:lineRule="auto"/>
              <w:jc w:val="center"/>
              <w:rPr>
                <w:rFonts w:eastAsia="Times New Roman" w:cs="Times New Roman"/>
                <w:color w:val="17365D"/>
                <w:sz w:val="18"/>
                <w:szCs w:val="18"/>
                <w:lang w:eastAsia="lv-LV"/>
              </w:rPr>
            </w:pPr>
          </w:p>
        </w:tc>
      </w:tr>
    </w:tbl>
    <w:p w14:paraId="0D09D8D6" w14:textId="0F57018F" w:rsidR="00743E0E" w:rsidRPr="00A27896" w:rsidRDefault="00743E0E" w:rsidP="000229AE">
      <w:pPr>
        <w:pStyle w:val="Heading4"/>
        <w:rPr>
          <w:rFonts w:cs="Times New Roman"/>
        </w:rPr>
      </w:pPr>
      <w:r w:rsidRPr="00A27896">
        <w:rPr>
          <w:rFonts w:cs="Times New Roman"/>
        </w:rPr>
        <w:t xml:space="preserve">Piezīme </w:t>
      </w:r>
      <w:r w:rsidR="00AC754B" w:rsidRPr="00A27896">
        <w:rPr>
          <w:rFonts w:cs="Times New Roman"/>
        </w:rPr>
        <w:t xml:space="preserve">Nr. </w:t>
      </w:r>
      <w:r w:rsidRPr="00A27896">
        <w:rPr>
          <w:rFonts w:cs="Times New Roman"/>
        </w:rPr>
        <w:t xml:space="preserve">V8. Informācija par </w:t>
      </w:r>
      <w:r w:rsidR="00890698" w:rsidRPr="00A27896">
        <w:rPr>
          <w:rFonts w:cs="Times New Roman"/>
        </w:rPr>
        <w:t xml:space="preserve">radniecīgo un asociēto </w:t>
      </w:r>
      <w:r w:rsidRPr="00A27896">
        <w:rPr>
          <w:rFonts w:cs="Times New Roman"/>
        </w:rPr>
        <w:t>kapitālsabiedrību pārvaldību</w:t>
      </w:r>
    </w:p>
    <w:p w14:paraId="72472759" w14:textId="3733DFB8" w:rsidR="004A0420" w:rsidRPr="00A27896" w:rsidRDefault="0019458D" w:rsidP="002A2F6E">
      <w:pPr>
        <w:pStyle w:val="Pamatteksts1"/>
      </w:pPr>
      <w:r w:rsidRPr="00A27896">
        <w:t xml:space="preserve">Saskaņā ar </w:t>
      </w:r>
      <w:r w:rsidR="009373AF" w:rsidRPr="00A27896">
        <w:t>ministriju</w:t>
      </w:r>
      <w:r w:rsidRPr="00A27896">
        <w:t xml:space="preserve"> un pašvaldību sniegto informāciju </w:t>
      </w:r>
      <w:r w:rsidR="00934C2E" w:rsidRPr="00A27896">
        <w:t>nākamajos pārskata gados plānot</w:t>
      </w:r>
      <w:r w:rsidR="004A0420" w:rsidRPr="00A27896">
        <w:t>ais</w:t>
      </w:r>
      <w:r w:rsidR="00934C2E" w:rsidRPr="00A27896">
        <w:t xml:space="preserve"> </w:t>
      </w:r>
      <w:r w:rsidR="004A0420" w:rsidRPr="00A27896">
        <w:t xml:space="preserve">finansējums </w:t>
      </w:r>
      <w:r w:rsidR="00934C2E" w:rsidRPr="00A27896">
        <w:t>kapitālsabiedr</w:t>
      </w:r>
      <w:r w:rsidR="004A0420" w:rsidRPr="00A27896">
        <w:t xml:space="preserve">ībām ir apkopots </w:t>
      </w:r>
      <w:r w:rsidR="00D356BB">
        <w:t>1.</w:t>
      </w:r>
      <w:r w:rsidRPr="00A27896">
        <w:t>3</w:t>
      </w:r>
      <w:r w:rsidR="00F128AB">
        <w:t>1</w:t>
      </w:r>
      <w:r w:rsidRPr="00A27896">
        <w:t>.tabulā</w:t>
      </w:r>
      <w:r w:rsidR="004A0420" w:rsidRPr="00A27896">
        <w:t>:</w:t>
      </w:r>
      <w:r w:rsidRPr="00A27896">
        <w:t xml:space="preserve"> </w:t>
      </w:r>
    </w:p>
    <w:p w14:paraId="5AD5CB8B" w14:textId="5C1A54B5" w:rsidR="004A0420" w:rsidRPr="00A27896" w:rsidRDefault="00D356BB" w:rsidP="00324AC5">
      <w:pPr>
        <w:pStyle w:val="Tabnosauk"/>
      </w:pPr>
      <w:r w:rsidRPr="008B0BBF">
        <w:t>1.</w:t>
      </w:r>
      <w:r w:rsidR="004A0420" w:rsidRPr="008B0BBF">
        <w:t>3</w:t>
      </w:r>
      <w:r w:rsidR="00F128AB">
        <w:t>1</w:t>
      </w:r>
      <w:r w:rsidR="004A0420" w:rsidRPr="008B0BBF">
        <w:t>. tabula. Informācija par kapitālsabiedrību pārvaldību (euro)</w:t>
      </w:r>
    </w:p>
    <w:tbl>
      <w:tblPr>
        <w:tblW w:w="9356" w:type="dxa"/>
        <w:tblBorders>
          <w:insideH w:val="single" w:sz="4" w:space="0" w:color="17365D"/>
        </w:tblBorders>
        <w:tblLook w:val="04A0" w:firstRow="1" w:lastRow="0" w:firstColumn="1" w:lastColumn="0" w:noHBand="0" w:noVBand="1"/>
      </w:tblPr>
      <w:tblGrid>
        <w:gridCol w:w="3828"/>
        <w:gridCol w:w="2126"/>
        <w:gridCol w:w="1701"/>
        <w:gridCol w:w="1695"/>
        <w:gridCol w:w="6"/>
      </w:tblGrid>
      <w:tr w:rsidR="004A0420" w:rsidRPr="00A27896" w14:paraId="046410CA" w14:textId="77777777" w:rsidTr="009A4177">
        <w:trPr>
          <w:gridAfter w:val="1"/>
          <w:wAfter w:w="6" w:type="dxa"/>
          <w:trHeight w:val="329"/>
        </w:trPr>
        <w:tc>
          <w:tcPr>
            <w:tcW w:w="3828" w:type="dxa"/>
            <w:vMerge w:val="restart"/>
            <w:shd w:val="clear" w:color="000000" w:fill="B9CDE5"/>
            <w:vAlign w:val="center"/>
            <w:hideMark/>
          </w:tcPr>
          <w:p w14:paraId="56EE6B03"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Finansējuma veids</w:t>
            </w:r>
          </w:p>
        </w:tc>
        <w:tc>
          <w:tcPr>
            <w:tcW w:w="5522" w:type="dxa"/>
            <w:gridSpan w:val="3"/>
            <w:tcBorders>
              <w:top w:val="nil"/>
              <w:bottom w:val="single" w:sz="4" w:space="0" w:color="17365D"/>
            </w:tcBorders>
            <w:shd w:val="clear" w:color="000000" w:fill="B9CDE5"/>
            <w:vAlign w:val="center"/>
            <w:hideMark/>
          </w:tcPr>
          <w:p w14:paraId="138C31ED"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Apstiprinātais finansējums</w:t>
            </w:r>
          </w:p>
        </w:tc>
      </w:tr>
      <w:tr w:rsidR="008B0BBF" w:rsidRPr="00A27896" w14:paraId="6956BED8" w14:textId="77777777" w:rsidTr="009A4177">
        <w:trPr>
          <w:trHeight w:val="270"/>
        </w:trPr>
        <w:tc>
          <w:tcPr>
            <w:tcW w:w="3828" w:type="dxa"/>
            <w:vMerge/>
            <w:tcBorders>
              <w:bottom w:val="single" w:sz="4" w:space="0" w:color="17365D"/>
            </w:tcBorders>
            <w:vAlign w:val="center"/>
            <w:hideMark/>
          </w:tcPr>
          <w:p w14:paraId="0DE4D7FF" w14:textId="77777777" w:rsidR="008B0BBF" w:rsidRPr="00A27896" w:rsidRDefault="008B0BBF" w:rsidP="008B0BBF">
            <w:pPr>
              <w:spacing w:after="0" w:line="240" w:lineRule="auto"/>
              <w:rPr>
                <w:rFonts w:eastAsia="Times New Roman" w:cs="Times New Roman"/>
                <w:b/>
                <w:bCs/>
                <w:color w:val="17365D"/>
                <w:sz w:val="18"/>
                <w:szCs w:val="18"/>
                <w:lang w:eastAsia="lv-LV"/>
              </w:rPr>
            </w:pPr>
          </w:p>
        </w:tc>
        <w:tc>
          <w:tcPr>
            <w:tcW w:w="2126" w:type="dxa"/>
            <w:tcBorders>
              <w:bottom w:val="single" w:sz="4" w:space="0" w:color="17365D"/>
            </w:tcBorders>
            <w:shd w:val="clear" w:color="000000" w:fill="B9CDE5"/>
            <w:vAlign w:val="center"/>
            <w:hideMark/>
          </w:tcPr>
          <w:p w14:paraId="1F3F1779" w14:textId="1B39D82E"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5</w:t>
            </w:r>
          </w:p>
        </w:tc>
        <w:tc>
          <w:tcPr>
            <w:tcW w:w="1701" w:type="dxa"/>
            <w:tcBorders>
              <w:bottom w:val="single" w:sz="4" w:space="0" w:color="17365D"/>
            </w:tcBorders>
            <w:shd w:val="clear" w:color="000000" w:fill="B9CDE5"/>
            <w:vAlign w:val="center"/>
            <w:hideMark/>
          </w:tcPr>
          <w:p w14:paraId="52743B85" w14:textId="16E6F023"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6</w:t>
            </w:r>
          </w:p>
        </w:tc>
        <w:tc>
          <w:tcPr>
            <w:tcW w:w="1701" w:type="dxa"/>
            <w:gridSpan w:val="2"/>
            <w:tcBorders>
              <w:bottom w:val="single" w:sz="4" w:space="0" w:color="17365D"/>
            </w:tcBorders>
            <w:shd w:val="clear" w:color="000000" w:fill="B9CDE5"/>
            <w:vAlign w:val="center"/>
            <w:hideMark/>
          </w:tcPr>
          <w:p w14:paraId="501C50DB" w14:textId="28014134"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Pr>
                <w:rFonts w:eastAsia="Times New Roman" w:cs="Times New Roman"/>
                <w:b/>
                <w:bCs/>
                <w:color w:val="17365D"/>
                <w:sz w:val="18"/>
                <w:szCs w:val="18"/>
                <w:lang w:eastAsia="lv-LV"/>
              </w:rPr>
              <w:t>7</w:t>
            </w:r>
          </w:p>
        </w:tc>
      </w:tr>
      <w:tr w:rsidR="008B0BBF" w:rsidRPr="00A27896" w14:paraId="5BFA6034" w14:textId="77777777" w:rsidTr="009A4177">
        <w:trPr>
          <w:trHeight w:val="118"/>
        </w:trPr>
        <w:tc>
          <w:tcPr>
            <w:tcW w:w="3828" w:type="dxa"/>
            <w:tcBorders>
              <w:top w:val="single" w:sz="4" w:space="0" w:color="17365D"/>
              <w:bottom w:val="single" w:sz="4" w:space="0" w:color="17365D"/>
            </w:tcBorders>
            <w:shd w:val="clear" w:color="auto" w:fill="auto"/>
            <w:vAlign w:val="center"/>
            <w:hideMark/>
          </w:tcPr>
          <w:p w14:paraId="3FE443C7" w14:textId="77777777"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2126" w:type="dxa"/>
            <w:tcBorders>
              <w:top w:val="single" w:sz="4" w:space="0" w:color="17365D"/>
              <w:bottom w:val="single" w:sz="4" w:space="0" w:color="17365D"/>
            </w:tcBorders>
            <w:shd w:val="clear" w:color="auto" w:fill="auto"/>
            <w:vAlign w:val="center"/>
            <w:hideMark/>
          </w:tcPr>
          <w:p w14:paraId="330904EE" w14:textId="77777777"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701" w:type="dxa"/>
            <w:tcBorders>
              <w:top w:val="single" w:sz="4" w:space="0" w:color="17365D"/>
              <w:bottom w:val="single" w:sz="4" w:space="0" w:color="17365D"/>
            </w:tcBorders>
            <w:shd w:val="clear" w:color="auto" w:fill="auto"/>
            <w:vAlign w:val="center"/>
            <w:hideMark/>
          </w:tcPr>
          <w:p w14:paraId="7C0EFDEB" w14:textId="77777777"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701" w:type="dxa"/>
            <w:gridSpan w:val="2"/>
            <w:tcBorders>
              <w:top w:val="single" w:sz="4" w:space="0" w:color="17365D"/>
              <w:bottom w:val="single" w:sz="4" w:space="0" w:color="17365D"/>
            </w:tcBorders>
            <w:shd w:val="clear" w:color="auto" w:fill="auto"/>
            <w:vAlign w:val="center"/>
            <w:hideMark/>
          </w:tcPr>
          <w:p w14:paraId="663009F1" w14:textId="77777777" w:rsidR="008B0BBF" w:rsidRPr="00A27896" w:rsidRDefault="008B0BBF" w:rsidP="008B0BB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r>
      <w:tr w:rsidR="008B0BBF" w:rsidRPr="00A27896" w14:paraId="67483ADC" w14:textId="77777777" w:rsidTr="009A4177">
        <w:trPr>
          <w:trHeight w:val="346"/>
        </w:trPr>
        <w:tc>
          <w:tcPr>
            <w:tcW w:w="3828" w:type="dxa"/>
            <w:tcBorders>
              <w:top w:val="single" w:sz="4" w:space="0" w:color="17365D"/>
              <w:bottom w:val="single" w:sz="4" w:space="0" w:color="17365D"/>
            </w:tcBorders>
            <w:shd w:val="clear" w:color="auto" w:fill="auto"/>
            <w:vAlign w:val="center"/>
            <w:hideMark/>
          </w:tcPr>
          <w:p w14:paraId="2F499C2F" w14:textId="77777777" w:rsidR="008B0BBF" w:rsidRPr="00A27896" w:rsidRDefault="008B0BBF" w:rsidP="008B0BB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Aizņēmums</w:t>
            </w:r>
            <w:r w:rsidRPr="00A27896">
              <w:rPr>
                <w:rFonts w:cs="Times New Roman"/>
                <w:color w:val="17365D"/>
              </w:rPr>
              <w:t xml:space="preserve"> </w:t>
            </w:r>
            <w:r w:rsidRPr="00A27896">
              <w:rPr>
                <w:rFonts w:eastAsia="Times New Roman" w:cs="Times New Roman"/>
                <w:color w:val="17365D"/>
                <w:sz w:val="18"/>
                <w:szCs w:val="18"/>
                <w:lang w:eastAsia="lv-LV"/>
              </w:rPr>
              <w:t>no valsts budžeta vai komercbankām</w:t>
            </w:r>
          </w:p>
        </w:tc>
        <w:tc>
          <w:tcPr>
            <w:tcW w:w="2126" w:type="dxa"/>
            <w:tcBorders>
              <w:top w:val="single" w:sz="4" w:space="0" w:color="17365D"/>
              <w:bottom w:val="single" w:sz="4" w:space="0" w:color="17365D"/>
            </w:tcBorders>
            <w:shd w:val="clear" w:color="auto" w:fill="auto"/>
            <w:vAlign w:val="center"/>
            <w:hideMark/>
          </w:tcPr>
          <w:p w14:paraId="35F98321" w14:textId="046EDBE7" w:rsidR="008B0BBF" w:rsidRPr="00A27896" w:rsidRDefault="008B0BBF" w:rsidP="00F6796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859 905 928</w:t>
            </w:r>
          </w:p>
        </w:tc>
        <w:tc>
          <w:tcPr>
            <w:tcW w:w="1701" w:type="dxa"/>
            <w:tcBorders>
              <w:top w:val="single" w:sz="4" w:space="0" w:color="17365D"/>
              <w:bottom w:val="single" w:sz="4" w:space="0" w:color="17365D"/>
            </w:tcBorders>
            <w:shd w:val="clear" w:color="auto" w:fill="auto"/>
            <w:vAlign w:val="center"/>
            <w:hideMark/>
          </w:tcPr>
          <w:p w14:paraId="40284A7A" w14:textId="0A6CC646" w:rsidR="008B0BBF" w:rsidRPr="00A27896" w:rsidRDefault="008B0BBF" w:rsidP="00F6796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1 150 746 729</w:t>
            </w:r>
          </w:p>
        </w:tc>
        <w:tc>
          <w:tcPr>
            <w:tcW w:w="1701" w:type="dxa"/>
            <w:gridSpan w:val="2"/>
            <w:tcBorders>
              <w:top w:val="single" w:sz="4" w:space="0" w:color="17365D"/>
              <w:bottom w:val="single" w:sz="4" w:space="0" w:color="17365D"/>
            </w:tcBorders>
            <w:shd w:val="clear" w:color="auto" w:fill="auto"/>
            <w:vAlign w:val="center"/>
            <w:hideMark/>
          </w:tcPr>
          <w:p w14:paraId="64BDFAB7" w14:textId="6E2AD6EB" w:rsidR="008B0BBF" w:rsidRPr="00A27896" w:rsidRDefault="008B0BBF" w:rsidP="00F6796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1 838 280 183</w:t>
            </w:r>
          </w:p>
        </w:tc>
      </w:tr>
      <w:tr w:rsidR="008B0BBF" w:rsidRPr="00A27896" w14:paraId="26DC0CA9" w14:textId="77777777" w:rsidTr="009A4177">
        <w:trPr>
          <w:trHeight w:val="279"/>
        </w:trPr>
        <w:tc>
          <w:tcPr>
            <w:tcW w:w="3828" w:type="dxa"/>
            <w:tcBorders>
              <w:top w:val="single" w:sz="4" w:space="0" w:color="17365D"/>
              <w:bottom w:val="single" w:sz="4" w:space="0" w:color="17365D"/>
            </w:tcBorders>
            <w:shd w:val="clear" w:color="auto" w:fill="auto"/>
            <w:vAlign w:val="center"/>
            <w:hideMark/>
          </w:tcPr>
          <w:p w14:paraId="5906F7D7" w14:textId="77777777" w:rsidR="008B0BBF" w:rsidRPr="00A27896" w:rsidRDefault="008B0BBF" w:rsidP="008B0BB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Subsīdijas, dotācijas, ieguldījums kapitālā</w:t>
            </w:r>
          </w:p>
        </w:tc>
        <w:tc>
          <w:tcPr>
            <w:tcW w:w="2126" w:type="dxa"/>
            <w:tcBorders>
              <w:top w:val="single" w:sz="4" w:space="0" w:color="17365D"/>
              <w:bottom w:val="single" w:sz="4" w:space="0" w:color="17365D"/>
            </w:tcBorders>
            <w:shd w:val="clear" w:color="auto" w:fill="auto"/>
            <w:vAlign w:val="center"/>
            <w:hideMark/>
          </w:tcPr>
          <w:p w14:paraId="7B5EDED9" w14:textId="7CAD695E" w:rsidR="008B0BBF" w:rsidRPr="00A27896" w:rsidRDefault="008B0BBF" w:rsidP="00F6796F">
            <w:pPr>
              <w:spacing w:after="0" w:line="240" w:lineRule="auto"/>
              <w:jc w:val="right"/>
              <w:rPr>
                <w:rFonts w:eastAsia="Times New Roman" w:cs="Times New Roman"/>
                <w:color w:val="17365D"/>
                <w:sz w:val="18"/>
                <w:szCs w:val="18"/>
                <w:lang w:eastAsia="lv-LV"/>
              </w:rPr>
            </w:pPr>
            <w:r w:rsidRPr="002A7A87">
              <w:rPr>
                <w:rFonts w:eastAsia="Times New Roman" w:cs="Times New Roman"/>
                <w:color w:val="17365D"/>
                <w:sz w:val="18"/>
                <w:szCs w:val="18"/>
                <w:lang w:eastAsia="lv-LV"/>
              </w:rPr>
              <w:t>1 31</w:t>
            </w:r>
            <w:r>
              <w:rPr>
                <w:rFonts w:eastAsia="Times New Roman" w:cs="Times New Roman"/>
                <w:color w:val="17365D"/>
                <w:sz w:val="18"/>
                <w:szCs w:val="18"/>
                <w:lang w:eastAsia="lv-LV"/>
              </w:rPr>
              <w:t>5 035 430</w:t>
            </w:r>
          </w:p>
        </w:tc>
        <w:tc>
          <w:tcPr>
            <w:tcW w:w="1701" w:type="dxa"/>
            <w:tcBorders>
              <w:top w:val="single" w:sz="4" w:space="0" w:color="17365D"/>
              <w:bottom w:val="single" w:sz="4" w:space="0" w:color="17365D"/>
            </w:tcBorders>
            <w:shd w:val="clear" w:color="auto" w:fill="auto"/>
            <w:vAlign w:val="center"/>
            <w:hideMark/>
          </w:tcPr>
          <w:p w14:paraId="019832AE" w14:textId="29A6C22F" w:rsidR="008B0BBF" w:rsidRPr="00A27896" w:rsidRDefault="008B0BBF" w:rsidP="00F6796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541 727 128</w:t>
            </w:r>
          </w:p>
        </w:tc>
        <w:tc>
          <w:tcPr>
            <w:tcW w:w="1701" w:type="dxa"/>
            <w:gridSpan w:val="2"/>
            <w:tcBorders>
              <w:top w:val="single" w:sz="4" w:space="0" w:color="17365D"/>
              <w:bottom w:val="single" w:sz="4" w:space="0" w:color="17365D"/>
            </w:tcBorders>
            <w:shd w:val="clear" w:color="auto" w:fill="auto"/>
            <w:vAlign w:val="center"/>
            <w:hideMark/>
          </w:tcPr>
          <w:p w14:paraId="46DCFCD3" w14:textId="5C2DEE86" w:rsidR="008B0BBF" w:rsidRPr="00A27896" w:rsidRDefault="008B0BBF" w:rsidP="00F6796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516 101 183</w:t>
            </w:r>
          </w:p>
        </w:tc>
      </w:tr>
      <w:tr w:rsidR="008B0BBF" w:rsidRPr="00A27896" w14:paraId="012ED6ED" w14:textId="77777777" w:rsidTr="009A4177">
        <w:trPr>
          <w:trHeight w:val="255"/>
        </w:trPr>
        <w:tc>
          <w:tcPr>
            <w:tcW w:w="3828" w:type="dxa"/>
            <w:tcBorders>
              <w:top w:val="single" w:sz="4" w:space="0" w:color="17365D"/>
            </w:tcBorders>
            <w:shd w:val="clear" w:color="000000" w:fill="B9CDE5"/>
            <w:vAlign w:val="center"/>
            <w:hideMark/>
          </w:tcPr>
          <w:p w14:paraId="255FA613" w14:textId="77777777" w:rsidR="008B0BBF" w:rsidRPr="00A27896" w:rsidRDefault="008B0BBF" w:rsidP="008B0BBF">
            <w:pPr>
              <w:spacing w:after="0" w:line="240" w:lineRule="auto"/>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c>
          <w:tcPr>
            <w:tcW w:w="2126" w:type="dxa"/>
            <w:tcBorders>
              <w:top w:val="single" w:sz="4" w:space="0" w:color="17365D"/>
            </w:tcBorders>
            <w:shd w:val="clear" w:color="000000" w:fill="B9CDE5"/>
            <w:vAlign w:val="center"/>
            <w:hideMark/>
          </w:tcPr>
          <w:p w14:paraId="6172E5FE" w14:textId="793EEA07" w:rsidR="008B0BBF" w:rsidRPr="00A27896" w:rsidRDefault="008B0BBF" w:rsidP="008B0BBF">
            <w:pPr>
              <w:spacing w:after="0" w:line="240" w:lineRule="auto"/>
              <w:jc w:val="right"/>
              <w:rPr>
                <w:rFonts w:cs="Times New Roman"/>
                <w:b/>
                <w:bCs/>
                <w:color w:val="17365D"/>
                <w:sz w:val="18"/>
                <w:szCs w:val="18"/>
              </w:rPr>
            </w:pPr>
            <w:r w:rsidRPr="002A7A87">
              <w:rPr>
                <w:rFonts w:cs="Times New Roman"/>
                <w:b/>
                <w:bCs/>
                <w:color w:val="17365D"/>
                <w:sz w:val="18"/>
                <w:szCs w:val="18"/>
              </w:rPr>
              <w:t xml:space="preserve">2 </w:t>
            </w:r>
            <w:r>
              <w:rPr>
                <w:rFonts w:cs="Times New Roman"/>
                <w:b/>
                <w:bCs/>
                <w:color w:val="17365D"/>
                <w:sz w:val="18"/>
                <w:szCs w:val="18"/>
              </w:rPr>
              <w:t>174</w:t>
            </w:r>
            <w:r w:rsidRPr="002A7A87">
              <w:rPr>
                <w:rFonts w:cs="Times New Roman"/>
                <w:b/>
                <w:bCs/>
                <w:color w:val="17365D"/>
                <w:sz w:val="18"/>
                <w:szCs w:val="18"/>
              </w:rPr>
              <w:t xml:space="preserve"> </w:t>
            </w:r>
            <w:r>
              <w:rPr>
                <w:rFonts w:cs="Times New Roman"/>
                <w:b/>
                <w:bCs/>
                <w:color w:val="17365D"/>
                <w:sz w:val="18"/>
                <w:szCs w:val="18"/>
              </w:rPr>
              <w:t>941</w:t>
            </w:r>
            <w:r w:rsidRPr="002A7A87">
              <w:rPr>
                <w:rFonts w:cs="Times New Roman"/>
                <w:b/>
                <w:bCs/>
                <w:color w:val="17365D"/>
                <w:sz w:val="18"/>
                <w:szCs w:val="18"/>
              </w:rPr>
              <w:t xml:space="preserve"> </w:t>
            </w:r>
            <w:r>
              <w:rPr>
                <w:rFonts w:cs="Times New Roman"/>
                <w:b/>
                <w:bCs/>
                <w:color w:val="17365D"/>
                <w:sz w:val="18"/>
                <w:szCs w:val="18"/>
              </w:rPr>
              <w:t>358</w:t>
            </w:r>
          </w:p>
        </w:tc>
        <w:tc>
          <w:tcPr>
            <w:tcW w:w="1701" w:type="dxa"/>
            <w:tcBorders>
              <w:top w:val="single" w:sz="4" w:space="0" w:color="17365D"/>
            </w:tcBorders>
            <w:shd w:val="clear" w:color="000000" w:fill="B9CDE5"/>
            <w:vAlign w:val="center"/>
            <w:hideMark/>
          </w:tcPr>
          <w:p w14:paraId="0FEE18DE" w14:textId="65C1560E" w:rsidR="008B0BBF" w:rsidRPr="008B0BBF" w:rsidRDefault="008B0BBF" w:rsidP="008B0BBF">
            <w:pPr>
              <w:spacing w:after="0" w:line="240" w:lineRule="auto"/>
              <w:jc w:val="right"/>
              <w:rPr>
                <w:rFonts w:cs="Times New Roman"/>
                <w:b/>
                <w:bCs/>
                <w:color w:val="17365D"/>
                <w:sz w:val="18"/>
                <w:szCs w:val="18"/>
              </w:rPr>
            </w:pPr>
            <w:r>
              <w:rPr>
                <w:rFonts w:cs="Times New Roman"/>
                <w:b/>
                <w:bCs/>
                <w:color w:val="17365D"/>
                <w:sz w:val="18"/>
                <w:szCs w:val="18"/>
              </w:rPr>
              <w:t>1 692</w:t>
            </w:r>
            <w:r w:rsidRPr="008B0BBF">
              <w:rPr>
                <w:rFonts w:cs="Times New Roman"/>
                <w:b/>
                <w:bCs/>
                <w:color w:val="17365D"/>
                <w:sz w:val="18"/>
                <w:szCs w:val="18"/>
              </w:rPr>
              <w:t> 473 857</w:t>
            </w:r>
          </w:p>
        </w:tc>
        <w:tc>
          <w:tcPr>
            <w:tcW w:w="1701" w:type="dxa"/>
            <w:gridSpan w:val="2"/>
            <w:tcBorders>
              <w:top w:val="single" w:sz="4" w:space="0" w:color="17365D"/>
            </w:tcBorders>
            <w:shd w:val="clear" w:color="000000" w:fill="B9CDE5"/>
            <w:vAlign w:val="center"/>
            <w:hideMark/>
          </w:tcPr>
          <w:p w14:paraId="3C3CBD16" w14:textId="105AAB88" w:rsidR="008B0BBF" w:rsidRPr="00A27896" w:rsidRDefault="008B0BBF" w:rsidP="008B0BBF">
            <w:pPr>
              <w:spacing w:after="0" w:line="240" w:lineRule="auto"/>
              <w:jc w:val="right"/>
              <w:rPr>
                <w:rFonts w:cs="Times New Roman"/>
                <w:b/>
                <w:bCs/>
                <w:color w:val="17365D"/>
                <w:sz w:val="18"/>
                <w:szCs w:val="18"/>
              </w:rPr>
            </w:pPr>
            <w:r>
              <w:rPr>
                <w:rFonts w:cs="Times New Roman"/>
                <w:b/>
                <w:bCs/>
                <w:color w:val="17365D"/>
                <w:sz w:val="18"/>
                <w:szCs w:val="18"/>
              </w:rPr>
              <w:t>2 354 381 366</w:t>
            </w:r>
          </w:p>
        </w:tc>
      </w:tr>
    </w:tbl>
    <w:p w14:paraId="7CF80515" w14:textId="77777777" w:rsidR="004A0420" w:rsidRPr="00A27896" w:rsidRDefault="004A0420" w:rsidP="00F53AD9">
      <w:pPr>
        <w:pStyle w:val="Pamatteksts1"/>
      </w:pPr>
    </w:p>
    <w:p w14:paraId="2FFF62C2" w14:textId="43A64D4E" w:rsidR="0019458D" w:rsidRPr="00A917A4" w:rsidRDefault="004A0420" w:rsidP="002A2F6E">
      <w:pPr>
        <w:pStyle w:val="Pamatteksts1"/>
      </w:pPr>
      <w:r w:rsidRPr="00A917A4">
        <w:t>L</w:t>
      </w:r>
      <w:r w:rsidR="0019458D" w:rsidRPr="00A917A4">
        <w:t>ielākie aizņēmumi nākamajā gadā plānoti:</w:t>
      </w:r>
    </w:p>
    <w:p w14:paraId="0BD4DC1E" w14:textId="4A718404" w:rsidR="0019458D" w:rsidRPr="00A917A4" w:rsidRDefault="0019458D" w:rsidP="002A2F6E">
      <w:pPr>
        <w:pStyle w:val="Bullets"/>
      </w:pPr>
      <w:r w:rsidRPr="00A917A4">
        <w:t xml:space="preserve">AS “Latvenergo” </w:t>
      </w:r>
      <w:r w:rsidR="00A917A4" w:rsidRPr="00A917A4">
        <w:t xml:space="preserve">722,7 milj. </w:t>
      </w:r>
      <w:r w:rsidR="002A7A87" w:rsidRPr="00A917A4">
        <w:t xml:space="preserve"> </w:t>
      </w:r>
      <w:r w:rsidRPr="00A917A4">
        <w:rPr>
          <w:i/>
        </w:rPr>
        <w:t>euro</w:t>
      </w:r>
      <w:r w:rsidRPr="00A917A4">
        <w:t xml:space="preserve"> vērtībā investīciju projektu realizēšanai;</w:t>
      </w:r>
    </w:p>
    <w:p w14:paraId="7D8E0EA4" w14:textId="4B2C9F0A" w:rsidR="0021162E" w:rsidRPr="00A917A4" w:rsidRDefault="0021162E" w:rsidP="002A2F6E">
      <w:pPr>
        <w:pStyle w:val="Bullets"/>
      </w:pPr>
      <w:r w:rsidRPr="00A917A4">
        <w:t xml:space="preserve">SIA “Rīgas ūdens” </w:t>
      </w:r>
      <w:r w:rsidR="00A917A4" w:rsidRPr="00A917A4">
        <w:t>35,0 milj.</w:t>
      </w:r>
      <w:r w:rsidR="002A7A87" w:rsidRPr="00A917A4">
        <w:t xml:space="preserve"> </w:t>
      </w:r>
      <w:r w:rsidRPr="00A917A4">
        <w:rPr>
          <w:i/>
        </w:rPr>
        <w:t xml:space="preserve">euro </w:t>
      </w:r>
      <w:r w:rsidRPr="00A917A4">
        <w:t>vērtībā ūdenssaimniecības infrastruktūras investīciju projektu finansēšanai;</w:t>
      </w:r>
    </w:p>
    <w:p w14:paraId="2ADC5576" w14:textId="1017E342" w:rsidR="009951EA" w:rsidRPr="00A917A4" w:rsidRDefault="009951EA" w:rsidP="002A2F6E">
      <w:pPr>
        <w:pStyle w:val="Bullets"/>
      </w:pPr>
      <w:r w:rsidRPr="00A917A4">
        <w:t>AS “</w:t>
      </w:r>
      <w:r w:rsidR="002A7A87" w:rsidRPr="00A917A4">
        <w:t>Rīgas Siltums</w:t>
      </w:r>
      <w:r w:rsidRPr="00A917A4">
        <w:t xml:space="preserve">” </w:t>
      </w:r>
      <w:r w:rsidR="00A917A4" w:rsidRPr="00A917A4">
        <w:t>41,7 milj.</w:t>
      </w:r>
      <w:r w:rsidR="0021162E" w:rsidRPr="00A917A4">
        <w:t xml:space="preserve"> </w:t>
      </w:r>
      <w:r w:rsidRPr="00A917A4">
        <w:rPr>
          <w:i/>
        </w:rPr>
        <w:t>euro</w:t>
      </w:r>
      <w:r w:rsidRPr="00A917A4">
        <w:t xml:space="preserve"> </w:t>
      </w:r>
      <w:r w:rsidR="00572E7A" w:rsidRPr="00A917A4">
        <w:t xml:space="preserve">vērtībā </w:t>
      </w:r>
      <w:r w:rsidR="002A7A87" w:rsidRPr="00A917A4">
        <w:t>remontdarbu finansēšanai un refinansēšanai</w:t>
      </w:r>
      <w:r w:rsidR="007F5DFA" w:rsidRPr="00A917A4">
        <w:t>.</w:t>
      </w:r>
    </w:p>
    <w:p w14:paraId="13670E22" w14:textId="418321C7" w:rsidR="0019458D" w:rsidRPr="00CD0AE3" w:rsidRDefault="0019458D" w:rsidP="002A2F6E">
      <w:pPr>
        <w:pStyle w:val="Pamatteksts1"/>
      </w:pPr>
      <w:r w:rsidRPr="00CD0AE3">
        <w:t>Lielākais finansējums subsīdiju, dotāciju un ieguldījumu veidā nākam</w:t>
      </w:r>
      <w:r w:rsidR="00572E7A" w:rsidRPr="00CD0AE3">
        <w:t>a</w:t>
      </w:r>
      <w:r w:rsidRPr="00CD0AE3">
        <w:t>jā gadā plānots:</w:t>
      </w:r>
    </w:p>
    <w:p w14:paraId="5718C727" w14:textId="63BBDCFE" w:rsidR="00CC6120" w:rsidRPr="00CD0AE3" w:rsidRDefault="00CC6120" w:rsidP="002A2F6E">
      <w:pPr>
        <w:pStyle w:val="Bullets"/>
      </w:pPr>
      <w:r w:rsidRPr="00CD0AE3">
        <w:t xml:space="preserve">VAS “Latvijas Valsts ceļi” </w:t>
      </w:r>
      <w:r w:rsidR="00A917A4" w:rsidRPr="00CD0AE3">
        <w:t>249,5 milj.</w:t>
      </w:r>
      <w:r w:rsidR="002A7A87" w:rsidRPr="00CD0AE3">
        <w:t xml:space="preserve"> </w:t>
      </w:r>
      <w:r w:rsidRPr="00CD0AE3">
        <w:rPr>
          <w:i/>
        </w:rPr>
        <w:t>euro</w:t>
      </w:r>
      <w:r w:rsidRPr="00CD0AE3">
        <w:t xml:space="preserve"> vērtībā valsts autoceļu uzturēšanai un atjaunošanai;</w:t>
      </w:r>
    </w:p>
    <w:p w14:paraId="2FCD1CCC" w14:textId="48BEDC8C" w:rsidR="00B15D69" w:rsidRPr="00CD0AE3" w:rsidRDefault="00B15D69" w:rsidP="002A2F6E">
      <w:pPr>
        <w:pStyle w:val="Bullets"/>
      </w:pPr>
      <w:r w:rsidRPr="00CD0AE3">
        <w:t xml:space="preserve">SIA “Rīgas Austrumu klīniskā universitātes slimnīca” </w:t>
      </w:r>
      <w:r w:rsidR="00A917A4" w:rsidRPr="00CD0AE3">
        <w:t>195,4 milj.</w:t>
      </w:r>
      <w:r w:rsidR="002A7A87" w:rsidRPr="00CD0AE3">
        <w:t xml:space="preserve"> </w:t>
      </w:r>
      <w:r w:rsidRPr="00CD0AE3">
        <w:rPr>
          <w:i/>
        </w:rPr>
        <w:t>euro</w:t>
      </w:r>
      <w:r w:rsidRPr="00CD0AE3">
        <w:t xml:space="preserve"> vērtībā stacionārai un ambulatorai </w:t>
      </w:r>
      <w:r w:rsidR="002A7A87" w:rsidRPr="00CD0AE3">
        <w:t>p</w:t>
      </w:r>
      <w:r w:rsidRPr="00CD0AE3">
        <w:t>alīdzībai</w:t>
      </w:r>
      <w:r w:rsidR="007F5DFA" w:rsidRPr="00CD0AE3">
        <w:t xml:space="preserve"> un citiem pakalpojumiem</w:t>
      </w:r>
      <w:r w:rsidRPr="00CD0AE3">
        <w:t>;</w:t>
      </w:r>
    </w:p>
    <w:p w14:paraId="4B77A95B" w14:textId="7FAC9C35" w:rsidR="00CC6120" w:rsidRPr="00CD0AE3" w:rsidRDefault="007F5DFA" w:rsidP="002A2F6E">
      <w:pPr>
        <w:pStyle w:val="Bullets"/>
      </w:pPr>
      <w:r w:rsidRPr="00CD0AE3">
        <w:t xml:space="preserve">Rīgas pašvaldības SIA “Rīgas satiksme” </w:t>
      </w:r>
      <w:r w:rsidR="00CD0AE3" w:rsidRPr="00CD0AE3">
        <w:t>156,2 milj.</w:t>
      </w:r>
      <w:r w:rsidR="002A7A87" w:rsidRPr="00CD0AE3">
        <w:t xml:space="preserve"> </w:t>
      </w:r>
      <w:r w:rsidRPr="00CD0AE3">
        <w:rPr>
          <w:i/>
        </w:rPr>
        <w:t>euro</w:t>
      </w:r>
      <w:r w:rsidRPr="00CD0AE3">
        <w:t xml:space="preserve"> vērtībā sabiedriskā transporta pakalpojumu sniegšanai Rīgas pilsētas sabiedriskā transporta maršrutu tīklā;</w:t>
      </w:r>
    </w:p>
    <w:p w14:paraId="3CAF5262" w14:textId="148DE1F6" w:rsidR="0019458D" w:rsidRPr="00CD0AE3" w:rsidRDefault="00CC6120" w:rsidP="002A2F6E">
      <w:pPr>
        <w:pStyle w:val="Bullets"/>
      </w:pPr>
      <w:r w:rsidRPr="00CD0AE3">
        <w:t xml:space="preserve">VSIA “Paula Stradiņa klīniskā universitātes slimnīca” </w:t>
      </w:r>
      <w:r w:rsidR="00A917A4" w:rsidRPr="00CD0AE3">
        <w:t>163,2 milj.</w:t>
      </w:r>
      <w:r w:rsidR="002A7A87" w:rsidRPr="00CD0AE3">
        <w:t xml:space="preserve"> </w:t>
      </w:r>
      <w:r w:rsidRPr="00CD0AE3">
        <w:rPr>
          <w:i/>
        </w:rPr>
        <w:t xml:space="preserve">euro </w:t>
      </w:r>
      <w:r w:rsidRPr="00CD0AE3">
        <w:t>vērtībā stacionārai un ambulatorai palīdzībai</w:t>
      </w:r>
      <w:r w:rsidR="007F5DFA" w:rsidRPr="00CD0AE3">
        <w:t xml:space="preserve"> un citiem pakalpojumiem</w:t>
      </w:r>
      <w:r w:rsidRPr="00CD0AE3">
        <w:t>.</w:t>
      </w:r>
    </w:p>
    <w:p w14:paraId="73EDBF87" w14:textId="2B5CB9FF" w:rsidR="0019458D" w:rsidRPr="00A27896" w:rsidRDefault="0019458D" w:rsidP="008F6207">
      <w:pPr>
        <w:pStyle w:val="Heading4"/>
        <w:spacing w:line="240" w:lineRule="auto"/>
        <w:ind w:left="0"/>
        <w:rPr>
          <w:rFonts w:cs="Times New Roman"/>
        </w:rPr>
      </w:pPr>
      <w:r w:rsidRPr="00A27896">
        <w:rPr>
          <w:rFonts w:cs="Times New Roman"/>
        </w:rPr>
        <w:lastRenderedPageBreak/>
        <w:t>Piezīme Nr. V9. Informācija par finanšu instrumentiem</w:t>
      </w:r>
    </w:p>
    <w:p w14:paraId="2FBCF433" w14:textId="2EC3797D" w:rsidR="00AC754B" w:rsidRPr="00A27896" w:rsidRDefault="00AC754B" w:rsidP="000D2C39">
      <w:pPr>
        <w:pStyle w:val="Heading5"/>
      </w:pPr>
      <w:r w:rsidRPr="00A27896">
        <w:t>Piezīme Nr. V9. Informācija par finanšu aktīvu un finanšu saistību sadalījumu pa finanšu instrumentu kategorijām un instrumentiem un cita informācija</w:t>
      </w:r>
    </w:p>
    <w:p w14:paraId="3A922D71" w14:textId="419D9417" w:rsidR="005861EC" w:rsidRPr="00A27896" w:rsidRDefault="005861EC" w:rsidP="002A2F6E">
      <w:pPr>
        <w:pStyle w:val="Pamatteksts1"/>
      </w:pPr>
      <w:r w:rsidRPr="00A27896">
        <w:t>Informācija par ministriju, centrālo valsts iestāžu, pašvaldību un valsts</w:t>
      </w:r>
      <w:r w:rsidR="00BA279A" w:rsidRPr="00A27896">
        <w:t xml:space="preserve"> budžeta finanšu uzskaitē atzītiem</w:t>
      </w:r>
      <w:r w:rsidRPr="00A27896">
        <w:t xml:space="preserve"> </w:t>
      </w:r>
      <w:r w:rsidR="00BA279A" w:rsidRPr="00A27896">
        <w:t>finanšu aktīviem un finanšu saistībām sniegta</w:t>
      </w:r>
      <w:r w:rsidRPr="00A27896">
        <w:t xml:space="preserve"> </w:t>
      </w:r>
      <w:r w:rsidR="00D356BB">
        <w:t>1.</w:t>
      </w:r>
      <w:r w:rsidRPr="00A27896">
        <w:t>3</w:t>
      </w:r>
      <w:r w:rsidR="00F128AB">
        <w:t>2</w:t>
      </w:r>
      <w:r w:rsidRPr="00A27896">
        <w:t xml:space="preserve">.tabulā </w:t>
      </w:r>
      <w:r w:rsidR="00BA279A" w:rsidRPr="00A27896">
        <w:t>sadalījumā</w:t>
      </w:r>
      <w:r w:rsidRPr="00A27896">
        <w:t xml:space="preserve"> pa:</w:t>
      </w:r>
    </w:p>
    <w:p w14:paraId="14E62D48" w14:textId="77777777" w:rsidR="005861EC" w:rsidRPr="00A27896" w:rsidRDefault="005861EC" w:rsidP="002A2F6E">
      <w:pPr>
        <w:pStyle w:val="Bullets"/>
      </w:pPr>
      <w:r w:rsidRPr="00A27896">
        <w:t>finanšu instrumentu kategorijām;</w:t>
      </w:r>
    </w:p>
    <w:p w14:paraId="5D63E5D7" w14:textId="308C4EFC" w:rsidR="005861EC" w:rsidRPr="00A27896" w:rsidRDefault="005861EC" w:rsidP="002A2F6E">
      <w:pPr>
        <w:pStyle w:val="Bullets"/>
      </w:pPr>
      <w:r w:rsidRPr="00A27896">
        <w:t>finanšu instrumentiem.</w:t>
      </w:r>
      <w:r w:rsidRPr="00A27896" w:rsidDel="00B339DF">
        <w:t xml:space="preserve"> </w:t>
      </w:r>
    </w:p>
    <w:p w14:paraId="20BB41CB" w14:textId="602DCE18" w:rsidR="00EA0031" w:rsidRDefault="005861EC" w:rsidP="002A2F6E">
      <w:pPr>
        <w:pStyle w:val="Pamatteksts1"/>
        <w:rPr>
          <w:i/>
        </w:rPr>
      </w:pPr>
      <w:r w:rsidRPr="00A27896">
        <w:t xml:space="preserve">Informācija </w:t>
      </w:r>
      <w:r w:rsidR="00BA279A" w:rsidRPr="00A27896">
        <w:t>piezīmē</w:t>
      </w:r>
      <w:r w:rsidRPr="00A27896">
        <w:t xml:space="preserve"> konsolidēta par </w:t>
      </w:r>
      <w:r w:rsidR="00DB637B" w:rsidRPr="00A27896">
        <w:t xml:space="preserve">savstarpējiem valsts budžeta </w:t>
      </w:r>
      <w:r w:rsidR="00D356BB">
        <w:t>finanšu uzskaites</w:t>
      </w:r>
      <w:r w:rsidR="00DB637B" w:rsidRPr="00A27896">
        <w:t xml:space="preserve"> un </w:t>
      </w:r>
      <w:r w:rsidR="00706C04">
        <w:t>valsts</w:t>
      </w:r>
      <w:r w:rsidR="00DB637B" w:rsidRPr="00A27896">
        <w:t xml:space="preserve"> un pašvaldību </w:t>
      </w:r>
      <w:r w:rsidR="00706C04">
        <w:t xml:space="preserve">budžeta iestāžu aktīvu un saistību </w:t>
      </w:r>
      <w:r w:rsidRPr="00A27896">
        <w:t>atlikumiem.</w:t>
      </w:r>
    </w:p>
    <w:p w14:paraId="0D599445" w14:textId="5547107E" w:rsidR="00185E10" w:rsidRPr="00FC3BE5" w:rsidRDefault="00D356BB" w:rsidP="0019458D">
      <w:pPr>
        <w:pStyle w:val="Tabulasnosaukums1"/>
        <w:spacing w:before="120" w:line="240" w:lineRule="auto"/>
        <w:rPr>
          <w:rFonts w:cs="Times New Roman"/>
          <w:i/>
          <w:color w:val="17365D"/>
          <w:szCs w:val="22"/>
        </w:rPr>
      </w:pPr>
      <w:r w:rsidRPr="00FC3BE5">
        <w:rPr>
          <w:rFonts w:cs="Times New Roman"/>
          <w:i/>
          <w:color w:val="17365D"/>
          <w:szCs w:val="22"/>
        </w:rPr>
        <w:t>1.</w:t>
      </w:r>
      <w:r w:rsidR="00185E10" w:rsidRPr="00FC3BE5">
        <w:rPr>
          <w:rFonts w:cs="Times New Roman"/>
          <w:i/>
          <w:color w:val="17365D"/>
          <w:szCs w:val="22"/>
        </w:rPr>
        <w:t>3</w:t>
      </w:r>
      <w:r w:rsidR="00F128AB">
        <w:rPr>
          <w:rFonts w:cs="Times New Roman"/>
          <w:i/>
          <w:color w:val="17365D"/>
          <w:szCs w:val="22"/>
        </w:rPr>
        <w:t>2</w:t>
      </w:r>
      <w:r w:rsidR="00185E10" w:rsidRPr="00FC3BE5">
        <w:rPr>
          <w:rFonts w:cs="Times New Roman"/>
          <w:i/>
          <w:color w:val="17365D"/>
          <w:szCs w:val="22"/>
        </w:rPr>
        <w:t>. tabula</w:t>
      </w:r>
      <w:r w:rsidR="003877C0" w:rsidRPr="00FC3BE5">
        <w:rPr>
          <w:rFonts w:cs="Times New Roman"/>
          <w:i/>
          <w:color w:val="17365D"/>
          <w:szCs w:val="22"/>
        </w:rPr>
        <w:t>.</w:t>
      </w:r>
      <w:r w:rsidR="00185E10" w:rsidRPr="00FC3BE5">
        <w:rPr>
          <w:rFonts w:cs="Times New Roman"/>
          <w:i/>
          <w:color w:val="17365D"/>
          <w:szCs w:val="22"/>
        </w:rPr>
        <w:t xml:space="preserve"> Informācija par finanšu aktīvu un finanšu saistību sadalījumu</w:t>
      </w:r>
    </w:p>
    <w:p w14:paraId="5CD44065" w14:textId="7837BCF9" w:rsidR="00185E10" w:rsidRPr="00A27896" w:rsidRDefault="00185E10" w:rsidP="00185E10">
      <w:pPr>
        <w:pStyle w:val="Tabulasnosaukums1"/>
        <w:spacing w:before="0" w:line="240" w:lineRule="auto"/>
        <w:rPr>
          <w:rFonts w:cs="Times New Roman"/>
          <w:i/>
          <w:color w:val="17365D"/>
          <w:szCs w:val="22"/>
        </w:rPr>
      </w:pPr>
      <w:r w:rsidRPr="00FC3BE5">
        <w:rPr>
          <w:rFonts w:cs="Times New Roman"/>
          <w:i/>
          <w:color w:val="17365D"/>
          <w:szCs w:val="22"/>
        </w:rPr>
        <w:t xml:space="preserve"> pa finanšu instrumentu kategorijām un instrumentiem un cita informācija (euro)</w:t>
      </w:r>
    </w:p>
    <w:tbl>
      <w:tblPr>
        <w:tblW w:w="9389" w:type="dxa"/>
        <w:tblBorders>
          <w:insideH w:val="single" w:sz="4" w:space="0" w:color="17365D"/>
        </w:tblBorders>
        <w:tblLook w:val="04A0" w:firstRow="1" w:lastRow="0" w:firstColumn="1" w:lastColumn="0" w:noHBand="0" w:noVBand="1"/>
      </w:tblPr>
      <w:tblGrid>
        <w:gridCol w:w="2520"/>
        <w:gridCol w:w="3434"/>
        <w:gridCol w:w="1526"/>
        <w:gridCol w:w="175"/>
        <w:gridCol w:w="1734"/>
      </w:tblGrid>
      <w:tr w:rsidR="000C1009" w:rsidRPr="00A27896" w14:paraId="307B55CC" w14:textId="77777777" w:rsidTr="009A4177">
        <w:trPr>
          <w:trHeight w:val="717"/>
          <w:tblHeader/>
        </w:trPr>
        <w:tc>
          <w:tcPr>
            <w:tcW w:w="5954" w:type="dxa"/>
            <w:gridSpan w:val="2"/>
            <w:tcBorders>
              <w:bottom w:val="single" w:sz="4" w:space="0" w:color="17365D"/>
            </w:tcBorders>
            <w:shd w:val="clear" w:color="000000" w:fill="B9CDE5"/>
            <w:vAlign w:val="center"/>
            <w:hideMark/>
          </w:tcPr>
          <w:p w14:paraId="3EA10657"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Finanšu instrumentu kategorijas</w:t>
            </w:r>
          </w:p>
          <w:p w14:paraId="427CFAE4"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 un finanšu instrumenta nosaukums</w:t>
            </w:r>
          </w:p>
        </w:tc>
        <w:tc>
          <w:tcPr>
            <w:tcW w:w="1701" w:type="dxa"/>
            <w:gridSpan w:val="2"/>
            <w:tcBorders>
              <w:bottom w:val="single" w:sz="4" w:space="0" w:color="17365D"/>
            </w:tcBorders>
            <w:shd w:val="clear" w:color="000000" w:fill="B9CDE5"/>
            <w:vAlign w:val="center"/>
            <w:hideMark/>
          </w:tcPr>
          <w:p w14:paraId="4FB1DB03"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734" w:type="dxa"/>
            <w:tcBorders>
              <w:bottom w:val="single" w:sz="4" w:space="0" w:color="17365D"/>
            </w:tcBorders>
            <w:shd w:val="clear" w:color="000000" w:fill="B9CDE5"/>
            <w:vAlign w:val="center"/>
            <w:hideMark/>
          </w:tcPr>
          <w:p w14:paraId="752BE84A"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2372C82F" w14:textId="77777777" w:rsidTr="009A4177">
        <w:trPr>
          <w:trHeight w:val="204"/>
          <w:tblHeader/>
        </w:trPr>
        <w:tc>
          <w:tcPr>
            <w:tcW w:w="5954" w:type="dxa"/>
            <w:gridSpan w:val="2"/>
            <w:tcBorders>
              <w:top w:val="single" w:sz="4" w:space="0" w:color="17365D"/>
              <w:bottom w:val="single" w:sz="4" w:space="0" w:color="17365D"/>
            </w:tcBorders>
            <w:shd w:val="clear" w:color="auto" w:fill="auto"/>
            <w:vAlign w:val="center"/>
            <w:hideMark/>
          </w:tcPr>
          <w:p w14:paraId="069730C7"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701" w:type="dxa"/>
            <w:gridSpan w:val="2"/>
            <w:tcBorders>
              <w:top w:val="single" w:sz="4" w:space="0" w:color="17365D"/>
              <w:bottom w:val="single" w:sz="4" w:space="0" w:color="17365D"/>
            </w:tcBorders>
            <w:shd w:val="clear" w:color="auto" w:fill="auto"/>
            <w:vAlign w:val="center"/>
            <w:hideMark/>
          </w:tcPr>
          <w:p w14:paraId="71370893"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734" w:type="dxa"/>
            <w:tcBorders>
              <w:top w:val="single" w:sz="4" w:space="0" w:color="17365D"/>
              <w:bottom w:val="single" w:sz="4" w:space="0" w:color="17365D"/>
            </w:tcBorders>
            <w:shd w:val="clear" w:color="auto" w:fill="auto"/>
            <w:vAlign w:val="center"/>
            <w:hideMark/>
          </w:tcPr>
          <w:p w14:paraId="6750D7C6"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r>
      <w:tr w:rsidR="00F26546" w:rsidRPr="00A27896" w14:paraId="4133569F"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05767337" w14:textId="597567E8" w:rsidR="00F26546" w:rsidRPr="00A27896" w:rsidRDefault="00F26546" w:rsidP="00F26546">
            <w:pPr>
              <w:spacing w:after="0" w:line="240" w:lineRule="auto"/>
              <w:ind w:right="57"/>
              <w:rPr>
                <w:rFonts w:eastAsia="Times New Roman" w:cs="Times New Roman"/>
                <w:b/>
                <w:color w:val="17365D"/>
                <w:sz w:val="18"/>
                <w:szCs w:val="18"/>
                <w:lang w:eastAsia="lv-LV"/>
              </w:rPr>
            </w:pPr>
            <w:r w:rsidRPr="00A27896">
              <w:rPr>
                <w:rFonts w:cs="Times New Roman"/>
                <w:b/>
                <w:bCs/>
                <w:color w:val="17365D"/>
                <w:sz w:val="18"/>
                <w:szCs w:val="18"/>
              </w:rPr>
              <w:t>Finanšu aktīvi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C2ECB0A" w14:textId="6CD34EFC" w:rsidR="00F26546" w:rsidRPr="00F26546" w:rsidRDefault="00F26546" w:rsidP="00FC3BE5">
            <w:pPr>
              <w:spacing w:after="0" w:line="240" w:lineRule="auto"/>
              <w:ind w:right="57"/>
              <w:jc w:val="right"/>
              <w:rPr>
                <w:b/>
                <w:bCs/>
                <w:color w:val="17365D"/>
                <w:sz w:val="18"/>
                <w:szCs w:val="18"/>
              </w:rPr>
            </w:pPr>
            <w:r w:rsidRPr="00F26546">
              <w:rPr>
                <w:b/>
                <w:bCs/>
                <w:color w:val="17365D"/>
                <w:sz w:val="18"/>
                <w:szCs w:val="18"/>
              </w:rPr>
              <w:t>1 366 251 641</w:t>
            </w:r>
          </w:p>
        </w:tc>
        <w:tc>
          <w:tcPr>
            <w:tcW w:w="1734" w:type="dxa"/>
            <w:tcBorders>
              <w:top w:val="single" w:sz="4" w:space="0" w:color="17365D"/>
              <w:left w:val="nil"/>
              <w:bottom w:val="single" w:sz="4" w:space="0" w:color="17365D"/>
              <w:right w:val="nil"/>
            </w:tcBorders>
            <w:shd w:val="clear" w:color="auto" w:fill="auto"/>
            <w:noWrap/>
            <w:vAlign w:val="center"/>
          </w:tcPr>
          <w:p w14:paraId="1A30121B" w14:textId="299D716A" w:rsidR="00F26546" w:rsidRPr="00F26546" w:rsidRDefault="00F26546" w:rsidP="00FC3BE5">
            <w:pPr>
              <w:spacing w:after="0" w:line="240" w:lineRule="auto"/>
              <w:ind w:right="57"/>
              <w:jc w:val="right"/>
              <w:rPr>
                <w:b/>
                <w:bCs/>
                <w:color w:val="17365D"/>
                <w:sz w:val="18"/>
                <w:szCs w:val="18"/>
              </w:rPr>
            </w:pPr>
            <w:r w:rsidRPr="00F26546">
              <w:rPr>
                <w:b/>
                <w:bCs/>
                <w:color w:val="17365D"/>
                <w:sz w:val="18"/>
                <w:szCs w:val="18"/>
              </w:rPr>
              <w:t>1 253 291 940</w:t>
            </w:r>
          </w:p>
        </w:tc>
      </w:tr>
      <w:tr w:rsidR="00F26546" w:rsidRPr="00A27896" w14:paraId="3F2541FA"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98EF02B" w14:textId="28BA7BEF"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Patiesajā vērtībā novērtēti finanšu aktīvi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BA09CBB" w14:textId="38158DBE" w:rsidR="00F26546" w:rsidRPr="00F26546" w:rsidRDefault="00F26546" w:rsidP="00FC3BE5">
            <w:pPr>
              <w:spacing w:after="0" w:line="240" w:lineRule="auto"/>
              <w:ind w:right="57"/>
              <w:jc w:val="right"/>
              <w:rPr>
                <w:color w:val="17365D"/>
                <w:sz w:val="18"/>
                <w:szCs w:val="18"/>
              </w:rPr>
            </w:pPr>
            <w:r w:rsidRPr="00F26546">
              <w:rPr>
                <w:color w:val="17365D"/>
                <w:sz w:val="18"/>
                <w:szCs w:val="18"/>
              </w:rPr>
              <w:t>40 907 014</w:t>
            </w:r>
          </w:p>
        </w:tc>
        <w:tc>
          <w:tcPr>
            <w:tcW w:w="1734" w:type="dxa"/>
            <w:tcBorders>
              <w:top w:val="single" w:sz="4" w:space="0" w:color="17365D"/>
              <w:left w:val="nil"/>
              <w:bottom w:val="single" w:sz="4" w:space="0" w:color="17365D"/>
              <w:right w:val="nil"/>
            </w:tcBorders>
            <w:shd w:val="clear" w:color="auto" w:fill="auto"/>
            <w:noWrap/>
            <w:vAlign w:val="center"/>
          </w:tcPr>
          <w:p w14:paraId="4BA9761E" w14:textId="3EF17F83" w:rsidR="00F26546" w:rsidRPr="00F26546" w:rsidRDefault="00F26546" w:rsidP="00FC3BE5">
            <w:pPr>
              <w:spacing w:after="0" w:line="240" w:lineRule="auto"/>
              <w:ind w:right="57"/>
              <w:jc w:val="right"/>
              <w:rPr>
                <w:color w:val="17365D"/>
                <w:sz w:val="18"/>
                <w:szCs w:val="18"/>
              </w:rPr>
            </w:pPr>
            <w:r w:rsidRPr="00F26546">
              <w:rPr>
                <w:color w:val="17365D"/>
                <w:sz w:val="18"/>
                <w:szCs w:val="18"/>
              </w:rPr>
              <w:t>6 194</w:t>
            </w:r>
          </w:p>
        </w:tc>
      </w:tr>
      <w:tr w:rsidR="00F26546" w:rsidRPr="00A27896" w14:paraId="34DF4EB6"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tcPr>
          <w:p w14:paraId="18B8C137" w14:textId="7FFE0297" w:rsidR="00F26546" w:rsidRPr="00A27896" w:rsidRDefault="00F26546" w:rsidP="00F26546">
            <w:pPr>
              <w:spacing w:after="0" w:line="240" w:lineRule="auto"/>
              <w:ind w:right="57" w:firstLine="34"/>
              <w:rPr>
                <w:rFonts w:cs="Times New Roman"/>
                <w:color w:val="17365D"/>
                <w:sz w:val="18"/>
                <w:szCs w:val="18"/>
              </w:rPr>
            </w:pPr>
            <w:r>
              <w:rPr>
                <w:rFonts w:cs="Times New Roman"/>
                <w:color w:val="17365D"/>
                <w:sz w:val="18"/>
                <w:szCs w:val="18"/>
              </w:rPr>
              <w:t xml:space="preserve"> </w:t>
            </w:r>
            <w:r w:rsidRPr="00A27896">
              <w:rPr>
                <w:rFonts w:cs="Times New Roman"/>
                <w:color w:val="17365D"/>
                <w:sz w:val="18"/>
                <w:szCs w:val="18"/>
              </w:rPr>
              <w:t>Atvasinātie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02D911E8" w14:textId="51B59463" w:rsidR="00F26546" w:rsidRDefault="00F26546" w:rsidP="00FC3BE5">
            <w:pPr>
              <w:spacing w:after="0" w:line="240" w:lineRule="auto"/>
              <w:ind w:right="57"/>
              <w:jc w:val="right"/>
              <w:rPr>
                <w:color w:val="17365D"/>
                <w:sz w:val="18"/>
                <w:szCs w:val="18"/>
              </w:rPr>
            </w:pPr>
            <w:r w:rsidRPr="00F26546">
              <w:rPr>
                <w:color w:val="17365D"/>
                <w:sz w:val="18"/>
                <w:szCs w:val="18"/>
              </w:rPr>
              <w:t>40 901 913</w:t>
            </w:r>
          </w:p>
        </w:tc>
        <w:tc>
          <w:tcPr>
            <w:tcW w:w="1734" w:type="dxa"/>
            <w:tcBorders>
              <w:top w:val="single" w:sz="4" w:space="0" w:color="17365D"/>
              <w:left w:val="nil"/>
              <w:bottom w:val="single" w:sz="4" w:space="0" w:color="17365D"/>
              <w:right w:val="nil"/>
            </w:tcBorders>
            <w:shd w:val="clear" w:color="auto" w:fill="auto"/>
            <w:noWrap/>
            <w:vAlign w:val="center"/>
          </w:tcPr>
          <w:p w14:paraId="5C90AA3A" w14:textId="3E0A84F6" w:rsidR="00F26546" w:rsidRDefault="00F26546" w:rsidP="00FC3BE5">
            <w:pPr>
              <w:spacing w:after="0" w:line="240" w:lineRule="auto"/>
              <w:ind w:right="57"/>
              <w:jc w:val="right"/>
              <w:rPr>
                <w:color w:val="17365D"/>
                <w:sz w:val="18"/>
                <w:szCs w:val="18"/>
              </w:rPr>
            </w:pPr>
            <w:r w:rsidRPr="00F26546">
              <w:rPr>
                <w:color w:val="17365D"/>
                <w:sz w:val="18"/>
                <w:szCs w:val="18"/>
              </w:rPr>
              <w:t>0</w:t>
            </w:r>
          </w:p>
        </w:tc>
      </w:tr>
      <w:tr w:rsidR="00F26546" w:rsidRPr="00A27896" w14:paraId="3BC54EF6"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463A1F2" w14:textId="0FF944CE"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Vērtspapīri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3D4887DF" w14:textId="55374894" w:rsidR="00F26546" w:rsidRPr="00F26546" w:rsidRDefault="00F26546" w:rsidP="00FC3BE5">
            <w:pPr>
              <w:spacing w:after="0" w:line="240" w:lineRule="auto"/>
              <w:ind w:right="57"/>
              <w:jc w:val="right"/>
              <w:rPr>
                <w:color w:val="17365D"/>
                <w:sz w:val="18"/>
                <w:szCs w:val="18"/>
              </w:rPr>
            </w:pPr>
            <w:r w:rsidRPr="00F26546">
              <w:rPr>
                <w:color w:val="17365D"/>
                <w:sz w:val="18"/>
                <w:szCs w:val="18"/>
              </w:rPr>
              <w:t>5 101</w:t>
            </w:r>
          </w:p>
        </w:tc>
        <w:tc>
          <w:tcPr>
            <w:tcW w:w="1734" w:type="dxa"/>
            <w:tcBorders>
              <w:top w:val="single" w:sz="4" w:space="0" w:color="17365D"/>
              <w:left w:val="nil"/>
              <w:bottom w:val="single" w:sz="4" w:space="0" w:color="17365D"/>
              <w:right w:val="nil"/>
            </w:tcBorders>
            <w:shd w:val="clear" w:color="auto" w:fill="auto"/>
            <w:noWrap/>
            <w:vAlign w:val="center"/>
          </w:tcPr>
          <w:p w14:paraId="22915061" w14:textId="1A156361" w:rsidR="00F26546" w:rsidRPr="00F26546" w:rsidRDefault="00F26546" w:rsidP="00FC3BE5">
            <w:pPr>
              <w:spacing w:after="0" w:line="240" w:lineRule="auto"/>
              <w:ind w:right="57"/>
              <w:jc w:val="right"/>
              <w:rPr>
                <w:color w:val="17365D"/>
                <w:sz w:val="18"/>
                <w:szCs w:val="18"/>
              </w:rPr>
            </w:pPr>
            <w:r w:rsidRPr="00F26546">
              <w:rPr>
                <w:color w:val="17365D"/>
                <w:sz w:val="18"/>
                <w:szCs w:val="18"/>
              </w:rPr>
              <w:t>6 194</w:t>
            </w:r>
          </w:p>
        </w:tc>
      </w:tr>
      <w:tr w:rsidR="00F26546" w:rsidRPr="00A27896" w14:paraId="2F7ECE2C"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1B731646" w14:textId="28B8410E"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Līdz termiņa beigām turēti ieguldījumi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92A4C47" w14:textId="3BA22C90" w:rsidR="00F26546" w:rsidRPr="00FC3BE5" w:rsidRDefault="00F26546" w:rsidP="00FC3BE5">
            <w:pPr>
              <w:spacing w:after="0" w:line="240" w:lineRule="auto"/>
              <w:ind w:right="57"/>
              <w:jc w:val="right"/>
              <w:rPr>
                <w:color w:val="17365D"/>
                <w:sz w:val="18"/>
                <w:szCs w:val="18"/>
              </w:rPr>
            </w:pPr>
            <w:r w:rsidRPr="00FC3BE5">
              <w:rPr>
                <w:color w:val="17365D"/>
                <w:sz w:val="18"/>
                <w:szCs w:val="18"/>
              </w:rPr>
              <w:t>132 854 187</w:t>
            </w:r>
          </w:p>
        </w:tc>
        <w:tc>
          <w:tcPr>
            <w:tcW w:w="1734" w:type="dxa"/>
            <w:tcBorders>
              <w:top w:val="single" w:sz="4" w:space="0" w:color="17365D"/>
              <w:left w:val="nil"/>
              <w:bottom w:val="single" w:sz="4" w:space="0" w:color="17365D"/>
              <w:right w:val="nil"/>
            </w:tcBorders>
            <w:shd w:val="clear" w:color="auto" w:fill="auto"/>
            <w:noWrap/>
            <w:vAlign w:val="center"/>
          </w:tcPr>
          <w:p w14:paraId="56BD1942" w14:textId="73BEEB94" w:rsidR="00F26546" w:rsidRPr="00FC3BE5" w:rsidRDefault="00F26546" w:rsidP="00FC3BE5">
            <w:pPr>
              <w:spacing w:after="0" w:line="240" w:lineRule="auto"/>
              <w:ind w:right="57"/>
              <w:jc w:val="right"/>
              <w:rPr>
                <w:color w:val="17365D"/>
                <w:sz w:val="18"/>
                <w:szCs w:val="18"/>
              </w:rPr>
            </w:pPr>
            <w:r w:rsidRPr="00FC3BE5">
              <w:rPr>
                <w:color w:val="17365D"/>
                <w:sz w:val="18"/>
                <w:szCs w:val="18"/>
              </w:rPr>
              <w:t>42 356 005</w:t>
            </w:r>
          </w:p>
        </w:tc>
      </w:tr>
      <w:tr w:rsidR="00F26546" w:rsidRPr="00A27896" w14:paraId="192867E4"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tcPr>
          <w:p w14:paraId="6A4335C8" w14:textId="363AD327" w:rsidR="00F26546" w:rsidRPr="00A27896" w:rsidRDefault="00F26546" w:rsidP="00F26546">
            <w:pPr>
              <w:spacing w:after="0" w:line="240" w:lineRule="auto"/>
              <w:ind w:right="57"/>
              <w:rPr>
                <w:rFonts w:cs="Times New Roman"/>
                <w:color w:val="17365D"/>
                <w:sz w:val="18"/>
                <w:szCs w:val="18"/>
              </w:rPr>
            </w:pPr>
            <w:r>
              <w:rPr>
                <w:rFonts w:cs="Times New Roman"/>
                <w:color w:val="17365D"/>
                <w:sz w:val="18"/>
                <w:szCs w:val="18"/>
              </w:rPr>
              <w:t xml:space="preserve">  </w:t>
            </w:r>
            <w:r w:rsidRPr="00A27896">
              <w:rPr>
                <w:rFonts w:cs="Times New Roman"/>
                <w:color w:val="17365D"/>
                <w:sz w:val="18"/>
                <w:szCs w:val="18"/>
              </w:rPr>
              <w:t>Vērtspapīri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F7316B8" w14:textId="7E608446" w:rsidR="00F26546" w:rsidRDefault="00F26546" w:rsidP="00FC3BE5">
            <w:pPr>
              <w:spacing w:after="0" w:line="240" w:lineRule="auto"/>
              <w:ind w:right="57"/>
              <w:jc w:val="right"/>
              <w:rPr>
                <w:color w:val="17365D"/>
                <w:sz w:val="18"/>
                <w:szCs w:val="18"/>
              </w:rPr>
            </w:pPr>
            <w:r w:rsidRPr="00FC3BE5">
              <w:rPr>
                <w:color w:val="17365D"/>
                <w:sz w:val="18"/>
                <w:szCs w:val="18"/>
              </w:rPr>
              <w:t>50 945 652</w:t>
            </w:r>
          </w:p>
        </w:tc>
        <w:tc>
          <w:tcPr>
            <w:tcW w:w="1734" w:type="dxa"/>
            <w:tcBorders>
              <w:top w:val="single" w:sz="4" w:space="0" w:color="17365D"/>
              <w:left w:val="nil"/>
              <w:bottom w:val="single" w:sz="4" w:space="0" w:color="17365D"/>
              <w:right w:val="nil"/>
            </w:tcBorders>
            <w:shd w:val="clear" w:color="auto" w:fill="auto"/>
            <w:noWrap/>
            <w:vAlign w:val="center"/>
          </w:tcPr>
          <w:p w14:paraId="6D3B5B3F" w14:textId="57BF66D7" w:rsidR="00F26546" w:rsidRDefault="00F26546" w:rsidP="00FC3BE5">
            <w:pPr>
              <w:spacing w:after="0" w:line="240" w:lineRule="auto"/>
              <w:ind w:right="57"/>
              <w:jc w:val="right"/>
              <w:rPr>
                <w:color w:val="17365D"/>
                <w:sz w:val="18"/>
                <w:szCs w:val="18"/>
              </w:rPr>
            </w:pPr>
            <w:r w:rsidRPr="00FC3BE5">
              <w:rPr>
                <w:color w:val="17365D"/>
                <w:sz w:val="18"/>
                <w:szCs w:val="18"/>
              </w:rPr>
              <w:t>0</w:t>
            </w:r>
          </w:p>
        </w:tc>
      </w:tr>
      <w:tr w:rsidR="00F26546" w:rsidRPr="00A27896" w14:paraId="0F18B924"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AE62809" w14:textId="02E7FD21"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Noguldījumi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7A9AB8DC" w14:textId="7C4EAEAE" w:rsidR="00F26546" w:rsidRPr="00FC3BE5" w:rsidRDefault="00F26546" w:rsidP="00FC3BE5">
            <w:pPr>
              <w:spacing w:after="0" w:line="240" w:lineRule="auto"/>
              <w:ind w:right="57"/>
              <w:jc w:val="right"/>
              <w:rPr>
                <w:color w:val="17365D"/>
                <w:sz w:val="18"/>
                <w:szCs w:val="18"/>
              </w:rPr>
            </w:pPr>
            <w:r w:rsidRPr="00FC3BE5">
              <w:rPr>
                <w:color w:val="17365D"/>
                <w:sz w:val="18"/>
                <w:szCs w:val="18"/>
              </w:rPr>
              <w:t>81 908 535</w:t>
            </w:r>
          </w:p>
        </w:tc>
        <w:tc>
          <w:tcPr>
            <w:tcW w:w="1734" w:type="dxa"/>
            <w:tcBorders>
              <w:top w:val="single" w:sz="4" w:space="0" w:color="17365D"/>
              <w:left w:val="nil"/>
              <w:bottom w:val="single" w:sz="4" w:space="0" w:color="17365D"/>
              <w:right w:val="nil"/>
            </w:tcBorders>
            <w:shd w:val="clear" w:color="auto" w:fill="auto"/>
            <w:noWrap/>
            <w:vAlign w:val="center"/>
          </w:tcPr>
          <w:p w14:paraId="1CB2B6BA" w14:textId="486B6D19" w:rsidR="00F26546" w:rsidRPr="00FC3BE5" w:rsidRDefault="00F26546" w:rsidP="00FC3BE5">
            <w:pPr>
              <w:spacing w:after="0" w:line="240" w:lineRule="auto"/>
              <w:ind w:right="57"/>
              <w:jc w:val="right"/>
              <w:rPr>
                <w:color w:val="17365D"/>
                <w:sz w:val="18"/>
                <w:szCs w:val="18"/>
              </w:rPr>
            </w:pPr>
            <w:r w:rsidRPr="00FC3BE5">
              <w:rPr>
                <w:color w:val="17365D"/>
                <w:sz w:val="18"/>
                <w:szCs w:val="18"/>
              </w:rPr>
              <w:t>42 356 005</w:t>
            </w:r>
          </w:p>
        </w:tc>
      </w:tr>
      <w:tr w:rsidR="00F26546" w:rsidRPr="00A27896" w14:paraId="76138958"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2835D10" w14:textId="35BB03AA"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Aizdevumi un prasības</w:t>
            </w:r>
          </w:p>
        </w:tc>
        <w:tc>
          <w:tcPr>
            <w:tcW w:w="1701" w:type="dxa"/>
            <w:gridSpan w:val="2"/>
            <w:tcBorders>
              <w:top w:val="single" w:sz="4" w:space="0" w:color="17365D"/>
              <w:left w:val="nil"/>
              <w:bottom w:val="single" w:sz="4" w:space="0" w:color="17365D"/>
              <w:right w:val="nil"/>
            </w:tcBorders>
            <w:shd w:val="clear" w:color="auto" w:fill="auto"/>
            <w:noWrap/>
            <w:vAlign w:val="center"/>
          </w:tcPr>
          <w:p w14:paraId="4496177D" w14:textId="20CDE682" w:rsidR="00F26546" w:rsidRPr="00FC3BE5" w:rsidRDefault="00F26546" w:rsidP="00FC3BE5">
            <w:pPr>
              <w:spacing w:after="0" w:line="240" w:lineRule="auto"/>
              <w:ind w:right="57"/>
              <w:jc w:val="right"/>
              <w:rPr>
                <w:color w:val="17365D"/>
                <w:sz w:val="18"/>
                <w:szCs w:val="18"/>
              </w:rPr>
            </w:pPr>
            <w:r w:rsidRPr="00FC3BE5">
              <w:rPr>
                <w:color w:val="17365D"/>
                <w:sz w:val="18"/>
                <w:szCs w:val="18"/>
              </w:rPr>
              <w:t>415 840 966</w:t>
            </w:r>
          </w:p>
        </w:tc>
        <w:tc>
          <w:tcPr>
            <w:tcW w:w="1734" w:type="dxa"/>
            <w:tcBorders>
              <w:top w:val="single" w:sz="4" w:space="0" w:color="17365D"/>
              <w:left w:val="nil"/>
              <w:bottom w:val="single" w:sz="4" w:space="0" w:color="17365D"/>
              <w:right w:val="nil"/>
            </w:tcBorders>
            <w:shd w:val="clear" w:color="auto" w:fill="auto"/>
            <w:noWrap/>
            <w:vAlign w:val="center"/>
          </w:tcPr>
          <w:p w14:paraId="4D0FE6BC" w14:textId="1D34FF45" w:rsidR="00F26546" w:rsidRPr="00FC3BE5" w:rsidRDefault="00F26546" w:rsidP="00FC3BE5">
            <w:pPr>
              <w:spacing w:after="0" w:line="240" w:lineRule="auto"/>
              <w:ind w:right="57"/>
              <w:jc w:val="right"/>
              <w:rPr>
                <w:color w:val="17365D"/>
                <w:sz w:val="18"/>
                <w:szCs w:val="18"/>
              </w:rPr>
            </w:pPr>
            <w:r w:rsidRPr="00FC3BE5">
              <w:rPr>
                <w:color w:val="17365D"/>
                <w:sz w:val="18"/>
                <w:szCs w:val="18"/>
              </w:rPr>
              <w:t>451 743 956</w:t>
            </w:r>
          </w:p>
        </w:tc>
      </w:tr>
      <w:tr w:rsidR="00F26546" w:rsidRPr="00A27896" w14:paraId="66DE02EA"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688E702" w14:textId="7EF26595"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Aizdevumi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D132340" w14:textId="2F23306D" w:rsidR="00F26546" w:rsidRPr="00FC3BE5" w:rsidRDefault="00F26546" w:rsidP="00FC3BE5">
            <w:pPr>
              <w:spacing w:after="0" w:line="240" w:lineRule="auto"/>
              <w:ind w:right="57"/>
              <w:jc w:val="right"/>
              <w:rPr>
                <w:color w:val="17365D"/>
                <w:sz w:val="18"/>
                <w:szCs w:val="18"/>
              </w:rPr>
            </w:pPr>
            <w:r w:rsidRPr="00FC3BE5">
              <w:rPr>
                <w:color w:val="17365D"/>
                <w:sz w:val="18"/>
                <w:szCs w:val="18"/>
              </w:rPr>
              <w:t>409 451 204</w:t>
            </w:r>
          </w:p>
        </w:tc>
        <w:tc>
          <w:tcPr>
            <w:tcW w:w="1734" w:type="dxa"/>
            <w:tcBorders>
              <w:top w:val="single" w:sz="4" w:space="0" w:color="17365D"/>
              <w:left w:val="nil"/>
              <w:bottom w:val="single" w:sz="4" w:space="0" w:color="17365D"/>
              <w:right w:val="nil"/>
            </w:tcBorders>
            <w:shd w:val="clear" w:color="auto" w:fill="auto"/>
            <w:noWrap/>
            <w:vAlign w:val="center"/>
          </w:tcPr>
          <w:p w14:paraId="523C1AD3" w14:textId="1546EE6F" w:rsidR="00F26546" w:rsidRPr="00FC3BE5" w:rsidRDefault="00F26546" w:rsidP="00FC3BE5">
            <w:pPr>
              <w:spacing w:after="0" w:line="240" w:lineRule="auto"/>
              <w:ind w:right="57"/>
              <w:jc w:val="right"/>
              <w:rPr>
                <w:color w:val="17365D"/>
                <w:sz w:val="18"/>
                <w:szCs w:val="18"/>
              </w:rPr>
            </w:pPr>
            <w:r w:rsidRPr="00FC3BE5">
              <w:rPr>
                <w:color w:val="17365D"/>
                <w:sz w:val="18"/>
                <w:szCs w:val="18"/>
              </w:rPr>
              <w:t>446 940 721</w:t>
            </w:r>
          </w:p>
        </w:tc>
      </w:tr>
      <w:tr w:rsidR="00F26546" w:rsidRPr="00A27896" w14:paraId="346E93BB"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E22CB48" w14:textId="37DD7622"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Prasības, kas ir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47DD8829" w14:textId="74D53DC3" w:rsidR="00F26546" w:rsidRPr="00FC3BE5" w:rsidRDefault="00F26546" w:rsidP="00FC3BE5">
            <w:pPr>
              <w:spacing w:after="0" w:line="240" w:lineRule="auto"/>
              <w:ind w:right="57"/>
              <w:jc w:val="right"/>
              <w:rPr>
                <w:color w:val="17365D"/>
                <w:sz w:val="18"/>
                <w:szCs w:val="18"/>
              </w:rPr>
            </w:pPr>
            <w:r w:rsidRPr="00FC3BE5">
              <w:rPr>
                <w:color w:val="17365D"/>
                <w:sz w:val="18"/>
                <w:szCs w:val="18"/>
              </w:rPr>
              <w:t>6 388 961</w:t>
            </w:r>
          </w:p>
        </w:tc>
        <w:tc>
          <w:tcPr>
            <w:tcW w:w="1734" w:type="dxa"/>
            <w:tcBorders>
              <w:top w:val="single" w:sz="4" w:space="0" w:color="17365D"/>
              <w:left w:val="nil"/>
              <w:bottom w:val="single" w:sz="4" w:space="0" w:color="17365D"/>
              <w:right w:val="nil"/>
            </w:tcBorders>
            <w:shd w:val="clear" w:color="auto" w:fill="auto"/>
            <w:noWrap/>
            <w:vAlign w:val="center"/>
          </w:tcPr>
          <w:p w14:paraId="18BD623E" w14:textId="67A4F085" w:rsidR="00F26546" w:rsidRPr="00FC3BE5" w:rsidRDefault="00F26546" w:rsidP="00FC3BE5">
            <w:pPr>
              <w:spacing w:after="0" w:line="240" w:lineRule="auto"/>
              <w:ind w:right="57"/>
              <w:jc w:val="right"/>
              <w:rPr>
                <w:color w:val="17365D"/>
                <w:sz w:val="18"/>
                <w:szCs w:val="18"/>
              </w:rPr>
            </w:pPr>
            <w:r w:rsidRPr="00FC3BE5">
              <w:rPr>
                <w:color w:val="17365D"/>
                <w:sz w:val="18"/>
                <w:szCs w:val="18"/>
              </w:rPr>
              <w:t>4 801 922</w:t>
            </w:r>
          </w:p>
        </w:tc>
      </w:tr>
      <w:tr w:rsidR="00F26546" w:rsidRPr="00A27896" w14:paraId="73F672AA"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1126310C" w14:textId="56BC76AE"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Pārējie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0134511C" w14:textId="0D979773" w:rsidR="00F26546" w:rsidRPr="00FC3BE5" w:rsidRDefault="00F26546" w:rsidP="00FC3BE5">
            <w:pPr>
              <w:spacing w:after="0" w:line="240" w:lineRule="auto"/>
              <w:ind w:right="57"/>
              <w:jc w:val="right"/>
              <w:rPr>
                <w:color w:val="17365D"/>
                <w:sz w:val="18"/>
                <w:szCs w:val="18"/>
              </w:rPr>
            </w:pPr>
            <w:r w:rsidRPr="00FC3BE5">
              <w:rPr>
                <w:color w:val="17365D"/>
                <w:sz w:val="18"/>
                <w:szCs w:val="18"/>
              </w:rPr>
              <w:t>801</w:t>
            </w:r>
          </w:p>
        </w:tc>
        <w:tc>
          <w:tcPr>
            <w:tcW w:w="1734" w:type="dxa"/>
            <w:tcBorders>
              <w:top w:val="single" w:sz="4" w:space="0" w:color="17365D"/>
              <w:left w:val="nil"/>
              <w:bottom w:val="single" w:sz="4" w:space="0" w:color="17365D"/>
              <w:right w:val="nil"/>
            </w:tcBorders>
            <w:shd w:val="clear" w:color="auto" w:fill="auto"/>
            <w:noWrap/>
            <w:vAlign w:val="center"/>
          </w:tcPr>
          <w:p w14:paraId="4F18580B" w14:textId="28C270D3" w:rsidR="00F26546" w:rsidRPr="00FC3BE5" w:rsidRDefault="00F26546" w:rsidP="00FC3BE5">
            <w:pPr>
              <w:spacing w:after="0" w:line="240" w:lineRule="auto"/>
              <w:ind w:right="57"/>
              <w:jc w:val="right"/>
              <w:rPr>
                <w:color w:val="17365D"/>
                <w:sz w:val="18"/>
                <w:szCs w:val="18"/>
              </w:rPr>
            </w:pPr>
            <w:r w:rsidRPr="00FC3BE5">
              <w:rPr>
                <w:color w:val="17365D"/>
                <w:sz w:val="18"/>
                <w:szCs w:val="18"/>
              </w:rPr>
              <w:t>1 313</w:t>
            </w:r>
          </w:p>
        </w:tc>
      </w:tr>
      <w:tr w:rsidR="00F26546" w:rsidRPr="00A27896" w14:paraId="7851F4C0"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5099D2CD" w14:textId="74F770EF"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Pārdošanai pieejami finanšu aktīvi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3838E3CE" w14:textId="3C174F57" w:rsidR="00F26546" w:rsidRPr="00FC3BE5" w:rsidRDefault="00F26546" w:rsidP="00FC3BE5">
            <w:pPr>
              <w:spacing w:after="0" w:line="240" w:lineRule="auto"/>
              <w:ind w:right="57"/>
              <w:jc w:val="right"/>
              <w:rPr>
                <w:color w:val="17365D"/>
                <w:sz w:val="18"/>
                <w:szCs w:val="18"/>
              </w:rPr>
            </w:pPr>
            <w:r w:rsidRPr="00FC3BE5">
              <w:rPr>
                <w:color w:val="17365D"/>
                <w:sz w:val="18"/>
                <w:szCs w:val="18"/>
              </w:rPr>
              <w:t>776 649 474</w:t>
            </w:r>
          </w:p>
        </w:tc>
        <w:tc>
          <w:tcPr>
            <w:tcW w:w="1734" w:type="dxa"/>
            <w:tcBorders>
              <w:top w:val="single" w:sz="4" w:space="0" w:color="17365D"/>
              <w:left w:val="nil"/>
              <w:bottom w:val="single" w:sz="4" w:space="0" w:color="17365D"/>
              <w:right w:val="nil"/>
            </w:tcBorders>
            <w:shd w:val="clear" w:color="auto" w:fill="auto"/>
            <w:noWrap/>
            <w:vAlign w:val="center"/>
          </w:tcPr>
          <w:p w14:paraId="79882DCC" w14:textId="1D4DC251" w:rsidR="00F26546" w:rsidRPr="00FC3BE5" w:rsidRDefault="00F26546" w:rsidP="00FC3BE5">
            <w:pPr>
              <w:spacing w:after="0" w:line="240" w:lineRule="auto"/>
              <w:ind w:right="57"/>
              <w:jc w:val="right"/>
              <w:rPr>
                <w:color w:val="17365D"/>
                <w:sz w:val="18"/>
                <w:szCs w:val="18"/>
              </w:rPr>
            </w:pPr>
            <w:r w:rsidRPr="00FC3BE5">
              <w:rPr>
                <w:color w:val="17365D"/>
                <w:sz w:val="18"/>
                <w:szCs w:val="18"/>
              </w:rPr>
              <w:t>759 185 785</w:t>
            </w:r>
          </w:p>
        </w:tc>
      </w:tr>
      <w:tr w:rsidR="00F26546" w:rsidRPr="00A27896" w14:paraId="7D5E93E9"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tcPr>
          <w:p w14:paraId="00B588B4" w14:textId="69F56030" w:rsidR="00F26546" w:rsidRPr="00A27896" w:rsidRDefault="00F26546" w:rsidP="00F26546">
            <w:pPr>
              <w:spacing w:after="0" w:line="240" w:lineRule="auto"/>
              <w:ind w:right="57"/>
              <w:rPr>
                <w:rFonts w:cs="Times New Roman"/>
                <w:color w:val="17365D"/>
                <w:sz w:val="18"/>
                <w:szCs w:val="18"/>
              </w:rPr>
            </w:pPr>
            <w:r>
              <w:rPr>
                <w:rFonts w:cs="Times New Roman"/>
                <w:color w:val="17365D"/>
                <w:sz w:val="18"/>
                <w:szCs w:val="18"/>
              </w:rPr>
              <w:t xml:space="preserve">  </w:t>
            </w:r>
            <w:r w:rsidRPr="00A27896">
              <w:rPr>
                <w:rFonts w:cs="Times New Roman"/>
                <w:color w:val="17365D"/>
                <w:sz w:val="18"/>
                <w:szCs w:val="18"/>
              </w:rPr>
              <w:t>Vērtspapīri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4F49FF70" w14:textId="4B245B17" w:rsidR="00F26546" w:rsidRDefault="00F26546" w:rsidP="00FC3BE5">
            <w:pPr>
              <w:spacing w:after="0" w:line="240" w:lineRule="auto"/>
              <w:ind w:right="57"/>
              <w:jc w:val="right"/>
              <w:rPr>
                <w:color w:val="17365D"/>
                <w:sz w:val="18"/>
                <w:szCs w:val="18"/>
              </w:rPr>
            </w:pPr>
            <w:r w:rsidRPr="00FC3BE5">
              <w:rPr>
                <w:color w:val="17365D"/>
                <w:sz w:val="18"/>
                <w:szCs w:val="18"/>
              </w:rPr>
              <w:t>164</w:t>
            </w:r>
          </w:p>
        </w:tc>
        <w:tc>
          <w:tcPr>
            <w:tcW w:w="1734" w:type="dxa"/>
            <w:tcBorders>
              <w:top w:val="single" w:sz="4" w:space="0" w:color="17365D"/>
              <w:left w:val="nil"/>
              <w:bottom w:val="single" w:sz="4" w:space="0" w:color="17365D"/>
              <w:right w:val="nil"/>
            </w:tcBorders>
            <w:shd w:val="clear" w:color="auto" w:fill="auto"/>
            <w:noWrap/>
            <w:vAlign w:val="center"/>
          </w:tcPr>
          <w:p w14:paraId="64D93F4F" w14:textId="4CC76E00" w:rsidR="00F26546" w:rsidRDefault="00F26546" w:rsidP="00FC3BE5">
            <w:pPr>
              <w:spacing w:after="0" w:line="240" w:lineRule="auto"/>
              <w:ind w:right="57"/>
              <w:jc w:val="right"/>
              <w:rPr>
                <w:color w:val="17365D"/>
                <w:sz w:val="18"/>
                <w:szCs w:val="18"/>
              </w:rPr>
            </w:pPr>
            <w:r w:rsidRPr="00FC3BE5">
              <w:rPr>
                <w:color w:val="17365D"/>
                <w:sz w:val="18"/>
                <w:szCs w:val="18"/>
              </w:rPr>
              <w:t>0</w:t>
            </w:r>
          </w:p>
        </w:tc>
      </w:tr>
      <w:tr w:rsidR="00F26546" w:rsidRPr="00A27896" w14:paraId="17A23578"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7B275D83" w14:textId="0FD8B99F" w:rsidR="00F26546" w:rsidRPr="00A27896" w:rsidRDefault="00F26546" w:rsidP="00F26546">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Pārējie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303B5CDB" w14:textId="7006E3AF" w:rsidR="00F26546" w:rsidRPr="00FC3BE5" w:rsidRDefault="00F26546" w:rsidP="00FC3BE5">
            <w:pPr>
              <w:spacing w:after="0" w:line="240" w:lineRule="auto"/>
              <w:ind w:right="57"/>
              <w:jc w:val="right"/>
              <w:rPr>
                <w:color w:val="17365D"/>
                <w:sz w:val="18"/>
                <w:szCs w:val="18"/>
              </w:rPr>
            </w:pPr>
            <w:r w:rsidRPr="00FC3BE5">
              <w:rPr>
                <w:color w:val="17365D"/>
                <w:sz w:val="18"/>
                <w:szCs w:val="18"/>
              </w:rPr>
              <w:t>776 649 310</w:t>
            </w:r>
          </w:p>
        </w:tc>
        <w:tc>
          <w:tcPr>
            <w:tcW w:w="1734" w:type="dxa"/>
            <w:tcBorders>
              <w:top w:val="single" w:sz="4" w:space="0" w:color="17365D"/>
              <w:left w:val="nil"/>
              <w:bottom w:val="single" w:sz="4" w:space="0" w:color="17365D"/>
              <w:right w:val="nil"/>
            </w:tcBorders>
            <w:shd w:val="clear" w:color="auto" w:fill="auto"/>
            <w:noWrap/>
            <w:vAlign w:val="center"/>
          </w:tcPr>
          <w:p w14:paraId="7066178B" w14:textId="33BA0A36" w:rsidR="00F26546" w:rsidRPr="00FC3BE5" w:rsidRDefault="00F26546" w:rsidP="00FC3BE5">
            <w:pPr>
              <w:spacing w:after="0" w:line="240" w:lineRule="auto"/>
              <w:ind w:right="57"/>
              <w:jc w:val="right"/>
              <w:rPr>
                <w:color w:val="17365D"/>
                <w:sz w:val="18"/>
                <w:szCs w:val="18"/>
              </w:rPr>
            </w:pPr>
            <w:r w:rsidRPr="00FC3BE5">
              <w:rPr>
                <w:color w:val="17365D"/>
                <w:sz w:val="18"/>
                <w:szCs w:val="18"/>
              </w:rPr>
              <w:t>759 185 785</w:t>
            </w:r>
          </w:p>
        </w:tc>
      </w:tr>
      <w:tr w:rsidR="00FC3BE5" w:rsidRPr="00A27896" w14:paraId="432F0C3F"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4EA0DBE" w14:textId="50D50A9D" w:rsidR="00FC3BE5" w:rsidRPr="00A27896" w:rsidRDefault="00FC3BE5" w:rsidP="00FC3BE5">
            <w:pPr>
              <w:spacing w:after="0" w:line="240" w:lineRule="auto"/>
              <w:ind w:right="57"/>
              <w:rPr>
                <w:rFonts w:eastAsia="Times New Roman" w:cs="Times New Roman"/>
                <w:b/>
                <w:color w:val="17365D"/>
                <w:sz w:val="18"/>
                <w:szCs w:val="18"/>
                <w:lang w:eastAsia="lv-LV"/>
              </w:rPr>
            </w:pPr>
            <w:r w:rsidRPr="00A27896">
              <w:rPr>
                <w:rFonts w:cs="Times New Roman"/>
                <w:b/>
                <w:bCs/>
                <w:color w:val="17365D"/>
                <w:sz w:val="18"/>
                <w:szCs w:val="18"/>
              </w:rPr>
              <w:t>Finanšu saistības</w:t>
            </w:r>
          </w:p>
        </w:tc>
        <w:tc>
          <w:tcPr>
            <w:tcW w:w="1701" w:type="dxa"/>
            <w:gridSpan w:val="2"/>
            <w:tcBorders>
              <w:top w:val="single" w:sz="4" w:space="0" w:color="17365D"/>
              <w:left w:val="nil"/>
              <w:bottom w:val="single" w:sz="4" w:space="0" w:color="17365D"/>
              <w:right w:val="nil"/>
            </w:tcBorders>
            <w:shd w:val="clear" w:color="auto" w:fill="auto"/>
            <w:noWrap/>
            <w:vAlign w:val="center"/>
          </w:tcPr>
          <w:p w14:paraId="621E00FF" w14:textId="1B266E18" w:rsidR="00FC3BE5" w:rsidRPr="00FC3BE5" w:rsidRDefault="00FC3BE5" w:rsidP="00FC3BE5">
            <w:pPr>
              <w:spacing w:after="0" w:line="240" w:lineRule="auto"/>
              <w:ind w:right="57"/>
              <w:jc w:val="right"/>
              <w:rPr>
                <w:b/>
                <w:bCs/>
                <w:color w:val="17365D"/>
                <w:sz w:val="18"/>
                <w:szCs w:val="18"/>
              </w:rPr>
            </w:pPr>
            <w:r w:rsidRPr="00FC3BE5">
              <w:rPr>
                <w:b/>
                <w:bCs/>
                <w:color w:val="17365D"/>
                <w:sz w:val="18"/>
                <w:szCs w:val="18"/>
              </w:rPr>
              <w:t>19 314 180 063</w:t>
            </w:r>
          </w:p>
        </w:tc>
        <w:tc>
          <w:tcPr>
            <w:tcW w:w="1734" w:type="dxa"/>
            <w:tcBorders>
              <w:top w:val="single" w:sz="4" w:space="0" w:color="17365D"/>
              <w:left w:val="nil"/>
              <w:bottom w:val="single" w:sz="4" w:space="0" w:color="17365D"/>
              <w:right w:val="nil"/>
            </w:tcBorders>
            <w:shd w:val="clear" w:color="auto" w:fill="auto"/>
            <w:vAlign w:val="center"/>
          </w:tcPr>
          <w:p w14:paraId="341921B6" w14:textId="2050AB51" w:rsidR="00FC3BE5" w:rsidRPr="00FC3BE5" w:rsidRDefault="00FC3BE5" w:rsidP="00FC3BE5">
            <w:pPr>
              <w:spacing w:after="0" w:line="240" w:lineRule="auto"/>
              <w:ind w:right="57"/>
              <w:jc w:val="right"/>
              <w:rPr>
                <w:b/>
                <w:bCs/>
                <w:color w:val="17365D"/>
                <w:sz w:val="18"/>
                <w:szCs w:val="18"/>
              </w:rPr>
            </w:pPr>
            <w:r w:rsidRPr="00FC3BE5">
              <w:rPr>
                <w:b/>
                <w:bCs/>
                <w:color w:val="17365D"/>
                <w:sz w:val="18"/>
                <w:szCs w:val="18"/>
              </w:rPr>
              <w:t>17 788 808 952</w:t>
            </w:r>
          </w:p>
        </w:tc>
      </w:tr>
      <w:tr w:rsidR="00FC3BE5" w:rsidRPr="00A27896" w14:paraId="397BAA2C"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7EF5B183" w14:textId="62296447"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Patiesajā vērtībā novērtētas finanšu saistības</w:t>
            </w:r>
          </w:p>
        </w:tc>
        <w:tc>
          <w:tcPr>
            <w:tcW w:w="1701" w:type="dxa"/>
            <w:gridSpan w:val="2"/>
            <w:tcBorders>
              <w:top w:val="single" w:sz="4" w:space="0" w:color="17365D"/>
              <w:left w:val="nil"/>
              <w:bottom w:val="single" w:sz="4" w:space="0" w:color="17365D"/>
              <w:right w:val="nil"/>
            </w:tcBorders>
            <w:shd w:val="clear" w:color="auto" w:fill="auto"/>
            <w:noWrap/>
            <w:vAlign w:val="center"/>
          </w:tcPr>
          <w:p w14:paraId="32A7EC9F" w14:textId="2B2A2324" w:rsidR="00FC3BE5" w:rsidRPr="00FC3BE5" w:rsidRDefault="00FC3BE5" w:rsidP="00FC3BE5">
            <w:pPr>
              <w:spacing w:after="0" w:line="240" w:lineRule="auto"/>
              <w:ind w:right="57"/>
              <w:jc w:val="right"/>
              <w:rPr>
                <w:color w:val="17365D"/>
                <w:sz w:val="18"/>
                <w:szCs w:val="18"/>
              </w:rPr>
            </w:pPr>
            <w:r w:rsidRPr="00FC3BE5">
              <w:rPr>
                <w:color w:val="17365D"/>
                <w:sz w:val="18"/>
                <w:szCs w:val="18"/>
              </w:rPr>
              <w:t>607 394 086</w:t>
            </w:r>
          </w:p>
        </w:tc>
        <w:tc>
          <w:tcPr>
            <w:tcW w:w="1734" w:type="dxa"/>
            <w:tcBorders>
              <w:top w:val="single" w:sz="4" w:space="0" w:color="17365D"/>
              <w:left w:val="nil"/>
              <w:bottom w:val="single" w:sz="4" w:space="0" w:color="17365D"/>
              <w:right w:val="nil"/>
            </w:tcBorders>
            <w:shd w:val="clear" w:color="auto" w:fill="auto"/>
            <w:noWrap/>
            <w:vAlign w:val="center"/>
          </w:tcPr>
          <w:p w14:paraId="6F2D5751" w14:textId="40B7E3A6" w:rsidR="00FC3BE5" w:rsidRPr="00FC3BE5" w:rsidRDefault="00FC3BE5" w:rsidP="00FC3BE5">
            <w:pPr>
              <w:spacing w:after="0" w:line="240" w:lineRule="auto"/>
              <w:ind w:right="57"/>
              <w:jc w:val="right"/>
              <w:rPr>
                <w:color w:val="17365D"/>
                <w:sz w:val="18"/>
                <w:szCs w:val="18"/>
              </w:rPr>
            </w:pPr>
            <w:r w:rsidRPr="00FC3BE5">
              <w:rPr>
                <w:color w:val="17365D"/>
                <w:sz w:val="18"/>
                <w:szCs w:val="18"/>
              </w:rPr>
              <w:t>606 361 912</w:t>
            </w:r>
          </w:p>
        </w:tc>
      </w:tr>
      <w:tr w:rsidR="00FC3BE5" w:rsidRPr="00A27896" w14:paraId="09C0ABD0"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583C3B9D" w14:textId="5CAA6E02"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Atvasinātie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19C7E9E0" w14:textId="02D6990C" w:rsidR="00FC3BE5" w:rsidRPr="00FC3BE5" w:rsidRDefault="00FC3BE5" w:rsidP="00FC3BE5">
            <w:pPr>
              <w:spacing w:after="0" w:line="240" w:lineRule="auto"/>
              <w:ind w:right="57"/>
              <w:jc w:val="right"/>
              <w:rPr>
                <w:color w:val="17365D"/>
                <w:sz w:val="18"/>
                <w:szCs w:val="18"/>
              </w:rPr>
            </w:pPr>
            <w:r w:rsidRPr="00FC3BE5">
              <w:rPr>
                <w:color w:val="17365D"/>
                <w:sz w:val="18"/>
                <w:szCs w:val="18"/>
              </w:rPr>
              <w:t>53 840 609</w:t>
            </w:r>
          </w:p>
        </w:tc>
        <w:tc>
          <w:tcPr>
            <w:tcW w:w="1734" w:type="dxa"/>
            <w:tcBorders>
              <w:top w:val="single" w:sz="4" w:space="0" w:color="17365D"/>
              <w:left w:val="nil"/>
              <w:bottom w:val="single" w:sz="4" w:space="0" w:color="17365D"/>
              <w:right w:val="nil"/>
            </w:tcBorders>
            <w:shd w:val="clear" w:color="auto" w:fill="auto"/>
            <w:noWrap/>
            <w:vAlign w:val="center"/>
          </w:tcPr>
          <w:p w14:paraId="2564092C" w14:textId="65A47417" w:rsidR="00FC3BE5" w:rsidRPr="00FC3BE5" w:rsidRDefault="00FC3BE5" w:rsidP="00FC3BE5">
            <w:pPr>
              <w:spacing w:after="0" w:line="240" w:lineRule="auto"/>
              <w:ind w:right="57"/>
              <w:jc w:val="right"/>
              <w:rPr>
                <w:color w:val="17365D"/>
                <w:sz w:val="18"/>
                <w:szCs w:val="18"/>
              </w:rPr>
            </w:pPr>
            <w:r w:rsidRPr="00FC3BE5">
              <w:rPr>
                <w:color w:val="17365D"/>
                <w:sz w:val="18"/>
                <w:szCs w:val="18"/>
              </w:rPr>
              <w:t>67 391 020</w:t>
            </w:r>
          </w:p>
        </w:tc>
      </w:tr>
      <w:tr w:rsidR="00FC3BE5" w:rsidRPr="00A27896" w14:paraId="409BD5FA"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tcPr>
          <w:p w14:paraId="1ACF15B5" w14:textId="24590790" w:rsidR="00FC3BE5" w:rsidRPr="00A27896" w:rsidRDefault="00FC3BE5" w:rsidP="00FC3BE5">
            <w:pPr>
              <w:spacing w:after="0" w:line="240" w:lineRule="auto"/>
              <w:ind w:right="57"/>
              <w:rPr>
                <w:rFonts w:cs="Times New Roman"/>
                <w:color w:val="17365D"/>
                <w:sz w:val="18"/>
                <w:szCs w:val="18"/>
              </w:rPr>
            </w:pPr>
            <w:r w:rsidRPr="000E5B2C">
              <w:rPr>
                <w:rFonts w:cs="Times New Roman"/>
                <w:color w:val="17365D"/>
                <w:sz w:val="18"/>
                <w:szCs w:val="18"/>
              </w:rPr>
              <w:t xml:space="preserve">  Pārējie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15808BAF" w14:textId="1FB77814" w:rsidR="00FC3BE5" w:rsidRPr="00FC3BE5" w:rsidRDefault="00FC3BE5" w:rsidP="00FC3BE5">
            <w:pPr>
              <w:spacing w:after="0" w:line="240" w:lineRule="auto"/>
              <w:ind w:right="57"/>
              <w:jc w:val="right"/>
              <w:rPr>
                <w:color w:val="17365D"/>
                <w:sz w:val="18"/>
                <w:szCs w:val="18"/>
              </w:rPr>
            </w:pPr>
            <w:r w:rsidRPr="00FC3BE5">
              <w:rPr>
                <w:color w:val="17365D"/>
                <w:sz w:val="18"/>
                <w:szCs w:val="18"/>
              </w:rPr>
              <w:t>553 553 477</w:t>
            </w:r>
          </w:p>
        </w:tc>
        <w:tc>
          <w:tcPr>
            <w:tcW w:w="1734" w:type="dxa"/>
            <w:tcBorders>
              <w:top w:val="single" w:sz="4" w:space="0" w:color="17365D"/>
              <w:left w:val="nil"/>
              <w:bottom w:val="single" w:sz="4" w:space="0" w:color="17365D"/>
              <w:right w:val="nil"/>
            </w:tcBorders>
            <w:shd w:val="clear" w:color="auto" w:fill="auto"/>
            <w:noWrap/>
            <w:vAlign w:val="center"/>
          </w:tcPr>
          <w:p w14:paraId="7F7B849F" w14:textId="2A13087C" w:rsidR="00FC3BE5" w:rsidRPr="00FC3BE5" w:rsidRDefault="00FC3BE5" w:rsidP="00FC3BE5">
            <w:pPr>
              <w:spacing w:after="0" w:line="240" w:lineRule="auto"/>
              <w:ind w:right="57"/>
              <w:jc w:val="right"/>
              <w:rPr>
                <w:color w:val="17365D"/>
                <w:sz w:val="18"/>
                <w:szCs w:val="18"/>
              </w:rPr>
            </w:pPr>
            <w:r w:rsidRPr="00FC3BE5">
              <w:rPr>
                <w:color w:val="17365D"/>
                <w:sz w:val="18"/>
                <w:szCs w:val="18"/>
              </w:rPr>
              <w:t>538 970 892</w:t>
            </w:r>
          </w:p>
        </w:tc>
      </w:tr>
      <w:tr w:rsidR="00FC3BE5" w:rsidRPr="00A27896" w14:paraId="5DBCCACA"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3F8C0156" w14:textId="0E6A0222"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Pārējās finanšu saistības</w:t>
            </w:r>
          </w:p>
        </w:tc>
        <w:tc>
          <w:tcPr>
            <w:tcW w:w="1701" w:type="dxa"/>
            <w:gridSpan w:val="2"/>
            <w:tcBorders>
              <w:top w:val="single" w:sz="4" w:space="0" w:color="17365D"/>
              <w:left w:val="nil"/>
              <w:bottom w:val="single" w:sz="4" w:space="0" w:color="17365D"/>
              <w:right w:val="nil"/>
            </w:tcBorders>
            <w:shd w:val="clear" w:color="auto" w:fill="auto"/>
            <w:noWrap/>
            <w:vAlign w:val="center"/>
          </w:tcPr>
          <w:p w14:paraId="791C119C" w14:textId="0FC64501" w:rsidR="00FC3BE5" w:rsidRPr="00FC3BE5" w:rsidRDefault="00FC3BE5" w:rsidP="00FC3BE5">
            <w:pPr>
              <w:spacing w:after="0" w:line="240" w:lineRule="auto"/>
              <w:ind w:right="57"/>
              <w:jc w:val="right"/>
              <w:rPr>
                <w:color w:val="17365D"/>
                <w:sz w:val="18"/>
                <w:szCs w:val="18"/>
              </w:rPr>
            </w:pPr>
            <w:r w:rsidRPr="00FC3BE5">
              <w:rPr>
                <w:color w:val="17365D"/>
                <w:sz w:val="18"/>
                <w:szCs w:val="18"/>
              </w:rPr>
              <w:t>18 706 785 977</w:t>
            </w:r>
          </w:p>
        </w:tc>
        <w:tc>
          <w:tcPr>
            <w:tcW w:w="1734" w:type="dxa"/>
            <w:tcBorders>
              <w:top w:val="single" w:sz="4" w:space="0" w:color="17365D"/>
              <w:left w:val="nil"/>
              <w:bottom w:val="single" w:sz="4" w:space="0" w:color="17365D"/>
              <w:right w:val="nil"/>
            </w:tcBorders>
            <w:shd w:val="clear" w:color="auto" w:fill="auto"/>
            <w:noWrap/>
            <w:vAlign w:val="center"/>
          </w:tcPr>
          <w:p w14:paraId="44DC97EA" w14:textId="1706DC22" w:rsidR="00FC3BE5" w:rsidRPr="00FC3BE5" w:rsidRDefault="00FC3BE5" w:rsidP="00FC3BE5">
            <w:pPr>
              <w:spacing w:after="0" w:line="240" w:lineRule="auto"/>
              <w:ind w:right="57"/>
              <w:jc w:val="right"/>
              <w:rPr>
                <w:color w:val="17365D"/>
                <w:sz w:val="18"/>
                <w:szCs w:val="18"/>
              </w:rPr>
            </w:pPr>
            <w:r w:rsidRPr="00FC3BE5">
              <w:rPr>
                <w:color w:val="17365D"/>
                <w:sz w:val="18"/>
                <w:szCs w:val="18"/>
              </w:rPr>
              <w:t>17 182 447 040</w:t>
            </w:r>
          </w:p>
        </w:tc>
      </w:tr>
      <w:tr w:rsidR="00FC3BE5" w:rsidRPr="00A27896" w14:paraId="5023AA36"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2EBC9EF8" w14:textId="44371343"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Emitētie vērtspapīri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152B660A" w14:textId="5D85B255" w:rsidR="00FC3BE5" w:rsidRPr="00FC3BE5" w:rsidRDefault="00FC3BE5" w:rsidP="00FC3BE5">
            <w:pPr>
              <w:spacing w:after="0" w:line="240" w:lineRule="auto"/>
              <w:ind w:right="57"/>
              <w:jc w:val="right"/>
              <w:rPr>
                <w:color w:val="17365D"/>
                <w:sz w:val="18"/>
                <w:szCs w:val="18"/>
              </w:rPr>
            </w:pPr>
            <w:r w:rsidRPr="00FC3BE5">
              <w:rPr>
                <w:color w:val="17365D"/>
                <w:sz w:val="18"/>
                <w:szCs w:val="18"/>
              </w:rPr>
              <w:t>17 062 952 904</w:t>
            </w:r>
          </w:p>
        </w:tc>
        <w:tc>
          <w:tcPr>
            <w:tcW w:w="1734" w:type="dxa"/>
            <w:tcBorders>
              <w:top w:val="single" w:sz="4" w:space="0" w:color="17365D"/>
              <w:left w:val="nil"/>
              <w:bottom w:val="single" w:sz="4" w:space="0" w:color="17365D"/>
              <w:right w:val="nil"/>
            </w:tcBorders>
            <w:shd w:val="clear" w:color="auto" w:fill="auto"/>
            <w:noWrap/>
            <w:vAlign w:val="center"/>
          </w:tcPr>
          <w:p w14:paraId="3CF64E39" w14:textId="3322C199" w:rsidR="00FC3BE5" w:rsidRPr="00FC3BE5" w:rsidRDefault="00FC3BE5" w:rsidP="00FC3BE5">
            <w:pPr>
              <w:spacing w:after="0" w:line="240" w:lineRule="auto"/>
              <w:ind w:right="57"/>
              <w:jc w:val="right"/>
              <w:rPr>
                <w:color w:val="17365D"/>
                <w:sz w:val="18"/>
                <w:szCs w:val="18"/>
              </w:rPr>
            </w:pPr>
            <w:r w:rsidRPr="00FC3BE5">
              <w:rPr>
                <w:color w:val="17365D"/>
                <w:sz w:val="18"/>
                <w:szCs w:val="18"/>
              </w:rPr>
              <w:t>15 373 784 449</w:t>
            </w:r>
          </w:p>
        </w:tc>
      </w:tr>
      <w:tr w:rsidR="00FC3BE5" w:rsidRPr="00A27896" w14:paraId="00169F90"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0345BABA" w14:textId="4A7F54EB"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Aizņēmumi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51934A2" w14:textId="1455D5F2" w:rsidR="00FC3BE5" w:rsidRPr="00FC3BE5" w:rsidRDefault="00FC3BE5" w:rsidP="00FC3BE5">
            <w:pPr>
              <w:spacing w:after="0" w:line="240" w:lineRule="auto"/>
              <w:ind w:right="57"/>
              <w:jc w:val="right"/>
              <w:rPr>
                <w:color w:val="17365D"/>
                <w:sz w:val="18"/>
                <w:szCs w:val="18"/>
              </w:rPr>
            </w:pPr>
            <w:r w:rsidRPr="00FC3BE5">
              <w:rPr>
                <w:color w:val="17365D"/>
                <w:sz w:val="18"/>
                <w:szCs w:val="18"/>
              </w:rPr>
              <w:t>1 191 098 662</w:t>
            </w:r>
          </w:p>
        </w:tc>
        <w:tc>
          <w:tcPr>
            <w:tcW w:w="1734" w:type="dxa"/>
            <w:tcBorders>
              <w:top w:val="single" w:sz="4" w:space="0" w:color="17365D"/>
              <w:left w:val="nil"/>
              <w:bottom w:val="single" w:sz="4" w:space="0" w:color="17365D"/>
              <w:right w:val="nil"/>
            </w:tcBorders>
            <w:shd w:val="clear" w:color="auto" w:fill="auto"/>
            <w:noWrap/>
            <w:vAlign w:val="center"/>
          </w:tcPr>
          <w:p w14:paraId="5304F422" w14:textId="00549017" w:rsidR="00FC3BE5" w:rsidRPr="00FC3BE5" w:rsidRDefault="00FC3BE5" w:rsidP="00FC3BE5">
            <w:pPr>
              <w:spacing w:after="0" w:line="240" w:lineRule="auto"/>
              <w:ind w:right="57"/>
              <w:jc w:val="right"/>
              <w:rPr>
                <w:color w:val="17365D"/>
                <w:sz w:val="18"/>
                <w:szCs w:val="18"/>
              </w:rPr>
            </w:pPr>
            <w:r w:rsidRPr="00FC3BE5">
              <w:rPr>
                <w:color w:val="17365D"/>
                <w:sz w:val="18"/>
                <w:szCs w:val="18"/>
              </w:rPr>
              <w:t>1 382 890 991</w:t>
            </w:r>
          </w:p>
        </w:tc>
      </w:tr>
      <w:tr w:rsidR="00FC3BE5" w:rsidRPr="00A27896" w14:paraId="7E45ED1E"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tcPr>
          <w:p w14:paraId="6D284048" w14:textId="2F504CC3" w:rsidR="00FC3BE5" w:rsidRPr="00A27896" w:rsidRDefault="00FC3BE5" w:rsidP="00FC3BE5">
            <w:pPr>
              <w:spacing w:after="0" w:line="240" w:lineRule="auto"/>
              <w:ind w:right="57"/>
              <w:rPr>
                <w:rFonts w:cs="Times New Roman"/>
                <w:color w:val="17365D"/>
                <w:sz w:val="18"/>
                <w:szCs w:val="18"/>
              </w:rPr>
            </w:pPr>
            <w:r>
              <w:rPr>
                <w:rFonts w:cs="Times New Roman"/>
                <w:color w:val="17365D"/>
                <w:sz w:val="18"/>
                <w:szCs w:val="18"/>
              </w:rPr>
              <w:t xml:space="preserve">  </w:t>
            </w:r>
            <w:r w:rsidRPr="000E5B2C">
              <w:rPr>
                <w:rFonts w:cs="Times New Roman"/>
                <w:color w:val="17365D"/>
                <w:sz w:val="18"/>
                <w:szCs w:val="18"/>
              </w:rPr>
              <w:t>Pieņemtie noguldījumi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3C36EABD" w14:textId="7859A5BC" w:rsidR="00FC3BE5" w:rsidRPr="00FC3BE5" w:rsidRDefault="00FC3BE5" w:rsidP="00FC3BE5">
            <w:pPr>
              <w:spacing w:after="0" w:line="240" w:lineRule="auto"/>
              <w:ind w:right="57"/>
              <w:jc w:val="right"/>
              <w:rPr>
                <w:color w:val="17365D"/>
                <w:sz w:val="18"/>
                <w:szCs w:val="18"/>
              </w:rPr>
            </w:pPr>
            <w:r w:rsidRPr="00FC3BE5">
              <w:rPr>
                <w:color w:val="17365D"/>
                <w:sz w:val="18"/>
                <w:szCs w:val="18"/>
              </w:rPr>
              <w:t>77 728 519</w:t>
            </w:r>
          </w:p>
        </w:tc>
        <w:tc>
          <w:tcPr>
            <w:tcW w:w="1734" w:type="dxa"/>
            <w:tcBorders>
              <w:top w:val="single" w:sz="4" w:space="0" w:color="17365D"/>
              <w:left w:val="nil"/>
              <w:bottom w:val="single" w:sz="4" w:space="0" w:color="17365D"/>
              <w:right w:val="nil"/>
            </w:tcBorders>
            <w:shd w:val="clear" w:color="auto" w:fill="auto"/>
            <w:noWrap/>
            <w:vAlign w:val="center"/>
          </w:tcPr>
          <w:p w14:paraId="21D833BF" w14:textId="5EC7BE20" w:rsidR="00FC3BE5" w:rsidRPr="00FC3BE5" w:rsidRDefault="00FC3BE5" w:rsidP="00FC3BE5">
            <w:pPr>
              <w:spacing w:after="0" w:line="240" w:lineRule="auto"/>
              <w:ind w:right="57"/>
              <w:jc w:val="right"/>
              <w:rPr>
                <w:color w:val="17365D"/>
                <w:sz w:val="18"/>
                <w:szCs w:val="18"/>
              </w:rPr>
            </w:pPr>
            <w:r w:rsidRPr="00FC3BE5">
              <w:rPr>
                <w:color w:val="17365D"/>
                <w:sz w:val="18"/>
                <w:szCs w:val="18"/>
              </w:rPr>
              <w:t>45 426 401</w:t>
            </w:r>
          </w:p>
        </w:tc>
      </w:tr>
      <w:tr w:rsidR="00FC3BE5" w:rsidRPr="00A27896" w14:paraId="7E6CB51A"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7EF3F74E" w14:textId="30D99418"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Pārējie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70635AAE" w14:textId="32BB2A6E" w:rsidR="00FC3BE5" w:rsidRPr="00FC3BE5" w:rsidRDefault="00FC3BE5" w:rsidP="00FC3BE5">
            <w:pPr>
              <w:spacing w:after="0" w:line="240" w:lineRule="auto"/>
              <w:ind w:right="57"/>
              <w:jc w:val="right"/>
              <w:rPr>
                <w:color w:val="17365D"/>
                <w:sz w:val="18"/>
                <w:szCs w:val="18"/>
              </w:rPr>
            </w:pPr>
            <w:r w:rsidRPr="00FC3BE5">
              <w:rPr>
                <w:color w:val="17365D"/>
                <w:sz w:val="18"/>
                <w:szCs w:val="18"/>
              </w:rPr>
              <w:t>375 005 892</w:t>
            </w:r>
          </w:p>
        </w:tc>
        <w:tc>
          <w:tcPr>
            <w:tcW w:w="1734" w:type="dxa"/>
            <w:tcBorders>
              <w:top w:val="single" w:sz="4" w:space="0" w:color="17365D"/>
              <w:left w:val="nil"/>
              <w:bottom w:val="single" w:sz="4" w:space="0" w:color="17365D"/>
              <w:right w:val="nil"/>
            </w:tcBorders>
            <w:shd w:val="clear" w:color="auto" w:fill="auto"/>
            <w:noWrap/>
            <w:vAlign w:val="center"/>
          </w:tcPr>
          <w:p w14:paraId="2E9AA9B1" w14:textId="26F495D4" w:rsidR="00FC3BE5" w:rsidRPr="00FC3BE5" w:rsidRDefault="00FC3BE5" w:rsidP="00FC3BE5">
            <w:pPr>
              <w:spacing w:after="0" w:line="240" w:lineRule="auto"/>
              <w:ind w:right="57"/>
              <w:jc w:val="right"/>
              <w:rPr>
                <w:color w:val="17365D"/>
                <w:sz w:val="18"/>
                <w:szCs w:val="18"/>
              </w:rPr>
            </w:pPr>
            <w:r w:rsidRPr="00FC3BE5">
              <w:rPr>
                <w:color w:val="17365D"/>
                <w:sz w:val="18"/>
                <w:szCs w:val="18"/>
              </w:rPr>
              <w:t>380 345 199</w:t>
            </w:r>
          </w:p>
        </w:tc>
      </w:tr>
      <w:tr w:rsidR="00FC3BE5" w:rsidRPr="00A27896" w14:paraId="267EB421"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2B6CA36D" w14:textId="0109BCA0" w:rsidR="00FC3BE5" w:rsidRPr="00A27896" w:rsidRDefault="00FC3BE5" w:rsidP="00FC3BE5">
            <w:pPr>
              <w:spacing w:after="0" w:line="240" w:lineRule="auto"/>
              <w:ind w:right="57"/>
              <w:rPr>
                <w:rFonts w:eastAsia="Times New Roman" w:cs="Times New Roman"/>
                <w:b/>
                <w:color w:val="17365D"/>
                <w:sz w:val="18"/>
                <w:szCs w:val="18"/>
                <w:lang w:eastAsia="lv-LV"/>
              </w:rPr>
            </w:pPr>
            <w:r w:rsidRPr="00A27896">
              <w:rPr>
                <w:rFonts w:cs="Times New Roman"/>
                <w:b/>
                <w:bCs/>
                <w:color w:val="17365D"/>
                <w:sz w:val="18"/>
                <w:szCs w:val="18"/>
              </w:rPr>
              <w:t>Zembilances posteņos iekļautie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01C6658B" w14:textId="0B1EFEF4" w:rsidR="00FC3BE5" w:rsidRPr="00FC3BE5" w:rsidRDefault="00FC3BE5" w:rsidP="00FC3BE5">
            <w:pPr>
              <w:spacing w:after="0" w:line="240" w:lineRule="auto"/>
              <w:ind w:right="57"/>
              <w:jc w:val="right"/>
              <w:rPr>
                <w:b/>
                <w:bCs/>
                <w:color w:val="17365D"/>
                <w:sz w:val="18"/>
                <w:szCs w:val="18"/>
              </w:rPr>
            </w:pPr>
            <w:r w:rsidRPr="00FC3BE5">
              <w:rPr>
                <w:b/>
                <w:bCs/>
                <w:color w:val="17365D"/>
                <w:sz w:val="18"/>
                <w:szCs w:val="18"/>
              </w:rPr>
              <w:t>34 156 478</w:t>
            </w:r>
          </w:p>
        </w:tc>
        <w:tc>
          <w:tcPr>
            <w:tcW w:w="1734" w:type="dxa"/>
            <w:tcBorders>
              <w:top w:val="single" w:sz="4" w:space="0" w:color="17365D"/>
              <w:left w:val="nil"/>
              <w:bottom w:val="single" w:sz="4" w:space="0" w:color="17365D"/>
              <w:right w:val="nil"/>
            </w:tcBorders>
            <w:shd w:val="clear" w:color="auto" w:fill="auto"/>
            <w:vAlign w:val="center"/>
          </w:tcPr>
          <w:p w14:paraId="333229EA" w14:textId="6B940AF0" w:rsidR="00FC3BE5" w:rsidRPr="00FC3BE5" w:rsidRDefault="00FC3BE5" w:rsidP="00FC3BE5">
            <w:pPr>
              <w:spacing w:after="0" w:line="240" w:lineRule="auto"/>
              <w:ind w:right="57"/>
              <w:jc w:val="right"/>
              <w:rPr>
                <w:b/>
                <w:bCs/>
                <w:color w:val="17365D"/>
                <w:sz w:val="18"/>
                <w:szCs w:val="18"/>
              </w:rPr>
            </w:pPr>
            <w:r w:rsidRPr="00FC3BE5">
              <w:rPr>
                <w:b/>
                <w:bCs/>
                <w:color w:val="17365D"/>
                <w:sz w:val="18"/>
                <w:szCs w:val="18"/>
              </w:rPr>
              <w:t>36 922 165</w:t>
            </w:r>
          </w:p>
        </w:tc>
      </w:tr>
      <w:tr w:rsidR="00FC3BE5" w:rsidRPr="00A27896" w14:paraId="33293594" w14:textId="77777777" w:rsidTr="009A4177">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5D1105B" w14:textId="0EFB0913" w:rsidR="00FC3BE5" w:rsidRPr="00A27896" w:rsidRDefault="00FC3BE5" w:rsidP="00FC3BE5">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Garantijas</w:t>
            </w:r>
          </w:p>
        </w:tc>
        <w:tc>
          <w:tcPr>
            <w:tcW w:w="1701" w:type="dxa"/>
            <w:gridSpan w:val="2"/>
            <w:tcBorders>
              <w:top w:val="single" w:sz="4" w:space="0" w:color="17365D"/>
              <w:left w:val="nil"/>
              <w:bottom w:val="single" w:sz="4" w:space="0" w:color="17365D"/>
              <w:right w:val="nil"/>
            </w:tcBorders>
            <w:shd w:val="clear" w:color="auto" w:fill="auto"/>
            <w:noWrap/>
            <w:vAlign w:val="center"/>
          </w:tcPr>
          <w:p w14:paraId="206D6002" w14:textId="772ADA25" w:rsidR="00FC3BE5" w:rsidRPr="00FC3BE5" w:rsidRDefault="00FC3BE5" w:rsidP="00FC3BE5">
            <w:pPr>
              <w:spacing w:after="0" w:line="240" w:lineRule="auto"/>
              <w:ind w:right="57"/>
              <w:jc w:val="right"/>
              <w:rPr>
                <w:color w:val="17365D"/>
                <w:sz w:val="18"/>
                <w:szCs w:val="18"/>
              </w:rPr>
            </w:pPr>
            <w:r w:rsidRPr="00FC3BE5">
              <w:rPr>
                <w:color w:val="17365D"/>
                <w:sz w:val="18"/>
                <w:szCs w:val="18"/>
              </w:rPr>
              <w:t>34 156 478</w:t>
            </w:r>
          </w:p>
        </w:tc>
        <w:tc>
          <w:tcPr>
            <w:tcW w:w="1734" w:type="dxa"/>
            <w:tcBorders>
              <w:top w:val="single" w:sz="4" w:space="0" w:color="17365D"/>
              <w:left w:val="nil"/>
              <w:bottom w:val="single" w:sz="4" w:space="0" w:color="17365D"/>
              <w:right w:val="nil"/>
            </w:tcBorders>
            <w:shd w:val="clear" w:color="auto" w:fill="auto"/>
            <w:vAlign w:val="center"/>
          </w:tcPr>
          <w:p w14:paraId="1F08E440" w14:textId="0C5A4669" w:rsidR="00FC3BE5" w:rsidRPr="00FC3BE5" w:rsidRDefault="00FC3BE5" w:rsidP="00FC3BE5">
            <w:pPr>
              <w:spacing w:after="0" w:line="240" w:lineRule="auto"/>
              <w:ind w:right="57"/>
              <w:jc w:val="right"/>
              <w:rPr>
                <w:color w:val="17365D"/>
                <w:sz w:val="18"/>
                <w:szCs w:val="18"/>
              </w:rPr>
            </w:pPr>
            <w:r w:rsidRPr="00FC3BE5">
              <w:rPr>
                <w:color w:val="17365D"/>
                <w:sz w:val="18"/>
                <w:szCs w:val="18"/>
              </w:rPr>
              <w:t>36 922 165</w:t>
            </w:r>
          </w:p>
        </w:tc>
      </w:tr>
      <w:tr w:rsidR="000C1009" w:rsidRPr="00A27896" w14:paraId="7A23D217" w14:textId="77777777" w:rsidTr="009A4177">
        <w:trPr>
          <w:trHeight w:val="184"/>
        </w:trPr>
        <w:tc>
          <w:tcPr>
            <w:tcW w:w="2520" w:type="dxa"/>
            <w:tcBorders>
              <w:top w:val="single" w:sz="4" w:space="0" w:color="17365D"/>
            </w:tcBorders>
            <w:shd w:val="clear" w:color="000000" w:fill="B9CDE5"/>
            <w:noWrap/>
            <w:vAlign w:val="center"/>
            <w:hideMark/>
          </w:tcPr>
          <w:p w14:paraId="4EF94FCC" w14:textId="77777777" w:rsidR="00413E6B" w:rsidRPr="00A27896" w:rsidRDefault="00413E6B" w:rsidP="00960410">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4960" w:type="dxa"/>
            <w:gridSpan w:val="2"/>
            <w:tcBorders>
              <w:top w:val="single" w:sz="4" w:space="0" w:color="17365D"/>
            </w:tcBorders>
            <w:shd w:val="clear" w:color="000000" w:fill="B9CDE5"/>
            <w:noWrap/>
            <w:vAlign w:val="center"/>
            <w:hideMark/>
          </w:tcPr>
          <w:p w14:paraId="4D772791" w14:textId="77777777" w:rsidR="00413E6B" w:rsidRPr="00A27896" w:rsidRDefault="00413E6B" w:rsidP="0096041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909" w:type="dxa"/>
            <w:gridSpan w:val="2"/>
            <w:tcBorders>
              <w:top w:val="single" w:sz="4" w:space="0" w:color="17365D"/>
            </w:tcBorders>
            <w:shd w:val="clear" w:color="000000" w:fill="B9CDE5"/>
            <w:vAlign w:val="center"/>
            <w:hideMark/>
          </w:tcPr>
          <w:p w14:paraId="6F35B313" w14:textId="77777777" w:rsidR="00413E6B" w:rsidRPr="00A27896" w:rsidRDefault="00413E6B" w:rsidP="0096041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1FAF7AAB" w14:textId="77777777" w:rsidR="00F6796F" w:rsidRDefault="00F6796F" w:rsidP="00F53AD9">
      <w:pPr>
        <w:pStyle w:val="Pamatteksts1"/>
      </w:pPr>
    </w:p>
    <w:p w14:paraId="667F2D76" w14:textId="5A5C3D7B" w:rsidR="0022056B" w:rsidRPr="00A27896" w:rsidRDefault="0022056B" w:rsidP="00F53AD9">
      <w:pPr>
        <w:pStyle w:val="Pamatteksts1"/>
      </w:pPr>
      <w:r w:rsidRPr="00A27896">
        <w:t>Ministru kabineta 2018.gada 13.februāra noteikumi Nr.87 “Budžeta iestāžu grāmatvedības uzskaite” nosaka finanšu instrumentu patiesās vērtības vērtēšanas metodes:</w:t>
      </w:r>
    </w:p>
    <w:p w14:paraId="37FFEFCB" w14:textId="6AB75582" w:rsidR="0022056B" w:rsidRPr="00A27896" w:rsidRDefault="0022056B" w:rsidP="002A2F6E">
      <w:pPr>
        <w:pStyle w:val="Bullets"/>
      </w:pPr>
      <w:r w:rsidRPr="00A27896">
        <w:t>konkrētā finanšu instrumenta darījuma cena vai identisku aktīvu vai saistību kotētās cenas aktīvos tirgos (patiesās vērtības hierarhijas 1. līmenis);</w:t>
      </w:r>
    </w:p>
    <w:p w14:paraId="709F161C" w14:textId="5C292454" w:rsidR="0022056B" w:rsidRPr="00A27896" w:rsidRDefault="0022056B" w:rsidP="002A2F6E">
      <w:pPr>
        <w:pStyle w:val="Bullets"/>
      </w:pPr>
      <w:r w:rsidRPr="00A27896">
        <w:t xml:space="preserve">ja finanšu instrumentam nav tirgus cenas, bet šāda cena ir atsevišķām tā komponentēm vai līdzīgiem finanšu instrumentiem, šī instrumenta tirgus cenu var noteikt, ņemot vērā tā </w:t>
      </w:r>
      <w:r w:rsidRPr="00A27896">
        <w:lastRenderedPageBreak/>
        <w:t>komponenšu vai līdzīgo finanšu instrumentu tirgus cenu (patiesās vērtības hierarhijas 2.</w:t>
      </w:r>
      <w:r w:rsidR="00603FE0" w:rsidRPr="00A27896">
        <w:t> </w:t>
      </w:r>
      <w:r w:rsidRPr="00A27896">
        <w:t>līmenis);</w:t>
      </w:r>
    </w:p>
    <w:p w14:paraId="3EDF0346" w14:textId="1BC13678" w:rsidR="0022056B" w:rsidRPr="00A27896" w:rsidRDefault="0022056B" w:rsidP="002A2F6E">
      <w:pPr>
        <w:pStyle w:val="Bullets"/>
      </w:pPr>
      <w:r w:rsidRPr="00A27896">
        <w:t>ja nav iespējams noteikt finanšu instrumenta tirgus cenu, tā patieso vērtību nosaka, pamatojoties uz vērtību, kas aprēķināta, izmantojot vispāratzītas un piemērotas novērtēšanas metodes, ja aprēķinātā vērtība parāda šī instrumenta iespējamo tirgus cenu. Patiesās vērtības novērtēšanas metodi izstrādā komisija vai speciālists. Novērtēšanas metodes aktualitāti pārskata ne retāk kā reizi pārskata gadā (patiesās vērtības hierarhijas 3. līmenis).</w:t>
      </w:r>
    </w:p>
    <w:p w14:paraId="2D82B112" w14:textId="7883461F" w:rsidR="00D65E28" w:rsidRPr="004E1422" w:rsidRDefault="0022056B" w:rsidP="004E1422">
      <w:pPr>
        <w:pStyle w:val="Pamatteksts1"/>
      </w:pPr>
      <w:r w:rsidRPr="004E1422">
        <w:t>Saimnieciskā gada pārskatā patiesajā vērtībā novērtētie finanšu instrumenti, kas ir finanšu aktīvi</w:t>
      </w:r>
      <w:r w:rsidR="00F3520D" w:rsidRPr="004E1422">
        <w:t xml:space="preserve">, </w:t>
      </w:r>
      <w:r w:rsidR="00172635" w:rsidRPr="004E1422">
        <w:t>1</w:t>
      </w:r>
      <w:r w:rsidR="00F6796F" w:rsidRPr="004E1422">
        <w:t>,</w:t>
      </w:r>
      <w:r w:rsidR="00172635" w:rsidRPr="004E1422">
        <w:t>7</w:t>
      </w:r>
      <w:r w:rsidR="00F6796F" w:rsidRPr="004E1422">
        <w:t xml:space="preserve"> milj.</w:t>
      </w:r>
      <w:r w:rsidR="00172635" w:rsidRPr="004E1422">
        <w:t xml:space="preserve"> </w:t>
      </w:r>
      <w:r w:rsidR="00F3520D" w:rsidRPr="004E1422">
        <w:t>euro vērtībā</w:t>
      </w:r>
      <w:r w:rsidRPr="004E1422">
        <w:t xml:space="preserve"> uzrādīti patiesās vērtības hierarhijas 1. līmenī, </w:t>
      </w:r>
      <w:r w:rsidR="00F6796F" w:rsidRPr="004E1422">
        <w:t xml:space="preserve">40,9 milj. euro vērtībā  – patiesās vērtības hierarhijas 2. līmenī, </w:t>
      </w:r>
      <w:r w:rsidRPr="004E1422">
        <w:t>savukārt finanšu saistībās uzrādīti</w:t>
      </w:r>
      <w:r w:rsidR="00F3520D" w:rsidRPr="004E1422">
        <w:t xml:space="preserve">e </w:t>
      </w:r>
      <w:r w:rsidR="005C239B" w:rsidRPr="004E1422">
        <w:t xml:space="preserve">finanšu instrumenti </w:t>
      </w:r>
      <w:r w:rsidR="00201C3D" w:rsidRPr="004E1422">
        <w:t>53</w:t>
      </w:r>
      <w:r w:rsidR="00F6796F" w:rsidRPr="004E1422">
        <w:t>,</w:t>
      </w:r>
      <w:r w:rsidR="00201C3D" w:rsidRPr="004E1422">
        <w:t>8</w:t>
      </w:r>
      <w:r w:rsidR="00F6796F" w:rsidRPr="004E1422">
        <w:t xml:space="preserve"> milj.</w:t>
      </w:r>
      <w:r w:rsidR="00172635" w:rsidRPr="004E1422">
        <w:t xml:space="preserve"> </w:t>
      </w:r>
      <w:r w:rsidR="00F3520D" w:rsidRPr="004E1422">
        <w:t xml:space="preserve">euro vērtībā </w:t>
      </w:r>
      <w:r w:rsidRPr="004E1422">
        <w:t>– patiesās vērtības hierarhijas 3.</w:t>
      </w:r>
      <w:r w:rsidR="00603FE0" w:rsidRPr="004E1422">
        <w:t> </w:t>
      </w:r>
      <w:r w:rsidRPr="004E1422">
        <w:t xml:space="preserve">līmenī. </w:t>
      </w:r>
      <w:r w:rsidR="008A7804" w:rsidRPr="004E1422">
        <w:t>Finanšu ministrija</w:t>
      </w:r>
      <w:r w:rsidR="00B9767C" w:rsidRPr="004E1422">
        <w:t>s</w:t>
      </w:r>
      <w:r w:rsidR="008A7804" w:rsidRPr="004E1422">
        <w:t xml:space="preserve"> pārdošanai</w:t>
      </w:r>
      <w:r w:rsidR="00B9767C" w:rsidRPr="004E1422">
        <w:t xml:space="preserve"> pieejamie finanšu aktīvi</w:t>
      </w:r>
      <w:r w:rsidR="008A7804" w:rsidRPr="004E1422">
        <w:t xml:space="preserve"> </w:t>
      </w:r>
      <w:r w:rsidR="00172635" w:rsidRPr="004E1422">
        <w:t>7</w:t>
      </w:r>
      <w:r w:rsidR="005C0C8A" w:rsidRPr="004E1422">
        <w:t>74</w:t>
      </w:r>
      <w:r w:rsidR="00F6796F" w:rsidRPr="004E1422">
        <w:t>,7 milj.</w:t>
      </w:r>
      <w:r w:rsidR="00172635" w:rsidRPr="004E1422">
        <w:t xml:space="preserve"> </w:t>
      </w:r>
      <w:r w:rsidR="008A7804" w:rsidRPr="004E1422">
        <w:t>euro vērtībā novērtē</w:t>
      </w:r>
      <w:r w:rsidR="00B9767C" w:rsidRPr="004E1422">
        <w:t>ti</w:t>
      </w:r>
      <w:r w:rsidR="008A7804" w:rsidRPr="004E1422">
        <w:t xml:space="preserve"> izmaksu vērtībā.</w:t>
      </w:r>
    </w:p>
    <w:p w14:paraId="40310A61" w14:textId="41BA0D68" w:rsidR="005A010F" w:rsidRPr="00A27896" w:rsidRDefault="00715EF2" w:rsidP="000D2C39">
      <w:pPr>
        <w:pStyle w:val="Heading5"/>
      </w:pPr>
      <w:r w:rsidRPr="00A27896">
        <w:t xml:space="preserve">Piezīme Nr. </w:t>
      </w:r>
      <w:r w:rsidR="000B381D" w:rsidRPr="00A27896">
        <w:t>V9. Informācija par ieķīlātajiem aktīviem saistību vai iespējamo saistību nodrošinājumam sadalījumā pa finanšu instrumentiem</w:t>
      </w:r>
    </w:p>
    <w:p w14:paraId="71134E20" w14:textId="102B6403" w:rsidR="0019458D" w:rsidRPr="00A27896" w:rsidRDefault="0019458D" w:rsidP="004E1422">
      <w:pPr>
        <w:pStyle w:val="Pamatteksts1"/>
      </w:pPr>
      <w:r w:rsidRPr="00A27896">
        <w:t>Saskaņā ar budžeta iestāžu sniegto informāciju (</w:t>
      </w:r>
      <w:r w:rsidR="009E4ABD">
        <w:t>1.</w:t>
      </w:r>
      <w:r w:rsidRPr="00A27896">
        <w:t>3</w:t>
      </w:r>
      <w:r w:rsidR="00F128AB">
        <w:t>3</w:t>
      </w:r>
      <w:r w:rsidRPr="00A27896">
        <w:t>.tabulā) lielāko nekustamā īpašuma nodrošinājumu par saņemtajiem aizņēmumiem sniegušas Rīgas</w:t>
      </w:r>
      <w:r w:rsidR="00827CF2" w:rsidRPr="00A27896">
        <w:t xml:space="preserve"> pilsētas pašvaldība </w:t>
      </w:r>
      <w:r w:rsidR="00D9780A">
        <w:t>40,7 milj.</w:t>
      </w:r>
      <w:r w:rsidR="00827CF2" w:rsidRPr="00A27896">
        <w:t> </w:t>
      </w:r>
      <w:r w:rsidRPr="00A27896">
        <w:rPr>
          <w:i/>
        </w:rPr>
        <w:t>euro</w:t>
      </w:r>
      <w:r w:rsidR="001C6602" w:rsidRPr="00A27896">
        <w:rPr>
          <w:i/>
        </w:rPr>
        <w:t>,</w:t>
      </w:r>
      <w:r w:rsidRPr="00A27896">
        <w:t xml:space="preserve"> Izglītības un zinātnes ministrija</w:t>
      </w:r>
      <w:r w:rsidR="00777F3F" w:rsidRPr="00A27896">
        <w:t xml:space="preserve"> –</w:t>
      </w:r>
      <w:r w:rsidRPr="00A27896">
        <w:t xml:space="preserve"> </w:t>
      </w:r>
      <w:r w:rsidR="00777F3F" w:rsidRPr="00A27896">
        <w:t xml:space="preserve">Rēzeknes Tehnoloģiju akadēmija </w:t>
      </w:r>
      <w:r w:rsidR="00D9780A">
        <w:t>15,4 milj.</w:t>
      </w:r>
      <w:r w:rsidR="0033533F" w:rsidRPr="00A27896">
        <w:t> </w:t>
      </w:r>
      <w:r w:rsidRPr="00A27896">
        <w:rPr>
          <w:i/>
        </w:rPr>
        <w:t>euro</w:t>
      </w:r>
      <w:r w:rsidR="00AB019B">
        <w:t xml:space="preserve"> un</w:t>
      </w:r>
      <w:r w:rsidR="00451C29" w:rsidRPr="00A27896">
        <w:t xml:space="preserve"> </w:t>
      </w:r>
      <w:r w:rsidR="00896BD2" w:rsidRPr="00A27896">
        <w:t>Latvijas Universitā</w:t>
      </w:r>
      <w:r w:rsidR="00300AF5" w:rsidRPr="00A27896">
        <w:t xml:space="preserve">te </w:t>
      </w:r>
      <w:r w:rsidR="00D9780A">
        <w:t>3,4 milj.</w:t>
      </w:r>
      <w:r w:rsidR="001C6602" w:rsidRPr="00A27896">
        <w:t xml:space="preserve"> </w:t>
      </w:r>
      <w:r w:rsidR="00300AF5" w:rsidRPr="00A27896">
        <w:rPr>
          <w:i/>
        </w:rPr>
        <w:t>euro</w:t>
      </w:r>
      <w:r w:rsidR="00451C29" w:rsidRPr="00A27896">
        <w:rPr>
          <w:i/>
        </w:rPr>
        <w:t xml:space="preserve"> </w:t>
      </w:r>
      <w:r w:rsidR="00300AF5" w:rsidRPr="00A27896">
        <w:t>vērtībā</w:t>
      </w:r>
      <w:r w:rsidRPr="00A27896">
        <w:t xml:space="preserve">. </w:t>
      </w:r>
    </w:p>
    <w:p w14:paraId="58C75A9C" w14:textId="6BA880B5" w:rsidR="007519C4" w:rsidRPr="00A27896" w:rsidRDefault="009E4ABD" w:rsidP="008F26E5">
      <w:pPr>
        <w:pStyle w:val="Tabulasnosaukums1"/>
        <w:spacing w:before="120" w:line="240" w:lineRule="auto"/>
        <w:rPr>
          <w:rFonts w:cs="Times New Roman"/>
          <w:i/>
          <w:color w:val="17365D"/>
          <w:szCs w:val="22"/>
        </w:rPr>
      </w:pPr>
      <w:r>
        <w:rPr>
          <w:rFonts w:cs="Times New Roman"/>
          <w:i/>
          <w:color w:val="17365D"/>
          <w:szCs w:val="22"/>
        </w:rPr>
        <w:t>1.</w:t>
      </w:r>
      <w:r w:rsidR="007519C4" w:rsidRPr="00AD344E">
        <w:rPr>
          <w:rFonts w:cs="Times New Roman"/>
          <w:i/>
          <w:color w:val="17365D"/>
          <w:szCs w:val="22"/>
        </w:rPr>
        <w:t>3</w:t>
      </w:r>
      <w:r w:rsidR="00F128AB">
        <w:rPr>
          <w:rFonts w:cs="Times New Roman"/>
          <w:i/>
          <w:color w:val="17365D"/>
          <w:szCs w:val="22"/>
        </w:rPr>
        <w:t>3</w:t>
      </w:r>
      <w:r w:rsidR="007519C4" w:rsidRPr="00AD344E">
        <w:rPr>
          <w:rFonts w:cs="Times New Roman"/>
          <w:i/>
          <w:color w:val="17365D"/>
          <w:szCs w:val="22"/>
        </w:rPr>
        <w:t>. tabula</w:t>
      </w:r>
      <w:r w:rsidR="003877C0" w:rsidRPr="00AD344E">
        <w:rPr>
          <w:rFonts w:cs="Times New Roman"/>
          <w:i/>
          <w:color w:val="17365D"/>
          <w:szCs w:val="22"/>
        </w:rPr>
        <w:t>.</w:t>
      </w:r>
      <w:r w:rsidR="007519C4" w:rsidRPr="00AD344E">
        <w:rPr>
          <w:rFonts w:cs="Times New Roman"/>
          <w:i/>
          <w:color w:val="17365D"/>
          <w:szCs w:val="22"/>
        </w:rPr>
        <w:t xml:space="preserve"> Informācija</w:t>
      </w:r>
      <w:r w:rsidR="007519C4" w:rsidRPr="00A27896">
        <w:rPr>
          <w:rFonts w:cs="Times New Roman"/>
          <w:i/>
          <w:color w:val="17365D"/>
          <w:szCs w:val="22"/>
        </w:rPr>
        <w:t xml:space="preserve"> par ieķīlātajiem aktīviem saistību vai iespējamo saistību</w:t>
      </w:r>
    </w:p>
    <w:p w14:paraId="01B3F14E" w14:textId="32E00FB5" w:rsidR="007519C4" w:rsidRPr="00A27896" w:rsidRDefault="007519C4" w:rsidP="007519C4">
      <w:pPr>
        <w:pStyle w:val="Tabulasnosaukums1"/>
        <w:spacing w:before="0" w:line="240" w:lineRule="auto"/>
        <w:rPr>
          <w:rFonts w:cs="Times New Roman"/>
          <w:i/>
          <w:color w:val="17365D"/>
          <w:szCs w:val="22"/>
        </w:rPr>
      </w:pPr>
      <w:r w:rsidRPr="00A27896">
        <w:rPr>
          <w:rFonts w:cs="Times New Roman"/>
          <w:i/>
          <w:color w:val="17365D"/>
          <w:szCs w:val="22"/>
        </w:rPr>
        <w:t xml:space="preserve"> nodrošinājumam sadalījumā pa finanšu instrumentiem (euro)</w:t>
      </w:r>
    </w:p>
    <w:tbl>
      <w:tblPr>
        <w:tblW w:w="5007" w:type="pct"/>
        <w:tblLayout w:type="fixed"/>
        <w:tblLook w:val="04A0" w:firstRow="1" w:lastRow="0" w:firstColumn="1" w:lastColumn="0" w:noHBand="0" w:noVBand="1"/>
      </w:tblPr>
      <w:tblGrid>
        <w:gridCol w:w="3519"/>
        <w:gridCol w:w="1301"/>
        <w:gridCol w:w="2268"/>
        <w:gridCol w:w="2279"/>
      </w:tblGrid>
      <w:tr w:rsidR="000C1009" w:rsidRPr="00A27896" w14:paraId="17987407" w14:textId="2E677A8C" w:rsidTr="008E472F">
        <w:trPr>
          <w:trHeight w:val="343"/>
          <w:tblHeader/>
        </w:trPr>
        <w:tc>
          <w:tcPr>
            <w:tcW w:w="4820" w:type="dxa"/>
            <w:gridSpan w:val="2"/>
            <w:vMerge w:val="restart"/>
            <w:tcBorders>
              <w:top w:val="nil"/>
              <w:left w:val="nil"/>
              <w:right w:val="nil"/>
            </w:tcBorders>
            <w:shd w:val="clear" w:color="000000" w:fill="B9CDE5"/>
            <w:vAlign w:val="center"/>
          </w:tcPr>
          <w:p w14:paraId="1877E3C7" w14:textId="77777777" w:rsidR="00662660" w:rsidRPr="00A27896" w:rsidRDefault="00662660" w:rsidP="000B381D">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instrumenta/</w:t>
            </w:r>
          </w:p>
          <w:p w14:paraId="42FB7884" w14:textId="4A6A0B9B" w:rsidR="00662660" w:rsidRPr="00A27896" w:rsidRDefault="00662660" w:rsidP="000B381D">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konta nosaukums</w:t>
            </w:r>
          </w:p>
        </w:tc>
        <w:tc>
          <w:tcPr>
            <w:tcW w:w="4547" w:type="dxa"/>
            <w:gridSpan w:val="2"/>
            <w:tcBorders>
              <w:top w:val="nil"/>
              <w:left w:val="nil"/>
              <w:bottom w:val="single" w:sz="4" w:space="0" w:color="17365D"/>
              <w:right w:val="nil"/>
            </w:tcBorders>
            <w:shd w:val="clear" w:color="000000" w:fill="B9CDE5"/>
            <w:vAlign w:val="center"/>
          </w:tcPr>
          <w:p w14:paraId="52D50FFF" w14:textId="75713D47" w:rsidR="00662660" w:rsidRPr="00A27896" w:rsidRDefault="00662660" w:rsidP="00651A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Aktīva uzskaites (atlikusī) vērtība</w:t>
            </w:r>
          </w:p>
        </w:tc>
      </w:tr>
      <w:tr w:rsidR="000C1009" w:rsidRPr="00A27896" w14:paraId="37D7AC27" w14:textId="52D379E2" w:rsidTr="009A4177">
        <w:trPr>
          <w:trHeight w:val="267"/>
          <w:tblHeader/>
        </w:trPr>
        <w:tc>
          <w:tcPr>
            <w:tcW w:w="4820" w:type="dxa"/>
            <w:gridSpan w:val="2"/>
            <w:vMerge/>
            <w:tcBorders>
              <w:left w:val="nil"/>
              <w:bottom w:val="single" w:sz="4" w:space="0" w:color="17365D"/>
              <w:right w:val="nil"/>
            </w:tcBorders>
            <w:shd w:val="clear" w:color="000000" w:fill="B9CDE5"/>
            <w:vAlign w:val="center"/>
            <w:hideMark/>
          </w:tcPr>
          <w:p w14:paraId="4ADA0477" w14:textId="525EC351" w:rsidR="001C1C3A" w:rsidRPr="00A27896" w:rsidRDefault="001C1C3A" w:rsidP="000B381D">
            <w:pPr>
              <w:spacing w:after="0" w:line="240" w:lineRule="auto"/>
              <w:jc w:val="center"/>
              <w:rPr>
                <w:rFonts w:eastAsia="Times New Roman" w:cs="Times New Roman"/>
                <w:b/>
                <w:bCs/>
                <w:color w:val="17365D"/>
                <w:sz w:val="18"/>
                <w:szCs w:val="18"/>
                <w:lang w:eastAsia="lv-LV"/>
              </w:rPr>
            </w:pPr>
          </w:p>
        </w:tc>
        <w:tc>
          <w:tcPr>
            <w:tcW w:w="2268" w:type="dxa"/>
            <w:tcBorders>
              <w:top w:val="single" w:sz="4" w:space="0" w:color="17365D"/>
              <w:left w:val="nil"/>
              <w:bottom w:val="single" w:sz="4" w:space="0" w:color="17365D"/>
              <w:right w:val="nil"/>
            </w:tcBorders>
            <w:shd w:val="clear" w:color="000000" w:fill="B9CDE5"/>
            <w:vAlign w:val="center"/>
            <w:hideMark/>
          </w:tcPr>
          <w:p w14:paraId="28EA1941" w14:textId="60F8F61B" w:rsidR="001C1C3A" w:rsidRPr="00A27896" w:rsidRDefault="00662660" w:rsidP="0066266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2279" w:type="dxa"/>
            <w:tcBorders>
              <w:top w:val="single" w:sz="4" w:space="0" w:color="17365D"/>
              <w:left w:val="nil"/>
              <w:bottom w:val="single" w:sz="4" w:space="0" w:color="17365D"/>
              <w:right w:val="nil"/>
            </w:tcBorders>
            <w:shd w:val="clear" w:color="000000" w:fill="B9CDE5"/>
            <w:vAlign w:val="center"/>
          </w:tcPr>
          <w:p w14:paraId="15F7C18C" w14:textId="44E2C72A" w:rsidR="001C1C3A" w:rsidRPr="00A27896" w:rsidDel="001C1C3A" w:rsidRDefault="00662660" w:rsidP="0066266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0BC767EE" w14:textId="5CC8E7A8" w:rsidTr="00821FBA">
        <w:trPr>
          <w:trHeight w:val="266"/>
          <w:tblHeader/>
        </w:trPr>
        <w:tc>
          <w:tcPr>
            <w:tcW w:w="4820" w:type="dxa"/>
            <w:gridSpan w:val="2"/>
            <w:tcBorders>
              <w:top w:val="single" w:sz="4" w:space="0" w:color="17365D"/>
              <w:left w:val="nil"/>
              <w:bottom w:val="single" w:sz="4" w:space="0" w:color="17365D"/>
              <w:right w:val="nil"/>
            </w:tcBorders>
            <w:shd w:val="clear" w:color="auto" w:fill="auto"/>
            <w:vAlign w:val="center"/>
            <w:hideMark/>
          </w:tcPr>
          <w:p w14:paraId="1DEEF064" w14:textId="066A3CE3" w:rsidR="001C1C3A" w:rsidRPr="00A27896" w:rsidRDefault="001C1C3A" w:rsidP="0006089E">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2268" w:type="dxa"/>
            <w:tcBorders>
              <w:top w:val="single" w:sz="4" w:space="0" w:color="17365D"/>
              <w:left w:val="nil"/>
              <w:bottom w:val="single" w:sz="4" w:space="0" w:color="17365D"/>
              <w:right w:val="nil"/>
            </w:tcBorders>
            <w:shd w:val="clear" w:color="auto" w:fill="auto"/>
            <w:vAlign w:val="center"/>
            <w:hideMark/>
          </w:tcPr>
          <w:p w14:paraId="7288F90D" w14:textId="77777777" w:rsidR="001C1C3A" w:rsidRPr="00A27896" w:rsidRDefault="001C1C3A" w:rsidP="0006089E">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2279" w:type="dxa"/>
            <w:tcBorders>
              <w:top w:val="single" w:sz="4" w:space="0" w:color="17365D"/>
              <w:left w:val="nil"/>
              <w:bottom w:val="single" w:sz="4" w:space="0" w:color="17365D"/>
              <w:right w:val="nil"/>
            </w:tcBorders>
            <w:vAlign w:val="center"/>
          </w:tcPr>
          <w:p w14:paraId="226C0308" w14:textId="58A4B51C" w:rsidR="001C1C3A" w:rsidRPr="00A27896" w:rsidRDefault="00662660" w:rsidP="00821FBA">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r>
      <w:tr w:rsidR="00D9780A" w:rsidRPr="00A27896" w14:paraId="28629235" w14:textId="24BD0C12" w:rsidTr="00C7199B">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77F4FED3" w14:textId="303D389D" w:rsidR="00D9780A" w:rsidRPr="00A27896" w:rsidRDefault="00D9780A" w:rsidP="00D9780A">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saistību nodrošinājums</w:t>
            </w:r>
          </w:p>
        </w:tc>
        <w:tc>
          <w:tcPr>
            <w:tcW w:w="2268" w:type="dxa"/>
            <w:tcBorders>
              <w:top w:val="single" w:sz="4" w:space="0" w:color="17365D"/>
              <w:left w:val="nil"/>
              <w:bottom w:val="single" w:sz="4" w:space="0" w:color="17365D"/>
              <w:right w:val="nil"/>
            </w:tcBorders>
            <w:shd w:val="clear" w:color="auto" w:fill="auto"/>
            <w:noWrap/>
          </w:tcPr>
          <w:p w14:paraId="0CE0D546" w14:textId="36DFB7AF" w:rsidR="00D9780A" w:rsidRPr="00D9780A" w:rsidRDefault="00D9780A" w:rsidP="00D9780A">
            <w:pPr>
              <w:spacing w:after="0" w:line="240" w:lineRule="auto"/>
              <w:jc w:val="right"/>
              <w:rPr>
                <w:rFonts w:cs="Times New Roman"/>
                <w:b/>
                <w:bCs/>
                <w:color w:val="17365D"/>
                <w:sz w:val="18"/>
                <w:szCs w:val="18"/>
              </w:rPr>
            </w:pPr>
            <w:r w:rsidRPr="00D9780A">
              <w:rPr>
                <w:rFonts w:cs="Times New Roman"/>
                <w:b/>
                <w:bCs/>
                <w:color w:val="17365D"/>
                <w:sz w:val="18"/>
                <w:szCs w:val="18"/>
              </w:rPr>
              <w:t>59 745 520</w:t>
            </w:r>
          </w:p>
        </w:tc>
        <w:tc>
          <w:tcPr>
            <w:tcW w:w="2279" w:type="dxa"/>
            <w:tcBorders>
              <w:top w:val="single" w:sz="4" w:space="0" w:color="17365D"/>
              <w:left w:val="nil"/>
              <w:bottom w:val="single" w:sz="4" w:space="0" w:color="17365D"/>
              <w:right w:val="nil"/>
            </w:tcBorders>
            <w:shd w:val="clear" w:color="auto" w:fill="auto"/>
          </w:tcPr>
          <w:p w14:paraId="0384D0EE" w14:textId="0D7ACED7" w:rsidR="00D9780A" w:rsidRPr="00D9780A" w:rsidRDefault="00D9780A" w:rsidP="00D9780A">
            <w:pPr>
              <w:spacing w:after="0" w:line="240" w:lineRule="auto"/>
              <w:jc w:val="right"/>
              <w:rPr>
                <w:rFonts w:cs="Times New Roman"/>
                <w:b/>
                <w:bCs/>
                <w:color w:val="17365D"/>
                <w:sz w:val="18"/>
                <w:szCs w:val="18"/>
              </w:rPr>
            </w:pPr>
            <w:r w:rsidRPr="00D9780A">
              <w:rPr>
                <w:rFonts w:cs="Times New Roman"/>
                <w:b/>
                <w:bCs/>
                <w:color w:val="17365D"/>
                <w:sz w:val="18"/>
                <w:szCs w:val="18"/>
              </w:rPr>
              <w:t>62 390 724</w:t>
            </w:r>
          </w:p>
        </w:tc>
      </w:tr>
      <w:tr w:rsidR="00D9780A" w:rsidRPr="00A27896" w14:paraId="4D052294" w14:textId="194FEB64" w:rsidTr="00C7199B">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6E230B97" w14:textId="232CA087" w:rsidR="00D9780A" w:rsidRPr="00A27896" w:rsidRDefault="00D9780A" w:rsidP="00D9780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Aizņēmumu nodrošinājums </w:t>
            </w:r>
          </w:p>
        </w:tc>
        <w:tc>
          <w:tcPr>
            <w:tcW w:w="2268" w:type="dxa"/>
            <w:tcBorders>
              <w:top w:val="single" w:sz="4" w:space="0" w:color="17365D"/>
              <w:left w:val="nil"/>
              <w:bottom w:val="single" w:sz="4" w:space="0" w:color="17365D"/>
              <w:right w:val="nil"/>
            </w:tcBorders>
            <w:shd w:val="clear" w:color="auto" w:fill="auto"/>
            <w:noWrap/>
          </w:tcPr>
          <w:p w14:paraId="518095F1" w14:textId="08059C0B" w:rsidR="00D9780A" w:rsidRPr="00D9780A" w:rsidRDefault="00D9780A" w:rsidP="00D9780A">
            <w:pPr>
              <w:spacing w:after="0" w:line="240" w:lineRule="auto"/>
              <w:jc w:val="right"/>
              <w:rPr>
                <w:rFonts w:cs="Times New Roman"/>
                <w:color w:val="17365D"/>
                <w:sz w:val="18"/>
                <w:szCs w:val="18"/>
              </w:rPr>
            </w:pPr>
            <w:r w:rsidRPr="00D9780A">
              <w:rPr>
                <w:rFonts w:cs="Times New Roman"/>
                <w:color w:val="17365D"/>
                <w:sz w:val="18"/>
                <w:szCs w:val="18"/>
              </w:rPr>
              <w:t>59 745 520</w:t>
            </w:r>
          </w:p>
        </w:tc>
        <w:tc>
          <w:tcPr>
            <w:tcW w:w="2279" w:type="dxa"/>
            <w:tcBorders>
              <w:top w:val="single" w:sz="4" w:space="0" w:color="17365D"/>
              <w:left w:val="nil"/>
              <w:bottom w:val="single" w:sz="4" w:space="0" w:color="17365D"/>
              <w:right w:val="nil"/>
            </w:tcBorders>
            <w:shd w:val="clear" w:color="auto" w:fill="auto"/>
          </w:tcPr>
          <w:p w14:paraId="2A062642" w14:textId="66AE52A7" w:rsidR="00D9780A" w:rsidRPr="00D9780A" w:rsidRDefault="00D9780A" w:rsidP="00D9780A">
            <w:pPr>
              <w:spacing w:after="0" w:line="240" w:lineRule="auto"/>
              <w:jc w:val="right"/>
              <w:rPr>
                <w:rFonts w:cs="Times New Roman"/>
                <w:color w:val="17365D"/>
                <w:sz w:val="18"/>
                <w:szCs w:val="18"/>
              </w:rPr>
            </w:pPr>
            <w:r w:rsidRPr="00D9780A">
              <w:rPr>
                <w:rFonts w:cs="Times New Roman"/>
                <w:color w:val="17365D"/>
                <w:sz w:val="18"/>
                <w:szCs w:val="18"/>
              </w:rPr>
              <w:t>62 390 724</w:t>
            </w:r>
          </w:p>
        </w:tc>
      </w:tr>
      <w:tr w:rsidR="001C3459" w:rsidRPr="00A27896" w14:paraId="323FDE86" w14:textId="48F67E07" w:rsidTr="009A4177">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4DDAC885" w14:textId="45D91774" w:rsidR="001C3459" w:rsidRPr="00A27896" w:rsidRDefault="001C3459" w:rsidP="001C3459">
            <w:pPr>
              <w:spacing w:after="0" w:line="240" w:lineRule="auto"/>
              <w:ind w:right="57" w:firstLine="315"/>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Zeme un būves </w:t>
            </w:r>
          </w:p>
        </w:tc>
        <w:tc>
          <w:tcPr>
            <w:tcW w:w="2268" w:type="dxa"/>
            <w:tcBorders>
              <w:top w:val="single" w:sz="4" w:space="0" w:color="17365D"/>
              <w:left w:val="nil"/>
              <w:bottom w:val="single" w:sz="4" w:space="0" w:color="17365D"/>
              <w:right w:val="nil"/>
            </w:tcBorders>
            <w:shd w:val="clear" w:color="auto" w:fill="auto"/>
            <w:noWrap/>
          </w:tcPr>
          <w:p w14:paraId="5D4B7121" w14:textId="46837947" w:rsidR="001C3459" w:rsidRPr="00A27896" w:rsidRDefault="001C3459" w:rsidP="001C3459">
            <w:pPr>
              <w:spacing w:after="0" w:line="240" w:lineRule="auto"/>
              <w:jc w:val="right"/>
              <w:rPr>
                <w:rFonts w:cs="Times New Roman"/>
                <w:color w:val="17365D"/>
                <w:sz w:val="18"/>
                <w:szCs w:val="18"/>
              </w:rPr>
            </w:pPr>
            <w:r w:rsidRPr="001C3459">
              <w:rPr>
                <w:rFonts w:cs="Times New Roman"/>
                <w:color w:val="17365D"/>
                <w:sz w:val="18"/>
                <w:szCs w:val="18"/>
              </w:rPr>
              <w:t>15 684 324</w:t>
            </w:r>
          </w:p>
        </w:tc>
        <w:tc>
          <w:tcPr>
            <w:tcW w:w="2279" w:type="dxa"/>
            <w:tcBorders>
              <w:top w:val="single" w:sz="4" w:space="0" w:color="17365D"/>
              <w:left w:val="nil"/>
              <w:bottom w:val="single" w:sz="4" w:space="0" w:color="17365D"/>
              <w:right w:val="nil"/>
            </w:tcBorders>
            <w:shd w:val="clear" w:color="auto" w:fill="auto"/>
          </w:tcPr>
          <w:p w14:paraId="334DBA65" w14:textId="26B5E0E7" w:rsidR="001C3459" w:rsidRPr="00A27896" w:rsidRDefault="001C3459" w:rsidP="001C3459">
            <w:pPr>
              <w:spacing w:after="0" w:line="240" w:lineRule="auto"/>
              <w:jc w:val="right"/>
              <w:rPr>
                <w:rFonts w:cs="Times New Roman"/>
                <w:color w:val="17365D"/>
                <w:sz w:val="18"/>
                <w:szCs w:val="18"/>
              </w:rPr>
            </w:pPr>
            <w:r w:rsidRPr="001C3459">
              <w:rPr>
                <w:rFonts w:cs="Times New Roman"/>
                <w:color w:val="17365D"/>
                <w:sz w:val="18"/>
                <w:szCs w:val="18"/>
              </w:rPr>
              <w:t>17 277 677</w:t>
            </w:r>
          </w:p>
        </w:tc>
      </w:tr>
      <w:tr w:rsidR="00D9780A" w:rsidRPr="00A27896" w14:paraId="3C61C41B" w14:textId="77777777" w:rsidTr="009A4177">
        <w:trPr>
          <w:trHeight w:val="266"/>
        </w:trPr>
        <w:tc>
          <w:tcPr>
            <w:tcW w:w="4820" w:type="dxa"/>
            <w:gridSpan w:val="2"/>
            <w:tcBorders>
              <w:top w:val="single" w:sz="4" w:space="0" w:color="17365D"/>
              <w:left w:val="nil"/>
              <w:bottom w:val="single" w:sz="4" w:space="0" w:color="17365D"/>
            </w:tcBorders>
            <w:shd w:val="clear" w:color="auto" w:fill="auto"/>
            <w:vAlign w:val="center"/>
          </w:tcPr>
          <w:p w14:paraId="6B9B9BD1" w14:textId="39918CA8" w:rsidR="00D9780A" w:rsidRPr="00A27896" w:rsidRDefault="00D9780A" w:rsidP="001C3459">
            <w:pPr>
              <w:spacing w:after="0" w:line="240" w:lineRule="auto"/>
              <w:ind w:right="57" w:firstLine="315"/>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Tehnoloģiskās iekārtas un mašīnas</w:t>
            </w:r>
          </w:p>
        </w:tc>
        <w:tc>
          <w:tcPr>
            <w:tcW w:w="2268" w:type="dxa"/>
            <w:tcBorders>
              <w:top w:val="single" w:sz="4" w:space="0" w:color="17365D"/>
              <w:bottom w:val="single" w:sz="4" w:space="0" w:color="17365D"/>
            </w:tcBorders>
            <w:shd w:val="clear" w:color="auto" w:fill="auto"/>
            <w:noWrap/>
            <w:vAlign w:val="center"/>
          </w:tcPr>
          <w:p w14:paraId="4BB59284" w14:textId="14584BE1" w:rsidR="00D9780A" w:rsidRPr="00A27896" w:rsidRDefault="00D9780A" w:rsidP="00D9780A">
            <w:pPr>
              <w:spacing w:after="0" w:line="240" w:lineRule="auto"/>
              <w:jc w:val="right"/>
              <w:rPr>
                <w:rFonts w:cs="Times New Roman"/>
                <w:color w:val="17365D"/>
                <w:sz w:val="18"/>
                <w:szCs w:val="18"/>
              </w:rPr>
            </w:pPr>
            <w:r w:rsidRPr="001C3459">
              <w:rPr>
                <w:rFonts w:cs="Times New Roman"/>
                <w:color w:val="17365D"/>
                <w:sz w:val="18"/>
                <w:szCs w:val="18"/>
              </w:rPr>
              <w:t>3 375 270</w:t>
            </w:r>
          </w:p>
        </w:tc>
        <w:tc>
          <w:tcPr>
            <w:tcW w:w="2279" w:type="dxa"/>
            <w:tcBorders>
              <w:top w:val="single" w:sz="4" w:space="0" w:color="17365D"/>
              <w:bottom w:val="single" w:sz="4" w:space="0" w:color="17365D"/>
            </w:tcBorders>
            <w:shd w:val="clear" w:color="auto" w:fill="auto"/>
            <w:vAlign w:val="center"/>
          </w:tcPr>
          <w:p w14:paraId="0FC2B9E2" w14:textId="0048C655" w:rsidR="00D9780A" w:rsidRPr="00A27896" w:rsidRDefault="00D9780A" w:rsidP="00D9780A">
            <w:pPr>
              <w:spacing w:after="0" w:line="240" w:lineRule="auto"/>
              <w:jc w:val="right"/>
              <w:rPr>
                <w:rFonts w:cs="Times New Roman"/>
                <w:color w:val="17365D"/>
                <w:sz w:val="18"/>
                <w:szCs w:val="18"/>
              </w:rPr>
            </w:pPr>
            <w:r w:rsidRPr="001C3459">
              <w:rPr>
                <w:rFonts w:cs="Times New Roman"/>
                <w:color w:val="17365D"/>
                <w:sz w:val="18"/>
                <w:szCs w:val="18"/>
              </w:rPr>
              <w:t>4 081 844</w:t>
            </w:r>
          </w:p>
        </w:tc>
      </w:tr>
      <w:tr w:rsidR="00D9780A" w:rsidRPr="00A27896" w14:paraId="7D36DFAD" w14:textId="47F48517" w:rsidTr="009A4177">
        <w:trPr>
          <w:trHeight w:val="266"/>
        </w:trPr>
        <w:tc>
          <w:tcPr>
            <w:tcW w:w="4820" w:type="dxa"/>
            <w:gridSpan w:val="2"/>
            <w:tcBorders>
              <w:top w:val="single" w:sz="4" w:space="0" w:color="17365D"/>
              <w:left w:val="nil"/>
              <w:bottom w:val="single" w:sz="4" w:space="0" w:color="17365D"/>
            </w:tcBorders>
            <w:shd w:val="clear" w:color="auto" w:fill="auto"/>
            <w:vAlign w:val="center"/>
          </w:tcPr>
          <w:p w14:paraId="610F9C86" w14:textId="35F3144D" w:rsidR="00D9780A" w:rsidRPr="00A27896" w:rsidRDefault="00D9780A" w:rsidP="001C3459">
            <w:pPr>
              <w:spacing w:after="0" w:line="240" w:lineRule="auto"/>
              <w:ind w:right="57" w:firstLine="315"/>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Turējumā nodotie valsts un pašvaldību īpašumi</w:t>
            </w:r>
          </w:p>
        </w:tc>
        <w:tc>
          <w:tcPr>
            <w:tcW w:w="2268" w:type="dxa"/>
            <w:tcBorders>
              <w:top w:val="single" w:sz="4" w:space="0" w:color="17365D"/>
              <w:bottom w:val="single" w:sz="4" w:space="0" w:color="17365D"/>
            </w:tcBorders>
            <w:shd w:val="clear" w:color="auto" w:fill="auto"/>
            <w:noWrap/>
            <w:vAlign w:val="center"/>
          </w:tcPr>
          <w:p w14:paraId="2EF4B7AB" w14:textId="674C7A9A" w:rsidR="00D9780A" w:rsidRPr="00A27896" w:rsidRDefault="00D9780A" w:rsidP="00D9780A">
            <w:pPr>
              <w:spacing w:after="0" w:line="240" w:lineRule="auto"/>
              <w:jc w:val="right"/>
              <w:rPr>
                <w:rFonts w:cs="Times New Roman"/>
                <w:color w:val="17365D"/>
                <w:sz w:val="18"/>
                <w:szCs w:val="18"/>
              </w:rPr>
            </w:pPr>
            <w:r w:rsidRPr="001C3459">
              <w:rPr>
                <w:rFonts w:cs="Times New Roman"/>
                <w:color w:val="17365D"/>
                <w:sz w:val="18"/>
                <w:szCs w:val="18"/>
              </w:rPr>
              <w:t>40 685 926</w:t>
            </w:r>
          </w:p>
        </w:tc>
        <w:tc>
          <w:tcPr>
            <w:tcW w:w="2279" w:type="dxa"/>
            <w:tcBorders>
              <w:top w:val="single" w:sz="4" w:space="0" w:color="17365D"/>
              <w:bottom w:val="single" w:sz="4" w:space="0" w:color="17365D"/>
            </w:tcBorders>
            <w:shd w:val="clear" w:color="auto" w:fill="auto"/>
            <w:vAlign w:val="center"/>
          </w:tcPr>
          <w:p w14:paraId="0AA29960" w14:textId="64FBEFBC" w:rsidR="00D9780A" w:rsidRPr="00A27896" w:rsidRDefault="00D9780A" w:rsidP="00D9780A">
            <w:pPr>
              <w:spacing w:after="0" w:line="240" w:lineRule="auto"/>
              <w:jc w:val="right"/>
              <w:rPr>
                <w:rFonts w:cs="Times New Roman"/>
                <w:color w:val="17365D"/>
                <w:sz w:val="18"/>
                <w:szCs w:val="18"/>
              </w:rPr>
            </w:pPr>
            <w:r w:rsidRPr="001C3459">
              <w:rPr>
                <w:rFonts w:cs="Times New Roman"/>
                <w:color w:val="17365D"/>
                <w:sz w:val="18"/>
                <w:szCs w:val="18"/>
              </w:rPr>
              <w:t>41 031 203</w:t>
            </w:r>
          </w:p>
        </w:tc>
      </w:tr>
      <w:tr w:rsidR="000C1009" w:rsidRPr="00A27896" w14:paraId="538B40BE" w14:textId="1AE2BF6F" w:rsidTr="009A4177">
        <w:trPr>
          <w:trHeight w:val="234"/>
        </w:trPr>
        <w:tc>
          <w:tcPr>
            <w:tcW w:w="3519" w:type="dxa"/>
            <w:tcBorders>
              <w:top w:val="single" w:sz="4" w:space="0" w:color="17365D"/>
              <w:left w:val="nil"/>
              <w:bottom w:val="nil"/>
              <w:right w:val="nil"/>
            </w:tcBorders>
            <w:shd w:val="clear" w:color="000000" w:fill="B9CDE5"/>
            <w:noWrap/>
            <w:vAlign w:val="center"/>
            <w:hideMark/>
          </w:tcPr>
          <w:p w14:paraId="200C0658" w14:textId="77777777" w:rsidR="001C1C3A" w:rsidRPr="00A27896" w:rsidRDefault="001C1C3A" w:rsidP="0006089E">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3569" w:type="dxa"/>
            <w:gridSpan w:val="2"/>
            <w:tcBorders>
              <w:top w:val="single" w:sz="4" w:space="0" w:color="17365D"/>
              <w:left w:val="nil"/>
              <w:bottom w:val="nil"/>
              <w:right w:val="nil"/>
            </w:tcBorders>
            <w:shd w:val="clear" w:color="000000" w:fill="B9CDE5"/>
            <w:noWrap/>
            <w:vAlign w:val="center"/>
            <w:hideMark/>
          </w:tcPr>
          <w:p w14:paraId="085C2F32" w14:textId="77777777" w:rsidR="001C1C3A" w:rsidRPr="00A27896" w:rsidRDefault="001C1C3A" w:rsidP="0006089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279" w:type="dxa"/>
            <w:tcBorders>
              <w:top w:val="single" w:sz="4" w:space="0" w:color="17365D"/>
              <w:left w:val="nil"/>
              <w:bottom w:val="nil"/>
              <w:right w:val="nil"/>
            </w:tcBorders>
            <w:shd w:val="clear" w:color="000000" w:fill="B9CDE5"/>
          </w:tcPr>
          <w:p w14:paraId="07D6CAB6" w14:textId="77777777" w:rsidR="001C1C3A" w:rsidRPr="00A27896" w:rsidRDefault="001C1C3A" w:rsidP="0006089E">
            <w:pPr>
              <w:spacing w:after="0" w:line="240" w:lineRule="auto"/>
              <w:jc w:val="right"/>
              <w:rPr>
                <w:rFonts w:eastAsia="Times New Roman" w:cs="Times New Roman"/>
                <w:color w:val="17365D"/>
                <w:sz w:val="18"/>
                <w:szCs w:val="18"/>
                <w:lang w:eastAsia="lv-LV"/>
              </w:rPr>
            </w:pPr>
          </w:p>
        </w:tc>
      </w:tr>
    </w:tbl>
    <w:p w14:paraId="602F17C6" w14:textId="497E5255" w:rsidR="005A010F" w:rsidRPr="00A27896" w:rsidRDefault="00715EF2" w:rsidP="000D2C39">
      <w:pPr>
        <w:pStyle w:val="Heading5"/>
      </w:pPr>
      <w:r w:rsidRPr="00A27896">
        <w:t xml:space="preserve">Piezīme Nr. </w:t>
      </w:r>
      <w:r w:rsidR="005C2FC0" w:rsidRPr="00A27896">
        <w:t xml:space="preserve">V9. Informācija par finanšu instrumentu maksimālo pakļautību kredītriskam un to </w:t>
      </w:r>
      <w:proofErr w:type="spellStart"/>
      <w:r w:rsidR="005C2FC0" w:rsidRPr="00A27896">
        <w:t>kredītkvalitāti</w:t>
      </w:r>
      <w:proofErr w:type="spellEnd"/>
      <w:r w:rsidR="005C2FC0" w:rsidRPr="00A27896">
        <w:t>, sadalījumā pa termiņa kavējuma dienām</w:t>
      </w:r>
    </w:p>
    <w:p w14:paraId="3E78B4D6" w14:textId="551D52A7" w:rsidR="00147E18" w:rsidRPr="00A27896" w:rsidRDefault="00147E18" w:rsidP="004E1422">
      <w:pPr>
        <w:pStyle w:val="Pamatteksts1"/>
      </w:pPr>
      <w:r w:rsidRPr="00A27896">
        <w:t>Informācija par minist</w:t>
      </w:r>
      <w:r w:rsidR="000C1009" w:rsidRPr="00A27896">
        <w:t>r</w:t>
      </w:r>
      <w:r w:rsidRPr="00A27896">
        <w:t>iju un pašvaldību</w:t>
      </w:r>
      <w:r w:rsidR="00DB637B" w:rsidRPr="00A27896">
        <w:t>, kā arī valsts budžeta finanšu uzskaitē atzīto</w:t>
      </w:r>
      <w:r w:rsidRPr="00A27896">
        <w:t xml:space="preserve"> finanšu aktīvu apmaksas vai izpildes te</w:t>
      </w:r>
      <w:r w:rsidR="00CE213D" w:rsidRPr="00A27896">
        <w:t>r</w:t>
      </w:r>
      <w:r w:rsidRPr="00A27896">
        <w:t>miņu kavējumu un izveidoto vērtības samazinājumu sadalījumā pa finanš</w:t>
      </w:r>
      <w:r w:rsidR="00777F3F" w:rsidRPr="00A27896">
        <w:t xml:space="preserve">u instrumentu veidiem sniegta </w:t>
      </w:r>
      <w:r w:rsidR="009E4ABD">
        <w:t>1.</w:t>
      </w:r>
      <w:r w:rsidR="00777F3F" w:rsidRPr="00A27896">
        <w:t>3</w:t>
      </w:r>
      <w:r w:rsidR="00F128AB">
        <w:t>4</w:t>
      </w:r>
      <w:r w:rsidRPr="00A27896">
        <w:t>.tabulā.</w:t>
      </w:r>
    </w:p>
    <w:p w14:paraId="3C609CF3" w14:textId="60F8B96B" w:rsidR="005C2FC0" w:rsidRPr="000F041A" w:rsidRDefault="009E4ABD" w:rsidP="005C2FC0">
      <w:pPr>
        <w:pStyle w:val="Tabulasnosaukums1"/>
        <w:spacing w:before="0" w:line="240" w:lineRule="auto"/>
        <w:rPr>
          <w:rFonts w:cs="Times New Roman"/>
          <w:i/>
          <w:color w:val="17365D"/>
          <w:szCs w:val="22"/>
        </w:rPr>
      </w:pPr>
      <w:r>
        <w:rPr>
          <w:rFonts w:cs="Times New Roman"/>
          <w:i/>
          <w:color w:val="17365D"/>
          <w:szCs w:val="22"/>
        </w:rPr>
        <w:t>1.</w:t>
      </w:r>
      <w:r w:rsidR="005C2FC0" w:rsidRPr="000F041A">
        <w:rPr>
          <w:rFonts w:cs="Times New Roman"/>
          <w:i/>
          <w:color w:val="17365D"/>
          <w:szCs w:val="22"/>
        </w:rPr>
        <w:t>3</w:t>
      </w:r>
      <w:r w:rsidR="00F128AB">
        <w:rPr>
          <w:rFonts w:cs="Times New Roman"/>
          <w:i/>
          <w:color w:val="17365D"/>
          <w:szCs w:val="22"/>
        </w:rPr>
        <w:t>4</w:t>
      </w:r>
      <w:r w:rsidR="005C2FC0" w:rsidRPr="000F041A">
        <w:rPr>
          <w:rFonts w:cs="Times New Roman"/>
          <w:i/>
          <w:color w:val="17365D"/>
          <w:szCs w:val="22"/>
        </w:rPr>
        <w:t>. tabula</w:t>
      </w:r>
      <w:r w:rsidR="003877C0" w:rsidRPr="000F041A">
        <w:rPr>
          <w:rFonts w:cs="Times New Roman"/>
          <w:i/>
          <w:color w:val="17365D"/>
          <w:szCs w:val="22"/>
        </w:rPr>
        <w:t>.</w:t>
      </w:r>
      <w:r w:rsidR="005C2FC0" w:rsidRPr="000F041A">
        <w:rPr>
          <w:rFonts w:cs="Times New Roman"/>
          <w:i/>
          <w:color w:val="17365D"/>
          <w:szCs w:val="22"/>
        </w:rPr>
        <w:t xml:space="preserve"> Informācija par finanšu instrumentu maksimālo pakļautību kredītriskam</w:t>
      </w:r>
    </w:p>
    <w:p w14:paraId="62170AB8" w14:textId="5203B58D" w:rsidR="005C2FC0" w:rsidRPr="00A27896" w:rsidRDefault="005C2FC0" w:rsidP="005C2FC0">
      <w:pPr>
        <w:pStyle w:val="Tabulasnosaukums1"/>
        <w:spacing w:before="0" w:line="240" w:lineRule="auto"/>
        <w:rPr>
          <w:rFonts w:cs="Times New Roman"/>
          <w:i/>
          <w:color w:val="17365D"/>
          <w:szCs w:val="22"/>
        </w:rPr>
      </w:pPr>
      <w:r w:rsidRPr="000F041A">
        <w:rPr>
          <w:rFonts w:cs="Times New Roman"/>
          <w:i/>
          <w:color w:val="17365D"/>
          <w:szCs w:val="22"/>
        </w:rPr>
        <w:t xml:space="preserve"> un to </w:t>
      </w:r>
      <w:proofErr w:type="spellStart"/>
      <w:r w:rsidRPr="000F041A">
        <w:rPr>
          <w:rFonts w:cs="Times New Roman"/>
          <w:i/>
          <w:color w:val="17365D"/>
          <w:szCs w:val="22"/>
        </w:rPr>
        <w:t>kredītkvalitāti</w:t>
      </w:r>
      <w:proofErr w:type="spellEnd"/>
      <w:r w:rsidRPr="000F041A">
        <w:rPr>
          <w:rFonts w:cs="Times New Roman"/>
          <w:i/>
          <w:color w:val="17365D"/>
          <w:szCs w:val="22"/>
        </w:rPr>
        <w:t>, sadalījumā pa termiņa kavējuma dienām (euro)</w:t>
      </w:r>
    </w:p>
    <w:tbl>
      <w:tblPr>
        <w:tblW w:w="5001" w:type="pct"/>
        <w:tblBorders>
          <w:insideH w:val="single" w:sz="4" w:space="0" w:color="17365D"/>
        </w:tblBorders>
        <w:tblLayout w:type="fixed"/>
        <w:tblCellMar>
          <w:top w:w="28" w:type="dxa"/>
          <w:left w:w="28" w:type="dxa"/>
          <w:bottom w:w="28" w:type="dxa"/>
          <w:right w:w="28" w:type="dxa"/>
        </w:tblCellMar>
        <w:tblLook w:val="04A0" w:firstRow="1" w:lastRow="0" w:firstColumn="1" w:lastColumn="0" w:noHBand="0" w:noVBand="1"/>
      </w:tblPr>
      <w:tblGrid>
        <w:gridCol w:w="1979"/>
        <w:gridCol w:w="676"/>
        <w:gridCol w:w="597"/>
        <w:gridCol w:w="1132"/>
        <w:gridCol w:w="1145"/>
        <w:gridCol w:w="131"/>
        <w:gridCol w:w="152"/>
        <w:gridCol w:w="1121"/>
        <w:gridCol w:w="668"/>
        <w:gridCol w:w="455"/>
        <w:gridCol w:w="1300"/>
      </w:tblGrid>
      <w:tr w:rsidR="00E71C96" w:rsidRPr="00A27896" w14:paraId="404EECA4" w14:textId="21232F36" w:rsidTr="00E71C96">
        <w:trPr>
          <w:trHeight w:val="32"/>
          <w:tblHeader/>
        </w:trPr>
        <w:tc>
          <w:tcPr>
            <w:tcW w:w="1058" w:type="pct"/>
            <w:vMerge w:val="restart"/>
            <w:shd w:val="clear" w:color="auto" w:fill="B9CDE5"/>
            <w:vAlign w:val="center"/>
          </w:tcPr>
          <w:p w14:paraId="28DCDDC4" w14:textId="0AED708E" w:rsidR="00E71C96" w:rsidRPr="00A27896" w:rsidRDefault="00E71C96" w:rsidP="000C73B4">
            <w:pPr>
              <w:spacing w:after="0"/>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Finanšu instrumenta nosaukums, maksimālās pakļautības kredītriskam apraksts, termiņa kavējuma sadalījums</w:t>
            </w:r>
          </w:p>
        </w:tc>
        <w:tc>
          <w:tcPr>
            <w:tcW w:w="1897" w:type="pct"/>
            <w:gridSpan w:val="4"/>
            <w:tcBorders>
              <w:top w:val="nil"/>
              <w:bottom w:val="single" w:sz="4" w:space="0" w:color="17365D"/>
            </w:tcBorders>
            <w:shd w:val="clear" w:color="auto" w:fill="B9CDE5"/>
            <w:vAlign w:val="center"/>
          </w:tcPr>
          <w:p w14:paraId="3C345FE0" w14:textId="4A0665D1" w:rsidR="00E71C96" w:rsidRPr="00A27896" w:rsidRDefault="00E71C96" w:rsidP="000C73B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51" w:type="pct"/>
            <w:gridSpan w:val="2"/>
            <w:tcBorders>
              <w:top w:val="nil"/>
              <w:bottom w:val="nil"/>
            </w:tcBorders>
            <w:shd w:val="clear" w:color="auto" w:fill="B9CDE5"/>
          </w:tcPr>
          <w:p w14:paraId="56708102" w14:textId="1B7EB376" w:rsidR="00E71C96" w:rsidRPr="00A27896" w:rsidRDefault="00E71C96" w:rsidP="000C73B4">
            <w:pPr>
              <w:spacing w:after="0" w:line="240" w:lineRule="auto"/>
              <w:jc w:val="center"/>
              <w:rPr>
                <w:rFonts w:eastAsia="Times New Roman" w:cs="Times New Roman"/>
                <w:b/>
                <w:bCs/>
                <w:color w:val="17365D"/>
                <w:sz w:val="18"/>
                <w:szCs w:val="18"/>
                <w:lang w:eastAsia="lv-LV"/>
              </w:rPr>
            </w:pPr>
          </w:p>
        </w:tc>
        <w:tc>
          <w:tcPr>
            <w:tcW w:w="1894" w:type="pct"/>
            <w:gridSpan w:val="4"/>
            <w:tcBorders>
              <w:top w:val="nil"/>
              <w:bottom w:val="single" w:sz="4" w:space="0" w:color="17365D"/>
            </w:tcBorders>
            <w:shd w:val="clear" w:color="auto" w:fill="B9CDE5"/>
          </w:tcPr>
          <w:p w14:paraId="5DD6F206" w14:textId="143A4BE8" w:rsidR="00E71C96" w:rsidRPr="00A27896" w:rsidRDefault="00E71C96" w:rsidP="000C73B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12F43860" w14:textId="1A0FADFE" w:rsidTr="009A4177">
        <w:trPr>
          <w:trHeight w:val="416"/>
          <w:tblHeader/>
        </w:trPr>
        <w:tc>
          <w:tcPr>
            <w:tcW w:w="1058" w:type="pct"/>
            <w:vMerge/>
            <w:tcBorders>
              <w:bottom w:val="single" w:sz="4" w:space="0" w:color="17365D"/>
            </w:tcBorders>
            <w:shd w:val="clear" w:color="auto" w:fill="B9CDE5"/>
            <w:vAlign w:val="center"/>
            <w:hideMark/>
          </w:tcPr>
          <w:p w14:paraId="2ED9285F" w14:textId="4E756D43" w:rsidR="00D8776B" w:rsidRPr="00A27896" w:rsidRDefault="00D8776B" w:rsidP="00D8776B">
            <w:pPr>
              <w:spacing w:after="0"/>
              <w:jc w:val="center"/>
              <w:rPr>
                <w:rFonts w:eastAsia="Times New Roman" w:cs="Times New Roman"/>
                <w:b/>
                <w:color w:val="17365D"/>
                <w:sz w:val="18"/>
                <w:szCs w:val="18"/>
                <w:lang w:eastAsia="lv-LV"/>
              </w:rPr>
            </w:pPr>
          </w:p>
        </w:tc>
        <w:tc>
          <w:tcPr>
            <w:tcW w:w="680" w:type="pct"/>
            <w:gridSpan w:val="2"/>
            <w:tcBorders>
              <w:top w:val="single" w:sz="4" w:space="0" w:color="17365D"/>
              <w:bottom w:val="single" w:sz="4" w:space="0" w:color="17365D"/>
            </w:tcBorders>
            <w:shd w:val="clear" w:color="auto" w:fill="B9CDE5"/>
            <w:vAlign w:val="center"/>
            <w:hideMark/>
          </w:tcPr>
          <w:p w14:paraId="67E5466A" w14:textId="38F7D65A" w:rsidR="00D8776B" w:rsidRPr="00A27896" w:rsidRDefault="00D8776B" w:rsidP="00D8776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bruto</w:t>
            </w:r>
            <w:r w:rsidRPr="00A27896">
              <w:rPr>
                <w:rFonts w:eastAsia="Times New Roman" w:cs="Times New Roman"/>
                <w:b/>
                <w:color w:val="17365D"/>
                <w:sz w:val="18"/>
                <w:szCs w:val="18"/>
                <w:lang w:eastAsia="lv-LV"/>
              </w:rPr>
              <w:br/>
              <w:t>(+)</w:t>
            </w:r>
          </w:p>
        </w:tc>
        <w:tc>
          <w:tcPr>
            <w:tcW w:w="605" w:type="pct"/>
            <w:tcBorders>
              <w:top w:val="single" w:sz="4" w:space="0" w:color="17365D"/>
              <w:bottom w:val="single" w:sz="4" w:space="0" w:color="17365D"/>
            </w:tcBorders>
            <w:shd w:val="clear" w:color="auto" w:fill="B9CDE5"/>
            <w:vAlign w:val="center"/>
            <w:hideMark/>
          </w:tcPr>
          <w:p w14:paraId="61CB3FD9" w14:textId="77777777" w:rsidR="00D8776B" w:rsidRPr="00A27896" w:rsidRDefault="00D8776B" w:rsidP="00AF5BFF">
            <w:pPr>
              <w:spacing w:after="0"/>
              <w:ind w:right="-28"/>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vērtības samazinājums (+,-)</w:t>
            </w:r>
          </w:p>
        </w:tc>
        <w:tc>
          <w:tcPr>
            <w:tcW w:w="682" w:type="pct"/>
            <w:gridSpan w:val="2"/>
            <w:tcBorders>
              <w:top w:val="single" w:sz="4" w:space="0" w:color="17365D"/>
              <w:bottom w:val="single" w:sz="4" w:space="0" w:color="17365D"/>
            </w:tcBorders>
            <w:shd w:val="clear" w:color="auto" w:fill="B9CDE5"/>
            <w:vAlign w:val="center"/>
          </w:tcPr>
          <w:p w14:paraId="4D5D64E3" w14:textId="16E71A62"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vērtība</w:t>
            </w:r>
          </w:p>
        </w:tc>
        <w:tc>
          <w:tcPr>
            <w:tcW w:w="680" w:type="pct"/>
            <w:gridSpan w:val="2"/>
            <w:tcBorders>
              <w:top w:val="nil"/>
              <w:bottom w:val="single" w:sz="4" w:space="0" w:color="17365D"/>
            </w:tcBorders>
            <w:shd w:val="clear" w:color="auto" w:fill="B9CDE5"/>
            <w:vAlign w:val="center"/>
          </w:tcPr>
          <w:p w14:paraId="0F6BC827" w14:textId="05CB1FE3"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bruto</w:t>
            </w:r>
            <w:r w:rsidRPr="00A27896">
              <w:rPr>
                <w:rFonts w:eastAsia="Times New Roman" w:cs="Times New Roman"/>
                <w:b/>
                <w:color w:val="17365D"/>
                <w:sz w:val="18"/>
                <w:szCs w:val="18"/>
                <w:lang w:eastAsia="lv-LV"/>
              </w:rPr>
              <w:br/>
              <w:t>(+)</w:t>
            </w:r>
          </w:p>
        </w:tc>
        <w:tc>
          <w:tcPr>
            <w:tcW w:w="600" w:type="pct"/>
            <w:gridSpan w:val="2"/>
            <w:tcBorders>
              <w:top w:val="nil"/>
              <w:bottom w:val="single" w:sz="4" w:space="0" w:color="17365D"/>
            </w:tcBorders>
            <w:shd w:val="clear" w:color="auto" w:fill="B9CDE5"/>
            <w:vAlign w:val="center"/>
          </w:tcPr>
          <w:p w14:paraId="789F0995" w14:textId="77777777" w:rsidR="00100EA1" w:rsidRPr="00A27896" w:rsidRDefault="00D8776B" w:rsidP="00100EA1">
            <w:pPr>
              <w:spacing w:after="0"/>
              <w:ind w:left="-33" w:right="-24"/>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vērtības samazinājums </w:t>
            </w:r>
          </w:p>
          <w:p w14:paraId="49E04132" w14:textId="3D657750"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w:t>
            </w:r>
          </w:p>
        </w:tc>
        <w:tc>
          <w:tcPr>
            <w:tcW w:w="695" w:type="pct"/>
            <w:tcBorders>
              <w:top w:val="nil"/>
              <w:bottom w:val="single" w:sz="4" w:space="0" w:color="17365D"/>
            </w:tcBorders>
            <w:shd w:val="clear" w:color="auto" w:fill="B9CDE5"/>
            <w:vAlign w:val="center"/>
          </w:tcPr>
          <w:p w14:paraId="6692ACA2" w14:textId="0BBD97BB"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vērtība</w:t>
            </w:r>
          </w:p>
        </w:tc>
      </w:tr>
      <w:tr w:rsidR="000C1009" w:rsidRPr="00A27896" w14:paraId="18E88844" w14:textId="23F5A802" w:rsidTr="00751780">
        <w:trPr>
          <w:trHeight w:val="26"/>
          <w:tblHeader/>
        </w:trPr>
        <w:tc>
          <w:tcPr>
            <w:tcW w:w="1058" w:type="pct"/>
            <w:tcBorders>
              <w:top w:val="single" w:sz="4" w:space="0" w:color="17365D"/>
              <w:bottom w:val="single" w:sz="4" w:space="0" w:color="auto"/>
            </w:tcBorders>
            <w:shd w:val="clear" w:color="auto" w:fill="auto"/>
            <w:vAlign w:val="center"/>
            <w:hideMark/>
          </w:tcPr>
          <w:p w14:paraId="3E238188" w14:textId="74E2B6A9"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80" w:type="pct"/>
            <w:gridSpan w:val="2"/>
            <w:tcBorders>
              <w:top w:val="single" w:sz="4" w:space="0" w:color="17365D"/>
              <w:bottom w:val="single" w:sz="4" w:space="0" w:color="auto"/>
            </w:tcBorders>
            <w:shd w:val="clear" w:color="auto" w:fill="auto"/>
            <w:vAlign w:val="center"/>
            <w:hideMark/>
          </w:tcPr>
          <w:p w14:paraId="25AE878D" w14:textId="2F4966BF"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605" w:type="pct"/>
            <w:tcBorders>
              <w:top w:val="single" w:sz="4" w:space="0" w:color="17365D"/>
              <w:bottom w:val="single" w:sz="4" w:space="0" w:color="auto"/>
            </w:tcBorders>
            <w:shd w:val="clear" w:color="auto" w:fill="auto"/>
            <w:vAlign w:val="center"/>
            <w:hideMark/>
          </w:tcPr>
          <w:p w14:paraId="3392E758" w14:textId="777E8C6D"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82" w:type="pct"/>
            <w:gridSpan w:val="2"/>
            <w:tcBorders>
              <w:top w:val="single" w:sz="4" w:space="0" w:color="17365D"/>
              <w:bottom w:val="single" w:sz="4" w:space="0" w:color="auto"/>
            </w:tcBorders>
          </w:tcPr>
          <w:p w14:paraId="25C1DA83" w14:textId="1454478E"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80" w:type="pct"/>
            <w:gridSpan w:val="2"/>
            <w:tcBorders>
              <w:top w:val="single" w:sz="4" w:space="0" w:color="17365D"/>
              <w:bottom w:val="single" w:sz="4" w:space="0" w:color="auto"/>
            </w:tcBorders>
          </w:tcPr>
          <w:p w14:paraId="1AD9EF70" w14:textId="10D930F0" w:rsidR="00D8776B" w:rsidRPr="00A27896" w:rsidRDefault="000C3468"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c>
          <w:tcPr>
            <w:tcW w:w="600" w:type="pct"/>
            <w:gridSpan w:val="2"/>
            <w:tcBorders>
              <w:top w:val="single" w:sz="4" w:space="0" w:color="17365D"/>
              <w:bottom w:val="single" w:sz="4" w:space="0" w:color="auto"/>
            </w:tcBorders>
          </w:tcPr>
          <w:p w14:paraId="048E7030" w14:textId="2FFF1AB7" w:rsidR="00D8776B" w:rsidRPr="00A27896" w:rsidRDefault="000C3468"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w:t>
            </w:r>
          </w:p>
        </w:tc>
        <w:tc>
          <w:tcPr>
            <w:tcW w:w="695" w:type="pct"/>
            <w:tcBorders>
              <w:top w:val="single" w:sz="4" w:space="0" w:color="17365D"/>
              <w:bottom w:val="single" w:sz="4" w:space="0" w:color="auto"/>
            </w:tcBorders>
          </w:tcPr>
          <w:p w14:paraId="223B1072" w14:textId="390F09A6" w:rsidR="00D8776B" w:rsidRPr="00A27896" w:rsidRDefault="000C3468"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6</w:t>
            </w:r>
          </w:p>
        </w:tc>
      </w:tr>
      <w:tr w:rsidR="005C0C8A" w:rsidRPr="00A27896" w14:paraId="71670B86" w14:textId="4EF2B656" w:rsidTr="000F041A">
        <w:trPr>
          <w:trHeight w:val="221"/>
        </w:trPr>
        <w:tc>
          <w:tcPr>
            <w:tcW w:w="1058" w:type="pct"/>
            <w:tcBorders>
              <w:top w:val="single" w:sz="4" w:space="0" w:color="auto"/>
              <w:bottom w:val="single" w:sz="4" w:space="0" w:color="auto"/>
            </w:tcBorders>
            <w:vAlign w:val="center"/>
          </w:tcPr>
          <w:p w14:paraId="2BC066C8" w14:textId="03CD3D8C" w:rsidR="005C0C8A" w:rsidRPr="00A27896" w:rsidRDefault="005C0C8A" w:rsidP="005C0C8A">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aktīvi</w:t>
            </w:r>
          </w:p>
        </w:tc>
        <w:tc>
          <w:tcPr>
            <w:tcW w:w="680" w:type="pct"/>
            <w:gridSpan w:val="2"/>
            <w:tcBorders>
              <w:top w:val="single" w:sz="4" w:space="0" w:color="auto"/>
              <w:left w:val="nil"/>
              <w:bottom w:val="single" w:sz="4" w:space="0" w:color="auto"/>
              <w:right w:val="nil"/>
            </w:tcBorders>
            <w:shd w:val="clear" w:color="auto" w:fill="auto"/>
            <w:vAlign w:val="center"/>
          </w:tcPr>
          <w:p w14:paraId="50052A2D" w14:textId="3464A709"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1 735 864 784</w:t>
            </w:r>
          </w:p>
        </w:tc>
        <w:tc>
          <w:tcPr>
            <w:tcW w:w="605" w:type="pct"/>
            <w:tcBorders>
              <w:top w:val="single" w:sz="4" w:space="0" w:color="auto"/>
              <w:left w:val="nil"/>
              <w:bottom w:val="single" w:sz="4" w:space="0" w:color="auto"/>
              <w:right w:val="nil"/>
            </w:tcBorders>
            <w:shd w:val="clear" w:color="auto" w:fill="auto"/>
            <w:vAlign w:val="center"/>
          </w:tcPr>
          <w:p w14:paraId="712FE07A" w14:textId="12D92F7B"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-420 558 795</w:t>
            </w:r>
          </w:p>
        </w:tc>
        <w:tc>
          <w:tcPr>
            <w:tcW w:w="682" w:type="pct"/>
            <w:gridSpan w:val="2"/>
            <w:tcBorders>
              <w:top w:val="single" w:sz="4" w:space="0" w:color="auto"/>
              <w:left w:val="nil"/>
              <w:bottom w:val="single" w:sz="4" w:space="0" w:color="auto"/>
              <w:right w:val="nil"/>
            </w:tcBorders>
            <w:shd w:val="clear" w:color="auto" w:fill="auto"/>
            <w:vAlign w:val="center"/>
          </w:tcPr>
          <w:p w14:paraId="54C3AA3F" w14:textId="4B144724"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1 315 305 989</w:t>
            </w:r>
          </w:p>
        </w:tc>
        <w:tc>
          <w:tcPr>
            <w:tcW w:w="680" w:type="pct"/>
            <w:gridSpan w:val="2"/>
            <w:tcBorders>
              <w:top w:val="single" w:sz="4" w:space="0" w:color="auto"/>
              <w:left w:val="nil"/>
              <w:bottom w:val="single" w:sz="4" w:space="0" w:color="auto"/>
              <w:right w:val="nil"/>
            </w:tcBorders>
            <w:shd w:val="clear" w:color="auto" w:fill="auto"/>
            <w:vAlign w:val="center"/>
          </w:tcPr>
          <w:p w14:paraId="252D5CFA" w14:textId="0C581728"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1 674 442 066</w:t>
            </w:r>
          </w:p>
        </w:tc>
        <w:tc>
          <w:tcPr>
            <w:tcW w:w="600" w:type="pct"/>
            <w:gridSpan w:val="2"/>
            <w:tcBorders>
              <w:top w:val="single" w:sz="4" w:space="0" w:color="auto"/>
              <w:left w:val="nil"/>
              <w:bottom w:val="single" w:sz="4" w:space="0" w:color="auto"/>
              <w:right w:val="nil"/>
            </w:tcBorders>
            <w:shd w:val="clear" w:color="auto" w:fill="auto"/>
            <w:vAlign w:val="center"/>
          </w:tcPr>
          <w:p w14:paraId="3306B853" w14:textId="1A437915"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-421 150 126</w:t>
            </w:r>
          </w:p>
        </w:tc>
        <w:tc>
          <w:tcPr>
            <w:tcW w:w="695" w:type="pct"/>
            <w:tcBorders>
              <w:top w:val="single" w:sz="4" w:space="0" w:color="auto"/>
              <w:left w:val="nil"/>
              <w:bottom w:val="single" w:sz="4" w:space="0" w:color="auto"/>
              <w:right w:val="nil"/>
            </w:tcBorders>
            <w:shd w:val="clear" w:color="auto" w:fill="auto"/>
            <w:vAlign w:val="center"/>
          </w:tcPr>
          <w:p w14:paraId="5049E1AD" w14:textId="028DFA02"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1 253 291 940</w:t>
            </w:r>
          </w:p>
        </w:tc>
      </w:tr>
      <w:tr w:rsidR="005C0C8A" w:rsidRPr="00A27896" w14:paraId="29D212AE" w14:textId="3D637AEC" w:rsidTr="000F041A">
        <w:trPr>
          <w:trHeight w:val="964"/>
        </w:trPr>
        <w:tc>
          <w:tcPr>
            <w:tcW w:w="1058" w:type="pct"/>
            <w:tcBorders>
              <w:top w:val="single" w:sz="4" w:space="0" w:color="auto"/>
              <w:bottom w:val="single" w:sz="4" w:space="0" w:color="auto"/>
            </w:tcBorders>
            <w:vAlign w:val="center"/>
          </w:tcPr>
          <w:p w14:paraId="19320F50" w14:textId="54CDF08D" w:rsidR="005C0C8A" w:rsidRPr="00A27896" w:rsidRDefault="005C0C8A" w:rsidP="005C0C8A">
            <w:pPr>
              <w:spacing w:after="0" w:line="240" w:lineRule="auto"/>
              <w:ind w:right="57"/>
              <w:rPr>
                <w:rFonts w:eastAsia="Times New Roman" w:cs="Times New Roman"/>
                <w:b/>
                <w:i/>
                <w:color w:val="17365D"/>
                <w:sz w:val="18"/>
                <w:szCs w:val="18"/>
                <w:lang w:eastAsia="lv-LV"/>
              </w:rPr>
            </w:pPr>
            <w:r w:rsidRPr="00A27896">
              <w:rPr>
                <w:rFonts w:eastAsia="Times New Roman" w:cs="Times New Roman"/>
                <w:b/>
                <w:i/>
                <w:color w:val="17365D"/>
                <w:sz w:val="18"/>
                <w:szCs w:val="18"/>
                <w:lang w:eastAsia="lv-LV"/>
              </w:rPr>
              <w:t>termiņš nav kavēts, bet finanšu instrumentiem gan ir, gan arī nav aprēķināts vērtības samazinājums;</w:t>
            </w:r>
          </w:p>
        </w:tc>
        <w:tc>
          <w:tcPr>
            <w:tcW w:w="680" w:type="pct"/>
            <w:gridSpan w:val="2"/>
            <w:tcBorders>
              <w:top w:val="single" w:sz="4" w:space="0" w:color="auto"/>
              <w:left w:val="nil"/>
              <w:bottom w:val="single" w:sz="4" w:space="0" w:color="auto"/>
              <w:right w:val="nil"/>
            </w:tcBorders>
            <w:shd w:val="clear" w:color="auto" w:fill="auto"/>
            <w:vAlign w:val="center"/>
          </w:tcPr>
          <w:p w14:paraId="0FB087BC" w14:textId="47D6C3E8"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1 316 326 210</w:t>
            </w:r>
          </w:p>
        </w:tc>
        <w:tc>
          <w:tcPr>
            <w:tcW w:w="605" w:type="pct"/>
            <w:tcBorders>
              <w:top w:val="single" w:sz="4" w:space="0" w:color="auto"/>
              <w:left w:val="nil"/>
              <w:bottom w:val="single" w:sz="4" w:space="0" w:color="auto"/>
              <w:right w:val="nil"/>
            </w:tcBorders>
            <w:shd w:val="clear" w:color="auto" w:fill="auto"/>
            <w:vAlign w:val="center"/>
          </w:tcPr>
          <w:p w14:paraId="0253E66E" w14:textId="0275D4C3"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-2 048 511</w:t>
            </w:r>
          </w:p>
        </w:tc>
        <w:tc>
          <w:tcPr>
            <w:tcW w:w="682" w:type="pct"/>
            <w:gridSpan w:val="2"/>
            <w:tcBorders>
              <w:top w:val="single" w:sz="4" w:space="0" w:color="auto"/>
              <w:left w:val="nil"/>
              <w:bottom w:val="single" w:sz="4" w:space="0" w:color="auto"/>
              <w:right w:val="nil"/>
            </w:tcBorders>
            <w:shd w:val="clear" w:color="auto" w:fill="auto"/>
            <w:vAlign w:val="center"/>
          </w:tcPr>
          <w:p w14:paraId="67BBC71A" w14:textId="490FF45C"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1 314 277 699</w:t>
            </w:r>
          </w:p>
        </w:tc>
        <w:tc>
          <w:tcPr>
            <w:tcW w:w="680" w:type="pct"/>
            <w:gridSpan w:val="2"/>
            <w:tcBorders>
              <w:top w:val="single" w:sz="4" w:space="0" w:color="auto"/>
              <w:left w:val="nil"/>
              <w:bottom w:val="single" w:sz="4" w:space="0" w:color="auto"/>
              <w:right w:val="nil"/>
            </w:tcBorders>
            <w:shd w:val="clear" w:color="auto" w:fill="auto"/>
            <w:vAlign w:val="center"/>
          </w:tcPr>
          <w:p w14:paraId="43E8074F" w14:textId="1A27956D"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1 254 957 720</w:t>
            </w:r>
          </w:p>
        </w:tc>
        <w:tc>
          <w:tcPr>
            <w:tcW w:w="600" w:type="pct"/>
            <w:gridSpan w:val="2"/>
            <w:tcBorders>
              <w:top w:val="single" w:sz="4" w:space="0" w:color="auto"/>
              <w:left w:val="nil"/>
              <w:bottom w:val="single" w:sz="4" w:space="0" w:color="auto"/>
              <w:right w:val="nil"/>
            </w:tcBorders>
            <w:shd w:val="clear" w:color="auto" w:fill="auto"/>
            <w:vAlign w:val="center"/>
          </w:tcPr>
          <w:p w14:paraId="02B5BAAE" w14:textId="3334937C"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-2 373 101</w:t>
            </w:r>
          </w:p>
        </w:tc>
        <w:tc>
          <w:tcPr>
            <w:tcW w:w="695" w:type="pct"/>
            <w:tcBorders>
              <w:top w:val="single" w:sz="4" w:space="0" w:color="auto"/>
              <w:left w:val="nil"/>
              <w:bottom w:val="single" w:sz="4" w:space="0" w:color="auto"/>
              <w:right w:val="nil"/>
            </w:tcBorders>
            <w:shd w:val="clear" w:color="auto" w:fill="auto"/>
            <w:vAlign w:val="center"/>
          </w:tcPr>
          <w:p w14:paraId="2C6F77BE" w14:textId="5296AD4F" w:rsidR="005C0C8A" w:rsidRPr="00CA7E3C"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1 252 584 619</w:t>
            </w:r>
          </w:p>
        </w:tc>
      </w:tr>
      <w:tr w:rsidR="005C0C8A" w:rsidRPr="000F041A" w14:paraId="62DB8C69" w14:textId="77777777" w:rsidTr="000F041A">
        <w:trPr>
          <w:trHeight w:val="204"/>
        </w:trPr>
        <w:tc>
          <w:tcPr>
            <w:tcW w:w="1058" w:type="pct"/>
            <w:tcBorders>
              <w:top w:val="single" w:sz="4" w:space="0" w:color="auto"/>
              <w:bottom w:val="single" w:sz="4" w:space="0" w:color="auto"/>
            </w:tcBorders>
          </w:tcPr>
          <w:p w14:paraId="0D826FD0" w14:textId="3E36DE2F" w:rsidR="005C0C8A" w:rsidRPr="00A27896" w:rsidRDefault="005C0C8A" w:rsidP="005C0C8A">
            <w:pPr>
              <w:spacing w:after="0" w:line="240" w:lineRule="auto"/>
              <w:ind w:right="57"/>
              <w:rPr>
                <w:rFonts w:eastAsia="Times New Roman" w:cs="Times New Roman"/>
                <w:color w:val="17365D"/>
                <w:sz w:val="18"/>
                <w:szCs w:val="18"/>
                <w:lang w:eastAsia="lv-LV"/>
              </w:rPr>
            </w:pPr>
            <w:r w:rsidRPr="000F041A">
              <w:rPr>
                <w:rFonts w:eastAsia="Times New Roman" w:cs="Times New Roman"/>
                <w:color w:val="17365D"/>
                <w:sz w:val="18"/>
                <w:szCs w:val="18"/>
                <w:lang w:eastAsia="lv-LV"/>
              </w:rPr>
              <w:lastRenderedPageBreak/>
              <w:t>Atvasinātie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60084811" w14:textId="59F6752F"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40 901 913</w:t>
            </w:r>
          </w:p>
        </w:tc>
        <w:tc>
          <w:tcPr>
            <w:tcW w:w="605" w:type="pct"/>
            <w:tcBorders>
              <w:top w:val="single" w:sz="4" w:space="0" w:color="auto"/>
              <w:left w:val="nil"/>
              <w:bottom w:val="single" w:sz="4" w:space="0" w:color="auto"/>
              <w:right w:val="nil"/>
            </w:tcBorders>
            <w:shd w:val="clear" w:color="auto" w:fill="auto"/>
            <w:vAlign w:val="center"/>
          </w:tcPr>
          <w:p w14:paraId="38C19549" w14:textId="5EFA6A2F"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82" w:type="pct"/>
            <w:gridSpan w:val="2"/>
            <w:tcBorders>
              <w:top w:val="single" w:sz="4" w:space="0" w:color="auto"/>
              <w:left w:val="nil"/>
              <w:bottom w:val="single" w:sz="4" w:space="0" w:color="auto"/>
              <w:right w:val="nil"/>
            </w:tcBorders>
            <w:shd w:val="clear" w:color="auto" w:fill="auto"/>
            <w:vAlign w:val="center"/>
          </w:tcPr>
          <w:p w14:paraId="7588D494" w14:textId="47C86C4F"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40 901 913</w:t>
            </w:r>
          </w:p>
        </w:tc>
        <w:tc>
          <w:tcPr>
            <w:tcW w:w="680" w:type="pct"/>
            <w:gridSpan w:val="2"/>
            <w:tcBorders>
              <w:top w:val="single" w:sz="4" w:space="0" w:color="auto"/>
              <w:left w:val="nil"/>
              <w:bottom w:val="single" w:sz="4" w:space="0" w:color="auto"/>
              <w:right w:val="nil"/>
            </w:tcBorders>
            <w:shd w:val="clear" w:color="auto" w:fill="auto"/>
            <w:vAlign w:val="center"/>
          </w:tcPr>
          <w:p w14:paraId="1D502169" w14:textId="6EEFE75E"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00" w:type="pct"/>
            <w:gridSpan w:val="2"/>
            <w:tcBorders>
              <w:top w:val="single" w:sz="4" w:space="0" w:color="auto"/>
              <w:left w:val="nil"/>
              <w:bottom w:val="single" w:sz="4" w:space="0" w:color="auto"/>
              <w:right w:val="nil"/>
            </w:tcBorders>
            <w:shd w:val="clear" w:color="auto" w:fill="auto"/>
            <w:vAlign w:val="center"/>
          </w:tcPr>
          <w:p w14:paraId="261E8580" w14:textId="048BE4BB"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95" w:type="pct"/>
            <w:tcBorders>
              <w:top w:val="single" w:sz="4" w:space="0" w:color="auto"/>
              <w:left w:val="nil"/>
              <w:bottom w:val="single" w:sz="4" w:space="0" w:color="auto"/>
              <w:right w:val="nil"/>
            </w:tcBorders>
            <w:shd w:val="clear" w:color="auto" w:fill="auto"/>
            <w:vAlign w:val="center"/>
          </w:tcPr>
          <w:p w14:paraId="7BF4367E" w14:textId="05D29CD9"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r>
      <w:tr w:rsidR="005C0C8A" w:rsidRPr="00A27896" w14:paraId="1954A6F4" w14:textId="4B517CDA" w:rsidTr="000F041A">
        <w:trPr>
          <w:trHeight w:val="204"/>
        </w:trPr>
        <w:tc>
          <w:tcPr>
            <w:tcW w:w="1058" w:type="pct"/>
            <w:tcBorders>
              <w:top w:val="single" w:sz="4" w:space="0" w:color="auto"/>
              <w:bottom w:val="single" w:sz="4" w:space="0" w:color="auto"/>
            </w:tcBorders>
            <w:vAlign w:val="center"/>
          </w:tcPr>
          <w:p w14:paraId="7B236CB5" w14:textId="6CDB0E14"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680" w:type="pct"/>
            <w:gridSpan w:val="2"/>
            <w:tcBorders>
              <w:top w:val="single" w:sz="4" w:space="0" w:color="auto"/>
              <w:left w:val="nil"/>
              <w:bottom w:val="single" w:sz="4" w:space="0" w:color="auto"/>
              <w:right w:val="nil"/>
            </w:tcBorders>
            <w:shd w:val="clear" w:color="auto" w:fill="auto"/>
            <w:vAlign w:val="center"/>
          </w:tcPr>
          <w:p w14:paraId="554F8A2B" w14:textId="5D58C3EE"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164</w:t>
            </w:r>
          </w:p>
        </w:tc>
        <w:tc>
          <w:tcPr>
            <w:tcW w:w="605" w:type="pct"/>
            <w:tcBorders>
              <w:top w:val="single" w:sz="4" w:space="0" w:color="auto"/>
              <w:left w:val="nil"/>
              <w:bottom w:val="single" w:sz="4" w:space="0" w:color="auto"/>
              <w:right w:val="nil"/>
            </w:tcBorders>
            <w:shd w:val="clear" w:color="auto" w:fill="auto"/>
            <w:vAlign w:val="center"/>
          </w:tcPr>
          <w:p w14:paraId="67747ADF" w14:textId="00909849"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0</w:t>
            </w:r>
          </w:p>
        </w:tc>
        <w:tc>
          <w:tcPr>
            <w:tcW w:w="682" w:type="pct"/>
            <w:gridSpan w:val="2"/>
            <w:tcBorders>
              <w:top w:val="single" w:sz="4" w:space="0" w:color="auto"/>
              <w:left w:val="nil"/>
              <w:bottom w:val="single" w:sz="4" w:space="0" w:color="auto"/>
              <w:right w:val="nil"/>
            </w:tcBorders>
            <w:shd w:val="clear" w:color="auto" w:fill="auto"/>
            <w:vAlign w:val="center"/>
          </w:tcPr>
          <w:p w14:paraId="7A9AA263" w14:textId="0D33A8E7"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164</w:t>
            </w:r>
          </w:p>
        </w:tc>
        <w:tc>
          <w:tcPr>
            <w:tcW w:w="680" w:type="pct"/>
            <w:gridSpan w:val="2"/>
            <w:tcBorders>
              <w:top w:val="single" w:sz="4" w:space="0" w:color="auto"/>
              <w:left w:val="nil"/>
              <w:bottom w:val="single" w:sz="4" w:space="0" w:color="auto"/>
              <w:right w:val="nil"/>
            </w:tcBorders>
            <w:shd w:val="clear" w:color="auto" w:fill="auto"/>
            <w:vAlign w:val="center"/>
          </w:tcPr>
          <w:p w14:paraId="773E1006" w14:textId="5950F037"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1 093</w:t>
            </w:r>
          </w:p>
        </w:tc>
        <w:tc>
          <w:tcPr>
            <w:tcW w:w="600" w:type="pct"/>
            <w:gridSpan w:val="2"/>
            <w:tcBorders>
              <w:top w:val="single" w:sz="4" w:space="0" w:color="auto"/>
              <w:left w:val="nil"/>
              <w:bottom w:val="single" w:sz="4" w:space="0" w:color="auto"/>
              <w:right w:val="nil"/>
            </w:tcBorders>
            <w:shd w:val="clear" w:color="auto" w:fill="auto"/>
            <w:vAlign w:val="center"/>
          </w:tcPr>
          <w:p w14:paraId="4D2EAC41" w14:textId="08E747D4"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0</w:t>
            </w:r>
          </w:p>
        </w:tc>
        <w:tc>
          <w:tcPr>
            <w:tcW w:w="695" w:type="pct"/>
            <w:tcBorders>
              <w:top w:val="single" w:sz="4" w:space="0" w:color="auto"/>
              <w:left w:val="nil"/>
              <w:bottom w:val="single" w:sz="4" w:space="0" w:color="auto"/>
              <w:right w:val="nil"/>
            </w:tcBorders>
            <w:shd w:val="clear" w:color="auto" w:fill="auto"/>
            <w:vAlign w:val="center"/>
          </w:tcPr>
          <w:p w14:paraId="102FA651" w14:textId="4CF60977"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1 093</w:t>
            </w:r>
          </w:p>
        </w:tc>
      </w:tr>
      <w:tr w:rsidR="005C0C8A" w:rsidRPr="00A27896" w14:paraId="1B99D973" w14:textId="0F0C3337" w:rsidTr="000F041A">
        <w:trPr>
          <w:trHeight w:val="204"/>
        </w:trPr>
        <w:tc>
          <w:tcPr>
            <w:tcW w:w="1058" w:type="pct"/>
            <w:tcBorders>
              <w:top w:val="single" w:sz="4" w:space="0" w:color="auto"/>
              <w:bottom w:val="single" w:sz="4" w:space="0" w:color="auto"/>
            </w:tcBorders>
            <w:vAlign w:val="center"/>
          </w:tcPr>
          <w:p w14:paraId="5F95A333" w14:textId="54703A29"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Noguldījumi</w:t>
            </w:r>
          </w:p>
        </w:tc>
        <w:tc>
          <w:tcPr>
            <w:tcW w:w="680" w:type="pct"/>
            <w:gridSpan w:val="2"/>
            <w:tcBorders>
              <w:top w:val="single" w:sz="4" w:space="0" w:color="auto"/>
              <w:left w:val="nil"/>
              <w:bottom w:val="single" w:sz="4" w:space="0" w:color="auto"/>
              <w:right w:val="nil"/>
            </w:tcBorders>
            <w:shd w:val="clear" w:color="auto" w:fill="auto"/>
            <w:vAlign w:val="center"/>
          </w:tcPr>
          <w:p w14:paraId="203CBB81" w14:textId="4F6DE0C4"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81 908 535</w:t>
            </w:r>
          </w:p>
        </w:tc>
        <w:tc>
          <w:tcPr>
            <w:tcW w:w="605" w:type="pct"/>
            <w:tcBorders>
              <w:top w:val="single" w:sz="4" w:space="0" w:color="auto"/>
              <w:left w:val="nil"/>
              <w:bottom w:val="single" w:sz="4" w:space="0" w:color="auto"/>
              <w:right w:val="nil"/>
            </w:tcBorders>
            <w:shd w:val="clear" w:color="auto" w:fill="auto"/>
            <w:vAlign w:val="center"/>
          </w:tcPr>
          <w:p w14:paraId="54F1F46A" w14:textId="5ACA9DCB"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0</w:t>
            </w:r>
          </w:p>
        </w:tc>
        <w:tc>
          <w:tcPr>
            <w:tcW w:w="682" w:type="pct"/>
            <w:gridSpan w:val="2"/>
            <w:tcBorders>
              <w:top w:val="single" w:sz="4" w:space="0" w:color="auto"/>
              <w:left w:val="nil"/>
              <w:bottom w:val="single" w:sz="4" w:space="0" w:color="auto"/>
              <w:right w:val="nil"/>
            </w:tcBorders>
            <w:shd w:val="clear" w:color="auto" w:fill="auto"/>
            <w:vAlign w:val="center"/>
          </w:tcPr>
          <w:p w14:paraId="613A7B52" w14:textId="6BBDD821"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81 908 535</w:t>
            </w:r>
          </w:p>
        </w:tc>
        <w:tc>
          <w:tcPr>
            <w:tcW w:w="680" w:type="pct"/>
            <w:gridSpan w:val="2"/>
            <w:tcBorders>
              <w:top w:val="single" w:sz="4" w:space="0" w:color="auto"/>
              <w:left w:val="nil"/>
              <w:bottom w:val="single" w:sz="4" w:space="0" w:color="auto"/>
              <w:right w:val="nil"/>
            </w:tcBorders>
            <w:shd w:val="clear" w:color="auto" w:fill="auto"/>
            <w:vAlign w:val="center"/>
          </w:tcPr>
          <w:p w14:paraId="5D83C5A1" w14:textId="037BC695"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42 356 005</w:t>
            </w:r>
          </w:p>
        </w:tc>
        <w:tc>
          <w:tcPr>
            <w:tcW w:w="600" w:type="pct"/>
            <w:gridSpan w:val="2"/>
            <w:tcBorders>
              <w:top w:val="single" w:sz="4" w:space="0" w:color="auto"/>
              <w:left w:val="nil"/>
              <w:bottom w:val="single" w:sz="4" w:space="0" w:color="auto"/>
              <w:right w:val="nil"/>
            </w:tcBorders>
            <w:shd w:val="clear" w:color="auto" w:fill="auto"/>
            <w:vAlign w:val="center"/>
          </w:tcPr>
          <w:p w14:paraId="30890D5D" w14:textId="0235821F"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0</w:t>
            </w:r>
          </w:p>
        </w:tc>
        <w:tc>
          <w:tcPr>
            <w:tcW w:w="695" w:type="pct"/>
            <w:tcBorders>
              <w:top w:val="single" w:sz="4" w:space="0" w:color="auto"/>
              <w:left w:val="nil"/>
              <w:bottom w:val="single" w:sz="4" w:space="0" w:color="auto"/>
              <w:right w:val="nil"/>
            </w:tcBorders>
            <w:shd w:val="clear" w:color="auto" w:fill="auto"/>
            <w:vAlign w:val="center"/>
          </w:tcPr>
          <w:p w14:paraId="62158AE3" w14:textId="3E4F70AA"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42 356 005</w:t>
            </w:r>
          </w:p>
        </w:tc>
      </w:tr>
      <w:tr w:rsidR="005C0C8A" w:rsidRPr="00A27896" w14:paraId="5300B806" w14:textId="6F7E125C" w:rsidTr="000F041A">
        <w:trPr>
          <w:trHeight w:val="204"/>
        </w:trPr>
        <w:tc>
          <w:tcPr>
            <w:tcW w:w="1058" w:type="pct"/>
            <w:tcBorders>
              <w:top w:val="single" w:sz="4" w:space="0" w:color="auto"/>
              <w:bottom w:val="single" w:sz="4" w:space="0" w:color="auto"/>
            </w:tcBorders>
            <w:vAlign w:val="center"/>
          </w:tcPr>
          <w:p w14:paraId="7837D063" w14:textId="2B9427AB"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Aizdevumi</w:t>
            </w:r>
          </w:p>
        </w:tc>
        <w:tc>
          <w:tcPr>
            <w:tcW w:w="680" w:type="pct"/>
            <w:gridSpan w:val="2"/>
            <w:tcBorders>
              <w:top w:val="single" w:sz="4" w:space="0" w:color="auto"/>
              <w:left w:val="nil"/>
              <w:bottom w:val="single" w:sz="4" w:space="0" w:color="auto"/>
              <w:right w:val="nil"/>
            </w:tcBorders>
            <w:shd w:val="clear" w:color="auto" w:fill="auto"/>
            <w:vAlign w:val="center"/>
          </w:tcPr>
          <w:p w14:paraId="5F8FA332" w14:textId="47B095F0"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410 404 882</w:t>
            </w:r>
          </w:p>
        </w:tc>
        <w:tc>
          <w:tcPr>
            <w:tcW w:w="605" w:type="pct"/>
            <w:tcBorders>
              <w:top w:val="single" w:sz="4" w:space="0" w:color="auto"/>
              <w:left w:val="nil"/>
              <w:bottom w:val="single" w:sz="4" w:space="0" w:color="auto"/>
              <w:right w:val="nil"/>
            </w:tcBorders>
            <w:shd w:val="clear" w:color="auto" w:fill="auto"/>
            <w:vAlign w:val="center"/>
          </w:tcPr>
          <w:p w14:paraId="247499B8" w14:textId="0F3913EA"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-959 879</w:t>
            </w:r>
          </w:p>
        </w:tc>
        <w:tc>
          <w:tcPr>
            <w:tcW w:w="682" w:type="pct"/>
            <w:gridSpan w:val="2"/>
            <w:tcBorders>
              <w:top w:val="single" w:sz="4" w:space="0" w:color="auto"/>
              <w:left w:val="nil"/>
              <w:bottom w:val="single" w:sz="4" w:space="0" w:color="auto"/>
              <w:right w:val="nil"/>
            </w:tcBorders>
            <w:shd w:val="clear" w:color="auto" w:fill="auto"/>
            <w:vAlign w:val="center"/>
          </w:tcPr>
          <w:p w14:paraId="2839F88B" w14:textId="571D9D92"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409 445 003</w:t>
            </w:r>
          </w:p>
        </w:tc>
        <w:tc>
          <w:tcPr>
            <w:tcW w:w="680" w:type="pct"/>
            <w:gridSpan w:val="2"/>
            <w:tcBorders>
              <w:top w:val="single" w:sz="4" w:space="0" w:color="auto"/>
              <w:left w:val="nil"/>
              <w:bottom w:val="single" w:sz="4" w:space="0" w:color="auto"/>
              <w:right w:val="nil"/>
            </w:tcBorders>
            <w:shd w:val="clear" w:color="auto" w:fill="auto"/>
            <w:vAlign w:val="center"/>
          </w:tcPr>
          <w:p w14:paraId="245A0963" w14:textId="05D631CD"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447 950 261</w:t>
            </w:r>
          </w:p>
        </w:tc>
        <w:tc>
          <w:tcPr>
            <w:tcW w:w="600" w:type="pct"/>
            <w:gridSpan w:val="2"/>
            <w:tcBorders>
              <w:top w:val="single" w:sz="4" w:space="0" w:color="auto"/>
              <w:left w:val="nil"/>
              <w:bottom w:val="single" w:sz="4" w:space="0" w:color="auto"/>
              <w:right w:val="nil"/>
            </w:tcBorders>
            <w:shd w:val="clear" w:color="auto" w:fill="auto"/>
            <w:vAlign w:val="center"/>
          </w:tcPr>
          <w:p w14:paraId="69DBD1F4" w14:textId="31553DE9"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-1 016 343</w:t>
            </w:r>
          </w:p>
        </w:tc>
        <w:tc>
          <w:tcPr>
            <w:tcW w:w="695" w:type="pct"/>
            <w:tcBorders>
              <w:top w:val="single" w:sz="4" w:space="0" w:color="auto"/>
              <w:left w:val="nil"/>
              <w:bottom w:val="single" w:sz="4" w:space="0" w:color="auto"/>
              <w:right w:val="nil"/>
            </w:tcBorders>
            <w:shd w:val="clear" w:color="auto" w:fill="auto"/>
            <w:vAlign w:val="center"/>
          </w:tcPr>
          <w:p w14:paraId="529342D7" w14:textId="3B4610BC"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446 933 918</w:t>
            </w:r>
          </w:p>
        </w:tc>
      </w:tr>
      <w:tr w:rsidR="005C0C8A" w:rsidRPr="00A27896" w14:paraId="14855309" w14:textId="76780FD6" w:rsidTr="000F041A">
        <w:trPr>
          <w:trHeight w:val="204"/>
        </w:trPr>
        <w:tc>
          <w:tcPr>
            <w:tcW w:w="1058" w:type="pct"/>
            <w:tcBorders>
              <w:top w:val="single" w:sz="4" w:space="0" w:color="auto"/>
              <w:bottom w:val="single" w:sz="4" w:space="0" w:color="auto"/>
            </w:tcBorders>
            <w:vAlign w:val="center"/>
          </w:tcPr>
          <w:p w14:paraId="5DA09B9D" w14:textId="2F122F2C"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1B16748E" w14:textId="41F8022C"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6 434 637</w:t>
            </w:r>
          </w:p>
        </w:tc>
        <w:tc>
          <w:tcPr>
            <w:tcW w:w="605" w:type="pct"/>
            <w:tcBorders>
              <w:top w:val="single" w:sz="4" w:space="0" w:color="auto"/>
              <w:left w:val="nil"/>
              <w:bottom w:val="single" w:sz="4" w:space="0" w:color="auto"/>
              <w:right w:val="nil"/>
            </w:tcBorders>
            <w:shd w:val="clear" w:color="auto" w:fill="auto"/>
            <w:vAlign w:val="center"/>
          </w:tcPr>
          <w:p w14:paraId="47822581" w14:textId="39A5D343"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-1 062 664</w:t>
            </w:r>
          </w:p>
        </w:tc>
        <w:tc>
          <w:tcPr>
            <w:tcW w:w="682" w:type="pct"/>
            <w:gridSpan w:val="2"/>
            <w:tcBorders>
              <w:top w:val="single" w:sz="4" w:space="0" w:color="auto"/>
              <w:left w:val="nil"/>
              <w:bottom w:val="single" w:sz="4" w:space="0" w:color="auto"/>
              <w:right w:val="nil"/>
            </w:tcBorders>
            <w:shd w:val="clear" w:color="auto" w:fill="auto"/>
            <w:vAlign w:val="center"/>
          </w:tcPr>
          <w:p w14:paraId="66E5AF5C" w14:textId="735BEAB8"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5 371 973</w:t>
            </w:r>
          </w:p>
        </w:tc>
        <w:tc>
          <w:tcPr>
            <w:tcW w:w="680" w:type="pct"/>
            <w:gridSpan w:val="2"/>
            <w:tcBorders>
              <w:top w:val="single" w:sz="4" w:space="0" w:color="auto"/>
              <w:left w:val="nil"/>
              <w:bottom w:val="single" w:sz="4" w:space="0" w:color="auto"/>
              <w:right w:val="nil"/>
            </w:tcBorders>
            <w:shd w:val="clear" w:color="auto" w:fill="auto"/>
            <w:vAlign w:val="center"/>
          </w:tcPr>
          <w:p w14:paraId="497940CB" w14:textId="01E4320C"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5 309 779</w:t>
            </w:r>
          </w:p>
        </w:tc>
        <w:tc>
          <w:tcPr>
            <w:tcW w:w="600" w:type="pct"/>
            <w:gridSpan w:val="2"/>
            <w:tcBorders>
              <w:top w:val="single" w:sz="4" w:space="0" w:color="auto"/>
              <w:left w:val="nil"/>
              <w:bottom w:val="single" w:sz="4" w:space="0" w:color="auto"/>
              <w:right w:val="nil"/>
            </w:tcBorders>
            <w:shd w:val="clear" w:color="auto" w:fill="auto"/>
            <w:vAlign w:val="center"/>
          </w:tcPr>
          <w:p w14:paraId="283155AB" w14:textId="581B7707"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-1 203 274</w:t>
            </w:r>
          </w:p>
        </w:tc>
        <w:tc>
          <w:tcPr>
            <w:tcW w:w="695" w:type="pct"/>
            <w:tcBorders>
              <w:top w:val="single" w:sz="4" w:space="0" w:color="auto"/>
              <w:left w:val="nil"/>
              <w:bottom w:val="single" w:sz="4" w:space="0" w:color="auto"/>
              <w:right w:val="nil"/>
            </w:tcBorders>
            <w:shd w:val="clear" w:color="auto" w:fill="auto"/>
            <w:vAlign w:val="center"/>
          </w:tcPr>
          <w:p w14:paraId="77048DDC" w14:textId="40E4CE2A"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4 106 505</w:t>
            </w:r>
          </w:p>
        </w:tc>
      </w:tr>
      <w:tr w:rsidR="005C0C8A" w:rsidRPr="00A27896" w14:paraId="1EE62891" w14:textId="04C31A5A" w:rsidTr="000F041A">
        <w:trPr>
          <w:trHeight w:val="204"/>
        </w:trPr>
        <w:tc>
          <w:tcPr>
            <w:tcW w:w="1058" w:type="pct"/>
            <w:tcBorders>
              <w:top w:val="single" w:sz="4" w:space="0" w:color="auto"/>
              <w:bottom w:val="single" w:sz="4" w:space="0" w:color="auto"/>
            </w:tcBorders>
            <w:vAlign w:val="center"/>
          </w:tcPr>
          <w:p w14:paraId="59CF4859" w14:textId="64D68E49"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1EDCF0C6" w14:textId="5A66FDF1"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776 676 079</w:t>
            </w:r>
          </w:p>
        </w:tc>
        <w:tc>
          <w:tcPr>
            <w:tcW w:w="605" w:type="pct"/>
            <w:tcBorders>
              <w:top w:val="single" w:sz="4" w:space="0" w:color="auto"/>
              <w:left w:val="nil"/>
              <w:bottom w:val="single" w:sz="4" w:space="0" w:color="auto"/>
              <w:right w:val="nil"/>
            </w:tcBorders>
            <w:shd w:val="clear" w:color="auto" w:fill="auto"/>
            <w:vAlign w:val="center"/>
          </w:tcPr>
          <w:p w14:paraId="1D0D9E18" w14:textId="09FE0DEE"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-25 968</w:t>
            </w:r>
          </w:p>
        </w:tc>
        <w:tc>
          <w:tcPr>
            <w:tcW w:w="682" w:type="pct"/>
            <w:gridSpan w:val="2"/>
            <w:tcBorders>
              <w:top w:val="single" w:sz="4" w:space="0" w:color="auto"/>
              <w:left w:val="nil"/>
              <w:bottom w:val="single" w:sz="4" w:space="0" w:color="auto"/>
              <w:right w:val="nil"/>
            </w:tcBorders>
            <w:shd w:val="clear" w:color="auto" w:fill="auto"/>
            <w:vAlign w:val="center"/>
          </w:tcPr>
          <w:p w14:paraId="2E76CEBE" w14:textId="46A16FD7"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776 650 111</w:t>
            </w:r>
          </w:p>
        </w:tc>
        <w:tc>
          <w:tcPr>
            <w:tcW w:w="680" w:type="pct"/>
            <w:gridSpan w:val="2"/>
            <w:tcBorders>
              <w:top w:val="single" w:sz="4" w:space="0" w:color="auto"/>
              <w:left w:val="nil"/>
              <w:bottom w:val="single" w:sz="4" w:space="0" w:color="auto"/>
              <w:right w:val="nil"/>
            </w:tcBorders>
            <w:shd w:val="clear" w:color="auto" w:fill="auto"/>
            <w:vAlign w:val="center"/>
          </w:tcPr>
          <w:p w14:paraId="5BA9305C" w14:textId="1F05F262"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759 340 582</w:t>
            </w:r>
          </w:p>
        </w:tc>
        <w:tc>
          <w:tcPr>
            <w:tcW w:w="600" w:type="pct"/>
            <w:gridSpan w:val="2"/>
            <w:tcBorders>
              <w:top w:val="single" w:sz="4" w:space="0" w:color="auto"/>
              <w:left w:val="nil"/>
              <w:bottom w:val="single" w:sz="4" w:space="0" w:color="auto"/>
              <w:right w:val="nil"/>
            </w:tcBorders>
            <w:shd w:val="clear" w:color="auto" w:fill="auto"/>
            <w:vAlign w:val="center"/>
          </w:tcPr>
          <w:p w14:paraId="0F5FD1ED" w14:textId="53B8F68A"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-153 484</w:t>
            </w:r>
          </w:p>
        </w:tc>
        <w:tc>
          <w:tcPr>
            <w:tcW w:w="695" w:type="pct"/>
            <w:tcBorders>
              <w:top w:val="single" w:sz="4" w:space="0" w:color="auto"/>
              <w:left w:val="nil"/>
              <w:bottom w:val="single" w:sz="4" w:space="0" w:color="auto"/>
              <w:right w:val="nil"/>
            </w:tcBorders>
            <w:shd w:val="clear" w:color="auto" w:fill="auto"/>
            <w:vAlign w:val="center"/>
          </w:tcPr>
          <w:p w14:paraId="4BD691B0" w14:textId="43895B68"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5C0C8A">
              <w:rPr>
                <w:rFonts w:eastAsia="Times New Roman" w:cs="Times New Roman"/>
                <w:color w:val="17365D"/>
                <w:sz w:val="18"/>
                <w:szCs w:val="18"/>
                <w:lang w:eastAsia="lv-LV"/>
              </w:rPr>
              <w:t>759 187 098</w:t>
            </w:r>
          </w:p>
        </w:tc>
      </w:tr>
      <w:tr w:rsidR="005C0C8A" w:rsidRPr="00A27896" w14:paraId="174FDE37" w14:textId="019FE01D" w:rsidTr="000F041A">
        <w:trPr>
          <w:trHeight w:val="204"/>
        </w:trPr>
        <w:tc>
          <w:tcPr>
            <w:tcW w:w="1058" w:type="pct"/>
            <w:tcBorders>
              <w:top w:val="single" w:sz="4" w:space="0" w:color="auto"/>
              <w:bottom w:val="single" w:sz="4" w:space="0" w:color="auto"/>
            </w:tcBorders>
            <w:vAlign w:val="center"/>
          </w:tcPr>
          <w:p w14:paraId="197F23D5" w14:textId="05861707" w:rsidR="005C0C8A" w:rsidRPr="00A27896" w:rsidRDefault="005C0C8A" w:rsidP="005C0C8A">
            <w:pPr>
              <w:spacing w:after="0" w:line="240" w:lineRule="auto"/>
              <w:ind w:right="57"/>
              <w:rPr>
                <w:rFonts w:eastAsia="Times New Roman" w:cs="Times New Roman"/>
                <w:b/>
                <w:i/>
                <w:color w:val="17365D"/>
                <w:sz w:val="18"/>
                <w:szCs w:val="18"/>
                <w:lang w:eastAsia="lv-LV"/>
              </w:rPr>
            </w:pPr>
            <w:r w:rsidRPr="00A27896">
              <w:rPr>
                <w:rFonts w:eastAsia="Times New Roman" w:cs="Times New Roman"/>
                <w:b/>
                <w:i/>
                <w:color w:val="17365D"/>
                <w:sz w:val="18"/>
                <w:szCs w:val="18"/>
                <w:lang w:eastAsia="lv-LV"/>
              </w:rPr>
              <w:t>termiņš ir kavēts, bet finanšu instrumentu vērtība nav samazinājusies, sadalījumā pa kavējuma termiņiem;</w:t>
            </w:r>
          </w:p>
        </w:tc>
        <w:tc>
          <w:tcPr>
            <w:tcW w:w="680" w:type="pct"/>
            <w:gridSpan w:val="2"/>
            <w:tcBorders>
              <w:top w:val="single" w:sz="4" w:space="0" w:color="auto"/>
              <w:left w:val="nil"/>
              <w:bottom w:val="single" w:sz="4" w:space="0" w:color="auto"/>
              <w:right w:val="nil"/>
            </w:tcBorders>
            <w:shd w:val="clear" w:color="auto" w:fill="auto"/>
            <w:vAlign w:val="center"/>
          </w:tcPr>
          <w:p w14:paraId="1C4C1885" w14:textId="29037A6D" w:rsidR="005C0C8A" w:rsidRPr="0006157D"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660 533</w:t>
            </w:r>
          </w:p>
        </w:tc>
        <w:tc>
          <w:tcPr>
            <w:tcW w:w="605" w:type="pct"/>
            <w:tcBorders>
              <w:top w:val="single" w:sz="4" w:space="0" w:color="auto"/>
              <w:left w:val="nil"/>
              <w:bottom w:val="single" w:sz="4" w:space="0" w:color="auto"/>
              <w:right w:val="nil"/>
            </w:tcBorders>
            <w:shd w:val="clear" w:color="auto" w:fill="auto"/>
            <w:vAlign w:val="center"/>
          </w:tcPr>
          <w:p w14:paraId="2E5573DE" w14:textId="13AF80AD" w:rsidR="005C0C8A" w:rsidRPr="0006157D"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1F4AE56A" w14:textId="3894B430" w:rsidR="005C0C8A" w:rsidRPr="0006157D"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660 533</w:t>
            </w:r>
          </w:p>
        </w:tc>
        <w:tc>
          <w:tcPr>
            <w:tcW w:w="680" w:type="pct"/>
            <w:gridSpan w:val="2"/>
            <w:tcBorders>
              <w:top w:val="single" w:sz="4" w:space="0" w:color="auto"/>
              <w:left w:val="nil"/>
              <w:bottom w:val="single" w:sz="4" w:space="0" w:color="auto"/>
              <w:right w:val="nil"/>
            </w:tcBorders>
            <w:shd w:val="clear" w:color="auto" w:fill="auto"/>
            <w:vAlign w:val="center"/>
          </w:tcPr>
          <w:p w14:paraId="1A450B9B" w14:textId="6E0B386D" w:rsidR="005C0C8A" w:rsidRPr="0006157D"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609 793</w:t>
            </w:r>
          </w:p>
        </w:tc>
        <w:tc>
          <w:tcPr>
            <w:tcW w:w="600" w:type="pct"/>
            <w:gridSpan w:val="2"/>
            <w:tcBorders>
              <w:top w:val="single" w:sz="4" w:space="0" w:color="auto"/>
              <w:left w:val="nil"/>
              <w:bottom w:val="single" w:sz="4" w:space="0" w:color="auto"/>
              <w:right w:val="nil"/>
            </w:tcBorders>
            <w:shd w:val="clear" w:color="auto" w:fill="auto"/>
            <w:vAlign w:val="center"/>
          </w:tcPr>
          <w:p w14:paraId="65C2C5C2" w14:textId="44AFB934" w:rsidR="005C0C8A" w:rsidRPr="0006157D"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6D655D79" w14:textId="3508F007" w:rsidR="005C0C8A" w:rsidRPr="0006157D"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609 793</w:t>
            </w:r>
          </w:p>
        </w:tc>
      </w:tr>
      <w:tr w:rsidR="005C0C8A" w:rsidRPr="000F041A" w14:paraId="71EC80B3" w14:textId="64BFD9DA" w:rsidTr="000F041A">
        <w:trPr>
          <w:trHeight w:val="204"/>
        </w:trPr>
        <w:tc>
          <w:tcPr>
            <w:tcW w:w="1058" w:type="pct"/>
            <w:tcBorders>
              <w:top w:val="single" w:sz="4" w:space="0" w:color="auto"/>
              <w:bottom w:val="single" w:sz="4" w:space="0" w:color="auto"/>
            </w:tcBorders>
            <w:vAlign w:val="center"/>
          </w:tcPr>
          <w:p w14:paraId="6E0C9B20" w14:textId="586750FD"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vAlign w:val="center"/>
          </w:tcPr>
          <w:p w14:paraId="6E4E1D74" w14:textId="2B37434A"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647 420</w:t>
            </w:r>
          </w:p>
        </w:tc>
        <w:tc>
          <w:tcPr>
            <w:tcW w:w="605" w:type="pct"/>
            <w:tcBorders>
              <w:top w:val="single" w:sz="4" w:space="0" w:color="auto"/>
              <w:left w:val="nil"/>
              <w:bottom w:val="single" w:sz="4" w:space="0" w:color="auto"/>
              <w:right w:val="nil"/>
            </w:tcBorders>
            <w:shd w:val="clear" w:color="auto" w:fill="auto"/>
            <w:vAlign w:val="center"/>
          </w:tcPr>
          <w:p w14:paraId="45CCD2C4" w14:textId="372D4333"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5DBE8B22" w14:textId="368EFC55"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647 420</w:t>
            </w:r>
          </w:p>
        </w:tc>
        <w:tc>
          <w:tcPr>
            <w:tcW w:w="680" w:type="pct"/>
            <w:gridSpan w:val="2"/>
            <w:tcBorders>
              <w:top w:val="single" w:sz="4" w:space="0" w:color="auto"/>
              <w:left w:val="nil"/>
              <w:bottom w:val="single" w:sz="4" w:space="0" w:color="auto"/>
              <w:right w:val="nil"/>
            </w:tcBorders>
            <w:shd w:val="clear" w:color="auto" w:fill="auto"/>
            <w:vAlign w:val="center"/>
          </w:tcPr>
          <w:p w14:paraId="1DDCA89D" w14:textId="292D4859"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591 692</w:t>
            </w:r>
          </w:p>
        </w:tc>
        <w:tc>
          <w:tcPr>
            <w:tcW w:w="600" w:type="pct"/>
            <w:gridSpan w:val="2"/>
            <w:tcBorders>
              <w:top w:val="single" w:sz="4" w:space="0" w:color="auto"/>
              <w:left w:val="nil"/>
              <w:bottom w:val="single" w:sz="4" w:space="0" w:color="auto"/>
              <w:right w:val="nil"/>
            </w:tcBorders>
            <w:shd w:val="clear" w:color="auto" w:fill="auto"/>
            <w:vAlign w:val="center"/>
          </w:tcPr>
          <w:p w14:paraId="60A2081C" w14:textId="4C8CD9C8"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2F155EFB" w14:textId="56265C75"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591 692</w:t>
            </w:r>
          </w:p>
        </w:tc>
      </w:tr>
      <w:tr w:rsidR="005C0C8A" w:rsidRPr="000F041A" w14:paraId="4EBF1D5F" w14:textId="61E99467" w:rsidTr="000F041A">
        <w:trPr>
          <w:trHeight w:val="204"/>
        </w:trPr>
        <w:tc>
          <w:tcPr>
            <w:tcW w:w="1058" w:type="pct"/>
            <w:tcBorders>
              <w:top w:val="single" w:sz="4" w:space="0" w:color="auto"/>
              <w:bottom w:val="single" w:sz="4" w:space="0" w:color="auto"/>
            </w:tcBorders>
            <w:vAlign w:val="center"/>
          </w:tcPr>
          <w:p w14:paraId="19123BB4" w14:textId="263B4E34"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vAlign w:val="center"/>
          </w:tcPr>
          <w:p w14:paraId="0A547367" w14:textId="14717859"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1 609</w:t>
            </w:r>
          </w:p>
        </w:tc>
        <w:tc>
          <w:tcPr>
            <w:tcW w:w="605" w:type="pct"/>
            <w:tcBorders>
              <w:top w:val="single" w:sz="4" w:space="0" w:color="auto"/>
              <w:left w:val="nil"/>
              <w:bottom w:val="single" w:sz="4" w:space="0" w:color="auto"/>
              <w:right w:val="nil"/>
            </w:tcBorders>
            <w:shd w:val="clear" w:color="auto" w:fill="auto"/>
            <w:vAlign w:val="center"/>
          </w:tcPr>
          <w:p w14:paraId="64DBFDF9" w14:textId="2B9AD464"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66AB2534" w14:textId="49AFDBD5"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1 609</w:t>
            </w:r>
          </w:p>
        </w:tc>
        <w:tc>
          <w:tcPr>
            <w:tcW w:w="680" w:type="pct"/>
            <w:gridSpan w:val="2"/>
            <w:tcBorders>
              <w:top w:val="single" w:sz="4" w:space="0" w:color="auto"/>
              <w:left w:val="nil"/>
              <w:bottom w:val="single" w:sz="4" w:space="0" w:color="auto"/>
              <w:right w:val="nil"/>
            </w:tcBorders>
            <w:shd w:val="clear" w:color="auto" w:fill="auto"/>
            <w:vAlign w:val="center"/>
          </w:tcPr>
          <w:p w14:paraId="0A474C1A" w14:textId="3458BA04"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2 178</w:t>
            </w:r>
          </w:p>
        </w:tc>
        <w:tc>
          <w:tcPr>
            <w:tcW w:w="600" w:type="pct"/>
            <w:gridSpan w:val="2"/>
            <w:tcBorders>
              <w:top w:val="single" w:sz="4" w:space="0" w:color="auto"/>
              <w:left w:val="nil"/>
              <w:bottom w:val="single" w:sz="4" w:space="0" w:color="auto"/>
              <w:right w:val="nil"/>
            </w:tcBorders>
            <w:shd w:val="clear" w:color="auto" w:fill="auto"/>
            <w:vAlign w:val="center"/>
          </w:tcPr>
          <w:p w14:paraId="735438A6" w14:textId="4EFD606F"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58EF2FB9" w14:textId="0C68AD42"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2 178</w:t>
            </w:r>
          </w:p>
        </w:tc>
      </w:tr>
      <w:tr w:rsidR="005C0C8A" w:rsidRPr="000F041A" w14:paraId="5E4F4130" w14:textId="77777777" w:rsidTr="000F041A">
        <w:trPr>
          <w:trHeight w:val="204"/>
        </w:trPr>
        <w:tc>
          <w:tcPr>
            <w:tcW w:w="1058" w:type="pct"/>
            <w:tcBorders>
              <w:top w:val="single" w:sz="4" w:space="0" w:color="auto"/>
              <w:bottom w:val="single" w:sz="4" w:space="0" w:color="auto"/>
            </w:tcBorders>
            <w:vAlign w:val="center"/>
          </w:tcPr>
          <w:p w14:paraId="7CD7414B" w14:textId="7805EDDE"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vAlign w:val="center"/>
          </w:tcPr>
          <w:p w14:paraId="68F0E3D0" w14:textId="65A5E3CF"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05" w:type="pct"/>
            <w:tcBorders>
              <w:top w:val="single" w:sz="4" w:space="0" w:color="auto"/>
              <w:left w:val="nil"/>
              <w:bottom w:val="single" w:sz="4" w:space="0" w:color="auto"/>
              <w:right w:val="nil"/>
            </w:tcBorders>
            <w:shd w:val="clear" w:color="auto" w:fill="auto"/>
            <w:vAlign w:val="center"/>
          </w:tcPr>
          <w:p w14:paraId="7C608F48" w14:textId="279D0DDE"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1F65AC81" w14:textId="11204066"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80" w:type="pct"/>
            <w:gridSpan w:val="2"/>
            <w:tcBorders>
              <w:top w:val="single" w:sz="4" w:space="0" w:color="auto"/>
              <w:left w:val="nil"/>
              <w:bottom w:val="single" w:sz="4" w:space="0" w:color="auto"/>
              <w:right w:val="nil"/>
            </w:tcBorders>
            <w:shd w:val="clear" w:color="auto" w:fill="auto"/>
            <w:vAlign w:val="center"/>
          </w:tcPr>
          <w:p w14:paraId="1A978158" w14:textId="1E5432ED"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3 009</w:t>
            </w:r>
          </w:p>
        </w:tc>
        <w:tc>
          <w:tcPr>
            <w:tcW w:w="600" w:type="pct"/>
            <w:gridSpan w:val="2"/>
            <w:tcBorders>
              <w:top w:val="single" w:sz="4" w:space="0" w:color="auto"/>
              <w:left w:val="nil"/>
              <w:bottom w:val="single" w:sz="4" w:space="0" w:color="auto"/>
              <w:right w:val="nil"/>
            </w:tcBorders>
            <w:shd w:val="clear" w:color="auto" w:fill="auto"/>
            <w:vAlign w:val="center"/>
          </w:tcPr>
          <w:p w14:paraId="4149D473" w14:textId="6A351D50"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4868248E" w14:textId="65DB701D" w:rsidR="005C0C8A" w:rsidRPr="00CA7E3C"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3 009</w:t>
            </w:r>
          </w:p>
        </w:tc>
      </w:tr>
      <w:tr w:rsidR="005C0C8A" w:rsidRPr="000F041A" w14:paraId="2172A14E" w14:textId="47BA2B3D" w:rsidTr="000F041A">
        <w:trPr>
          <w:trHeight w:val="204"/>
        </w:trPr>
        <w:tc>
          <w:tcPr>
            <w:tcW w:w="1058" w:type="pct"/>
            <w:tcBorders>
              <w:top w:val="single" w:sz="4" w:space="0" w:color="auto"/>
              <w:bottom w:val="single" w:sz="4" w:space="0" w:color="auto"/>
            </w:tcBorders>
            <w:vAlign w:val="center"/>
          </w:tcPr>
          <w:p w14:paraId="01BD2323" w14:textId="059227B7"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4FF99A34" w14:textId="0D339B56"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11 504</w:t>
            </w:r>
          </w:p>
        </w:tc>
        <w:tc>
          <w:tcPr>
            <w:tcW w:w="605" w:type="pct"/>
            <w:tcBorders>
              <w:top w:val="single" w:sz="4" w:space="0" w:color="auto"/>
              <w:left w:val="nil"/>
              <w:bottom w:val="single" w:sz="4" w:space="0" w:color="auto"/>
              <w:right w:val="nil"/>
            </w:tcBorders>
            <w:shd w:val="clear" w:color="auto" w:fill="auto"/>
            <w:vAlign w:val="center"/>
          </w:tcPr>
          <w:p w14:paraId="359DA857" w14:textId="5E40B7C5"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7C4FEE37" w14:textId="162386D5"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11 504</w:t>
            </w:r>
          </w:p>
        </w:tc>
        <w:tc>
          <w:tcPr>
            <w:tcW w:w="680" w:type="pct"/>
            <w:gridSpan w:val="2"/>
            <w:tcBorders>
              <w:top w:val="single" w:sz="4" w:space="0" w:color="auto"/>
              <w:left w:val="nil"/>
              <w:bottom w:val="single" w:sz="4" w:space="0" w:color="auto"/>
              <w:right w:val="nil"/>
            </w:tcBorders>
            <w:shd w:val="clear" w:color="auto" w:fill="auto"/>
            <w:vAlign w:val="center"/>
          </w:tcPr>
          <w:p w14:paraId="278FF650" w14:textId="32AB9C92"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12 914</w:t>
            </w:r>
          </w:p>
        </w:tc>
        <w:tc>
          <w:tcPr>
            <w:tcW w:w="600" w:type="pct"/>
            <w:gridSpan w:val="2"/>
            <w:tcBorders>
              <w:top w:val="single" w:sz="4" w:space="0" w:color="auto"/>
              <w:left w:val="nil"/>
              <w:bottom w:val="single" w:sz="4" w:space="0" w:color="auto"/>
              <w:right w:val="nil"/>
            </w:tcBorders>
            <w:shd w:val="clear" w:color="auto" w:fill="auto"/>
            <w:vAlign w:val="center"/>
          </w:tcPr>
          <w:p w14:paraId="3F32BE5F" w14:textId="7E7C89F5"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4C198D44" w14:textId="54325AE6"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12 914</w:t>
            </w:r>
          </w:p>
        </w:tc>
      </w:tr>
      <w:tr w:rsidR="005C0C8A" w:rsidRPr="000F041A" w14:paraId="4CD5401D" w14:textId="0B4D35D5" w:rsidTr="000F041A">
        <w:trPr>
          <w:trHeight w:val="204"/>
        </w:trPr>
        <w:tc>
          <w:tcPr>
            <w:tcW w:w="1058" w:type="pct"/>
            <w:tcBorders>
              <w:top w:val="single" w:sz="4" w:space="0" w:color="auto"/>
              <w:bottom w:val="single" w:sz="4" w:space="0" w:color="auto"/>
            </w:tcBorders>
            <w:vAlign w:val="center"/>
          </w:tcPr>
          <w:p w14:paraId="56BC4929" w14:textId="17935F46"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680" w:type="pct"/>
            <w:gridSpan w:val="2"/>
            <w:tcBorders>
              <w:top w:val="single" w:sz="4" w:space="0" w:color="auto"/>
              <w:left w:val="nil"/>
              <w:bottom w:val="single" w:sz="4" w:space="0" w:color="auto"/>
              <w:right w:val="nil"/>
            </w:tcBorders>
            <w:shd w:val="clear" w:color="auto" w:fill="auto"/>
            <w:vAlign w:val="center"/>
          </w:tcPr>
          <w:p w14:paraId="104F8A55" w14:textId="6F9AA7DE"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c>
          <w:tcPr>
            <w:tcW w:w="605" w:type="pct"/>
            <w:tcBorders>
              <w:top w:val="single" w:sz="4" w:space="0" w:color="auto"/>
              <w:left w:val="nil"/>
              <w:bottom w:val="single" w:sz="4" w:space="0" w:color="auto"/>
              <w:right w:val="nil"/>
            </w:tcBorders>
            <w:shd w:val="clear" w:color="auto" w:fill="auto"/>
            <w:vAlign w:val="center"/>
          </w:tcPr>
          <w:p w14:paraId="567A8996" w14:textId="404DAA0C"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35FD2DDD" w14:textId="466A53FB"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c>
          <w:tcPr>
            <w:tcW w:w="680" w:type="pct"/>
            <w:gridSpan w:val="2"/>
            <w:tcBorders>
              <w:top w:val="single" w:sz="4" w:space="0" w:color="auto"/>
              <w:left w:val="nil"/>
              <w:bottom w:val="single" w:sz="4" w:space="0" w:color="auto"/>
              <w:right w:val="nil"/>
            </w:tcBorders>
            <w:shd w:val="clear" w:color="auto" w:fill="auto"/>
            <w:vAlign w:val="center"/>
          </w:tcPr>
          <w:p w14:paraId="02D673AB" w14:textId="32B4BC7D"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c>
          <w:tcPr>
            <w:tcW w:w="600" w:type="pct"/>
            <w:gridSpan w:val="2"/>
            <w:tcBorders>
              <w:top w:val="single" w:sz="4" w:space="0" w:color="auto"/>
              <w:left w:val="nil"/>
              <w:bottom w:val="single" w:sz="4" w:space="0" w:color="auto"/>
              <w:right w:val="nil"/>
            </w:tcBorders>
            <w:shd w:val="clear" w:color="auto" w:fill="auto"/>
            <w:vAlign w:val="center"/>
          </w:tcPr>
          <w:p w14:paraId="4ED42B91" w14:textId="2433D608"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2C16F4D6" w14:textId="6072166B"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r>
      <w:tr w:rsidR="005C0C8A" w:rsidRPr="000F041A" w14:paraId="3BFFFBE5" w14:textId="07BB8206" w:rsidTr="000F041A">
        <w:trPr>
          <w:trHeight w:val="204"/>
        </w:trPr>
        <w:tc>
          <w:tcPr>
            <w:tcW w:w="1058" w:type="pct"/>
            <w:tcBorders>
              <w:top w:val="single" w:sz="4" w:space="0" w:color="auto"/>
              <w:bottom w:val="single" w:sz="4" w:space="0" w:color="auto"/>
            </w:tcBorders>
            <w:vAlign w:val="center"/>
          </w:tcPr>
          <w:p w14:paraId="1D2A1141" w14:textId="41B88195"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71E4B670" w14:textId="20814410"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c>
          <w:tcPr>
            <w:tcW w:w="605" w:type="pct"/>
            <w:tcBorders>
              <w:top w:val="single" w:sz="4" w:space="0" w:color="auto"/>
              <w:left w:val="nil"/>
              <w:bottom w:val="single" w:sz="4" w:space="0" w:color="auto"/>
              <w:right w:val="nil"/>
            </w:tcBorders>
            <w:shd w:val="clear" w:color="auto" w:fill="auto"/>
            <w:vAlign w:val="center"/>
          </w:tcPr>
          <w:p w14:paraId="6E37DFFE" w14:textId="5E192043"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70991678" w14:textId="26183013"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c>
          <w:tcPr>
            <w:tcW w:w="680" w:type="pct"/>
            <w:gridSpan w:val="2"/>
            <w:tcBorders>
              <w:top w:val="single" w:sz="4" w:space="0" w:color="auto"/>
              <w:left w:val="nil"/>
              <w:bottom w:val="single" w:sz="4" w:space="0" w:color="auto"/>
              <w:right w:val="nil"/>
            </w:tcBorders>
            <w:shd w:val="clear" w:color="auto" w:fill="auto"/>
            <w:vAlign w:val="center"/>
          </w:tcPr>
          <w:p w14:paraId="008709D5" w14:textId="5712F793"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c>
          <w:tcPr>
            <w:tcW w:w="600" w:type="pct"/>
            <w:gridSpan w:val="2"/>
            <w:tcBorders>
              <w:top w:val="single" w:sz="4" w:space="0" w:color="auto"/>
              <w:left w:val="nil"/>
              <w:bottom w:val="single" w:sz="4" w:space="0" w:color="auto"/>
              <w:right w:val="nil"/>
            </w:tcBorders>
            <w:shd w:val="clear" w:color="auto" w:fill="auto"/>
            <w:vAlign w:val="center"/>
          </w:tcPr>
          <w:p w14:paraId="37926E64" w14:textId="4F439BB5"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3F77D036" w14:textId="32567E90" w:rsidR="005C0C8A" w:rsidRPr="00256258"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5 101</w:t>
            </w:r>
          </w:p>
        </w:tc>
      </w:tr>
      <w:tr w:rsidR="005C0C8A" w:rsidRPr="000F041A" w14:paraId="5223C503" w14:textId="727B6BA6" w:rsidTr="000F041A">
        <w:trPr>
          <w:trHeight w:val="204"/>
        </w:trPr>
        <w:tc>
          <w:tcPr>
            <w:tcW w:w="1058" w:type="pct"/>
            <w:tcBorders>
              <w:top w:val="single" w:sz="4" w:space="0" w:color="auto"/>
              <w:bottom w:val="single" w:sz="4" w:space="0" w:color="auto"/>
            </w:tcBorders>
            <w:vAlign w:val="center"/>
          </w:tcPr>
          <w:p w14:paraId="27345C25" w14:textId="3857FF71"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1EBFC691" w14:textId="76280A37"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655 432</w:t>
            </w:r>
          </w:p>
        </w:tc>
        <w:tc>
          <w:tcPr>
            <w:tcW w:w="605" w:type="pct"/>
            <w:tcBorders>
              <w:top w:val="single" w:sz="4" w:space="0" w:color="auto"/>
              <w:left w:val="nil"/>
              <w:bottom w:val="single" w:sz="4" w:space="0" w:color="auto"/>
              <w:right w:val="nil"/>
            </w:tcBorders>
            <w:shd w:val="clear" w:color="auto" w:fill="auto"/>
            <w:vAlign w:val="center"/>
          </w:tcPr>
          <w:p w14:paraId="3E317B52" w14:textId="63B47E1D"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0B54E00B" w14:textId="0AED7C41"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655 432</w:t>
            </w:r>
          </w:p>
        </w:tc>
        <w:tc>
          <w:tcPr>
            <w:tcW w:w="680" w:type="pct"/>
            <w:gridSpan w:val="2"/>
            <w:tcBorders>
              <w:top w:val="single" w:sz="4" w:space="0" w:color="auto"/>
              <w:left w:val="nil"/>
              <w:bottom w:val="single" w:sz="4" w:space="0" w:color="auto"/>
              <w:right w:val="nil"/>
            </w:tcBorders>
            <w:shd w:val="clear" w:color="auto" w:fill="auto"/>
            <w:vAlign w:val="center"/>
          </w:tcPr>
          <w:p w14:paraId="6C821A3B" w14:textId="369A8F06"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604 692</w:t>
            </w:r>
          </w:p>
        </w:tc>
        <w:tc>
          <w:tcPr>
            <w:tcW w:w="600" w:type="pct"/>
            <w:gridSpan w:val="2"/>
            <w:tcBorders>
              <w:top w:val="single" w:sz="4" w:space="0" w:color="auto"/>
              <w:left w:val="nil"/>
              <w:bottom w:val="single" w:sz="4" w:space="0" w:color="auto"/>
              <w:right w:val="nil"/>
            </w:tcBorders>
            <w:shd w:val="clear" w:color="auto" w:fill="auto"/>
            <w:vAlign w:val="center"/>
          </w:tcPr>
          <w:p w14:paraId="643989C4" w14:textId="25DB5418"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03DDBCD0" w14:textId="2F6F4998"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604 692</w:t>
            </w:r>
          </w:p>
        </w:tc>
      </w:tr>
      <w:tr w:rsidR="005C0C8A" w:rsidRPr="000F041A" w14:paraId="61C8199F" w14:textId="6CA134A0" w:rsidTr="000F041A">
        <w:trPr>
          <w:trHeight w:val="204"/>
        </w:trPr>
        <w:tc>
          <w:tcPr>
            <w:tcW w:w="1058" w:type="pct"/>
            <w:tcBorders>
              <w:top w:val="single" w:sz="4" w:space="0" w:color="auto"/>
              <w:bottom w:val="single" w:sz="4" w:space="0" w:color="auto"/>
            </w:tcBorders>
            <w:vAlign w:val="center"/>
          </w:tcPr>
          <w:p w14:paraId="57D1E4A8" w14:textId="6BA533C0"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vAlign w:val="center"/>
          </w:tcPr>
          <w:p w14:paraId="2A3DF266" w14:textId="1C5D3F74"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647 420</w:t>
            </w:r>
          </w:p>
        </w:tc>
        <w:tc>
          <w:tcPr>
            <w:tcW w:w="605" w:type="pct"/>
            <w:tcBorders>
              <w:top w:val="single" w:sz="4" w:space="0" w:color="auto"/>
              <w:left w:val="nil"/>
              <w:bottom w:val="single" w:sz="4" w:space="0" w:color="auto"/>
              <w:right w:val="nil"/>
            </w:tcBorders>
            <w:shd w:val="clear" w:color="auto" w:fill="auto"/>
            <w:vAlign w:val="center"/>
          </w:tcPr>
          <w:p w14:paraId="25890614" w14:textId="0EC35F34"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14BAEAA3" w14:textId="3521DE48"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647 420</w:t>
            </w:r>
          </w:p>
        </w:tc>
        <w:tc>
          <w:tcPr>
            <w:tcW w:w="680" w:type="pct"/>
            <w:gridSpan w:val="2"/>
            <w:tcBorders>
              <w:top w:val="single" w:sz="4" w:space="0" w:color="auto"/>
              <w:left w:val="nil"/>
              <w:bottom w:val="single" w:sz="4" w:space="0" w:color="auto"/>
              <w:right w:val="nil"/>
            </w:tcBorders>
            <w:shd w:val="clear" w:color="auto" w:fill="auto"/>
            <w:vAlign w:val="center"/>
          </w:tcPr>
          <w:p w14:paraId="513D933D" w14:textId="4F560EDC"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591 692</w:t>
            </w:r>
          </w:p>
        </w:tc>
        <w:tc>
          <w:tcPr>
            <w:tcW w:w="600" w:type="pct"/>
            <w:gridSpan w:val="2"/>
            <w:tcBorders>
              <w:top w:val="single" w:sz="4" w:space="0" w:color="auto"/>
              <w:left w:val="nil"/>
              <w:bottom w:val="single" w:sz="4" w:space="0" w:color="auto"/>
              <w:right w:val="nil"/>
            </w:tcBorders>
            <w:shd w:val="clear" w:color="auto" w:fill="auto"/>
            <w:vAlign w:val="center"/>
          </w:tcPr>
          <w:p w14:paraId="24237005" w14:textId="0E59E2E4"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7F6CDFBF" w14:textId="317C379C"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591 692</w:t>
            </w:r>
          </w:p>
        </w:tc>
      </w:tr>
      <w:tr w:rsidR="005C0C8A" w:rsidRPr="000F041A" w14:paraId="619ACBF3" w14:textId="0ED0ABE2" w:rsidTr="000F041A">
        <w:trPr>
          <w:trHeight w:val="204"/>
        </w:trPr>
        <w:tc>
          <w:tcPr>
            <w:tcW w:w="1058" w:type="pct"/>
            <w:tcBorders>
              <w:top w:val="single" w:sz="4" w:space="0" w:color="auto"/>
              <w:bottom w:val="single" w:sz="4" w:space="0" w:color="auto"/>
            </w:tcBorders>
            <w:vAlign w:val="center"/>
          </w:tcPr>
          <w:p w14:paraId="3D4DB815" w14:textId="6572AA41"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vAlign w:val="center"/>
          </w:tcPr>
          <w:p w14:paraId="180266A9" w14:textId="6CA95B0F"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1 609</w:t>
            </w:r>
          </w:p>
        </w:tc>
        <w:tc>
          <w:tcPr>
            <w:tcW w:w="605" w:type="pct"/>
            <w:tcBorders>
              <w:top w:val="single" w:sz="4" w:space="0" w:color="auto"/>
              <w:left w:val="nil"/>
              <w:bottom w:val="single" w:sz="4" w:space="0" w:color="auto"/>
              <w:right w:val="nil"/>
            </w:tcBorders>
            <w:shd w:val="clear" w:color="auto" w:fill="auto"/>
            <w:vAlign w:val="center"/>
          </w:tcPr>
          <w:p w14:paraId="2F291DCA" w14:textId="6CADA267"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5768914B" w14:textId="0C29B53E"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1 609</w:t>
            </w:r>
          </w:p>
        </w:tc>
        <w:tc>
          <w:tcPr>
            <w:tcW w:w="680" w:type="pct"/>
            <w:gridSpan w:val="2"/>
            <w:tcBorders>
              <w:top w:val="single" w:sz="4" w:space="0" w:color="auto"/>
              <w:left w:val="nil"/>
              <w:bottom w:val="single" w:sz="4" w:space="0" w:color="auto"/>
              <w:right w:val="nil"/>
            </w:tcBorders>
            <w:shd w:val="clear" w:color="auto" w:fill="auto"/>
            <w:vAlign w:val="center"/>
          </w:tcPr>
          <w:p w14:paraId="24D67D8F" w14:textId="1B403098"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2 178</w:t>
            </w:r>
          </w:p>
        </w:tc>
        <w:tc>
          <w:tcPr>
            <w:tcW w:w="600" w:type="pct"/>
            <w:gridSpan w:val="2"/>
            <w:tcBorders>
              <w:top w:val="single" w:sz="4" w:space="0" w:color="auto"/>
              <w:left w:val="nil"/>
              <w:bottom w:val="single" w:sz="4" w:space="0" w:color="auto"/>
              <w:right w:val="nil"/>
            </w:tcBorders>
            <w:shd w:val="clear" w:color="auto" w:fill="auto"/>
            <w:vAlign w:val="center"/>
          </w:tcPr>
          <w:p w14:paraId="07F46165" w14:textId="54165F2C"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765EBC90" w14:textId="3ED5B2E7"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2 178</w:t>
            </w:r>
          </w:p>
        </w:tc>
      </w:tr>
      <w:tr w:rsidR="005C0C8A" w:rsidRPr="000F041A" w14:paraId="4AE85435" w14:textId="77777777" w:rsidTr="000F041A">
        <w:trPr>
          <w:trHeight w:val="204"/>
        </w:trPr>
        <w:tc>
          <w:tcPr>
            <w:tcW w:w="1058" w:type="pct"/>
            <w:tcBorders>
              <w:top w:val="single" w:sz="4" w:space="0" w:color="auto"/>
              <w:bottom w:val="single" w:sz="4" w:space="0" w:color="auto"/>
            </w:tcBorders>
            <w:vAlign w:val="center"/>
          </w:tcPr>
          <w:p w14:paraId="73E8F4F7" w14:textId="0311C78C"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vAlign w:val="center"/>
          </w:tcPr>
          <w:p w14:paraId="4B0AA17D" w14:textId="6E2B2DD2"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05" w:type="pct"/>
            <w:tcBorders>
              <w:top w:val="single" w:sz="4" w:space="0" w:color="auto"/>
              <w:left w:val="nil"/>
              <w:bottom w:val="single" w:sz="4" w:space="0" w:color="auto"/>
              <w:right w:val="nil"/>
            </w:tcBorders>
            <w:shd w:val="clear" w:color="auto" w:fill="auto"/>
            <w:vAlign w:val="center"/>
          </w:tcPr>
          <w:p w14:paraId="71E218B1" w14:textId="046DC099"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09DA27CE" w14:textId="00BB7AAB"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0</w:t>
            </w:r>
          </w:p>
        </w:tc>
        <w:tc>
          <w:tcPr>
            <w:tcW w:w="680" w:type="pct"/>
            <w:gridSpan w:val="2"/>
            <w:tcBorders>
              <w:top w:val="single" w:sz="4" w:space="0" w:color="auto"/>
              <w:left w:val="nil"/>
              <w:bottom w:val="single" w:sz="4" w:space="0" w:color="auto"/>
              <w:right w:val="nil"/>
            </w:tcBorders>
            <w:shd w:val="clear" w:color="auto" w:fill="auto"/>
            <w:vAlign w:val="center"/>
          </w:tcPr>
          <w:p w14:paraId="1135B3B9" w14:textId="2CFF80BA"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3 009</w:t>
            </w:r>
          </w:p>
        </w:tc>
        <w:tc>
          <w:tcPr>
            <w:tcW w:w="600" w:type="pct"/>
            <w:gridSpan w:val="2"/>
            <w:tcBorders>
              <w:top w:val="single" w:sz="4" w:space="0" w:color="auto"/>
              <w:left w:val="nil"/>
              <w:bottom w:val="single" w:sz="4" w:space="0" w:color="auto"/>
              <w:right w:val="nil"/>
            </w:tcBorders>
            <w:shd w:val="clear" w:color="auto" w:fill="auto"/>
            <w:vAlign w:val="center"/>
          </w:tcPr>
          <w:p w14:paraId="543C884A" w14:textId="768F7FE2"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31454EAF" w14:textId="3810C40D"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3 009</w:t>
            </w:r>
          </w:p>
        </w:tc>
      </w:tr>
      <w:tr w:rsidR="005C0C8A" w:rsidRPr="000F041A" w14:paraId="3BA1E883" w14:textId="29AE2EAD" w:rsidTr="000F041A">
        <w:trPr>
          <w:trHeight w:val="204"/>
        </w:trPr>
        <w:tc>
          <w:tcPr>
            <w:tcW w:w="1058" w:type="pct"/>
            <w:tcBorders>
              <w:top w:val="single" w:sz="4" w:space="0" w:color="auto"/>
              <w:bottom w:val="single" w:sz="4" w:space="0" w:color="auto"/>
            </w:tcBorders>
            <w:vAlign w:val="center"/>
          </w:tcPr>
          <w:p w14:paraId="3042D545" w14:textId="0609DBE2"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0720895E" w14:textId="44B0DA16"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6 403</w:t>
            </w:r>
          </w:p>
        </w:tc>
        <w:tc>
          <w:tcPr>
            <w:tcW w:w="605" w:type="pct"/>
            <w:tcBorders>
              <w:top w:val="single" w:sz="4" w:space="0" w:color="auto"/>
              <w:left w:val="nil"/>
              <w:bottom w:val="single" w:sz="4" w:space="0" w:color="auto"/>
              <w:right w:val="nil"/>
            </w:tcBorders>
            <w:shd w:val="clear" w:color="auto" w:fill="auto"/>
            <w:vAlign w:val="center"/>
          </w:tcPr>
          <w:p w14:paraId="06428A82" w14:textId="7BF650CE"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82" w:type="pct"/>
            <w:gridSpan w:val="2"/>
            <w:tcBorders>
              <w:top w:val="single" w:sz="4" w:space="0" w:color="auto"/>
              <w:left w:val="nil"/>
              <w:bottom w:val="single" w:sz="4" w:space="0" w:color="auto"/>
              <w:right w:val="nil"/>
            </w:tcBorders>
            <w:shd w:val="clear" w:color="auto" w:fill="auto"/>
            <w:vAlign w:val="center"/>
          </w:tcPr>
          <w:p w14:paraId="41C848E9" w14:textId="5A64E630"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6 403</w:t>
            </w:r>
          </w:p>
        </w:tc>
        <w:tc>
          <w:tcPr>
            <w:tcW w:w="680" w:type="pct"/>
            <w:gridSpan w:val="2"/>
            <w:tcBorders>
              <w:top w:val="single" w:sz="4" w:space="0" w:color="auto"/>
              <w:left w:val="nil"/>
              <w:bottom w:val="single" w:sz="4" w:space="0" w:color="auto"/>
              <w:right w:val="nil"/>
            </w:tcBorders>
            <w:shd w:val="clear" w:color="auto" w:fill="auto"/>
            <w:vAlign w:val="center"/>
          </w:tcPr>
          <w:p w14:paraId="3B587827" w14:textId="7FE7BDD8"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7 813</w:t>
            </w:r>
          </w:p>
        </w:tc>
        <w:tc>
          <w:tcPr>
            <w:tcW w:w="600" w:type="pct"/>
            <w:gridSpan w:val="2"/>
            <w:tcBorders>
              <w:top w:val="single" w:sz="4" w:space="0" w:color="auto"/>
              <w:left w:val="nil"/>
              <w:bottom w:val="single" w:sz="4" w:space="0" w:color="auto"/>
              <w:right w:val="nil"/>
            </w:tcBorders>
            <w:shd w:val="clear" w:color="auto" w:fill="auto"/>
            <w:vAlign w:val="center"/>
          </w:tcPr>
          <w:p w14:paraId="1D322B5E" w14:textId="3CAAA7E3"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1A417259" w14:textId="2894C46C" w:rsidR="005C0C8A" w:rsidRPr="000D0DBD"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7 813</w:t>
            </w:r>
          </w:p>
        </w:tc>
      </w:tr>
      <w:tr w:rsidR="005C0C8A" w:rsidRPr="00A27896" w14:paraId="0D6D5B09" w14:textId="2C0D92DB" w:rsidTr="000F041A">
        <w:trPr>
          <w:trHeight w:val="204"/>
        </w:trPr>
        <w:tc>
          <w:tcPr>
            <w:tcW w:w="1058" w:type="pct"/>
            <w:tcBorders>
              <w:top w:val="single" w:sz="4" w:space="0" w:color="auto"/>
              <w:bottom w:val="single" w:sz="4" w:space="0" w:color="auto"/>
            </w:tcBorders>
            <w:vAlign w:val="center"/>
          </w:tcPr>
          <w:p w14:paraId="35F19A4D" w14:textId="6134FBD9" w:rsidR="005C0C8A" w:rsidRPr="00A27896" w:rsidRDefault="005C0C8A" w:rsidP="005C0C8A">
            <w:pPr>
              <w:spacing w:after="0" w:line="240" w:lineRule="auto"/>
              <w:ind w:right="57"/>
              <w:rPr>
                <w:rFonts w:eastAsia="Times New Roman" w:cs="Times New Roman"/>
                <w:b/>
                <w:i/>
                <w:color w:val="17365D"/>
                <w:sz w:val="18"/>
                <w:szCs w:val="18"/>
                <w:lang w:eastAsia="lv-LV"/>
              </w:rPr>
            </w:pPr>
            <w:r w:rsidRPr="00A27896">
              <w:rPr>
                <w:rFonts w:eastAsia="Times New Roman" w:cs="Times New Roman"/>
                <w:b/>
                <w:i/>
                <w:color w:val="17365D"/>
                <w:sz w:val="18"/>
                <w:szCs w:val="18"/>
                <w:lang w:eastAsia="lv-LV"/>
              </w:rPr>
              <w:t>termiņš ir kavēts un finanšu instrumentu vērtība ir samazinājusies, sadalījumā pa kavējuma termiņiem;</w:t>
            </w:r>
          </w:p>
        </w:tc>
        <w:tc>
          <w:tcPr>
            <w:tcW w:w="680" w:type="pct"/>
            <w:gridSpan w:val="2"/>
            <w:tcBorders>
              <w:top w:val="single" w:sz="4" w:space="0" w:color="auto"/>
              <w:left w:val="nil"/>
              <w:bottom w:val="single" w:sz="4" w:space="0" w:color="auto"/>
              <w:right w:val="nil"/>
            </w:tcBorders>
            <w:shd w:val="clear" w:color="auto" w:fill="auto"/>
            <w:vAlign w:val="center"/>
          </w:tcPr>
          <w:p w14:paraId="3203D3E4" w14:textId="6A033002" w:rsidR="005C0C8A" w:rsidRPr="00C113C1"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418 878 041</w:t>
            </w:r>
          </w:p>
        </w:tc>
        <w:tc>
          <w:tcPr>
            <w:tcW w:w="605" w:type="pct"/>
            <w:tcBorders>
              <w:top w:val="single" w:sz="4" w:space="0" w:color="auto"/>
              <w:left w:val="nil"/>
              <w:bottom w:val="single" w:sz="4" w:space="0" w:color="auto"/>
              <w:right w:val="nil"/>
            </w:tcBorders>
            <w:shd w:val="clear" w:color="auto" w:fill="auto"/>
            <w:vAlign w:val="center"/>
          </w:tcPr>
          <w:p w14:paraId="57E49470" w14:textId="4D693D36" w:rsidR="005C0C8A" w:rsidRPr="00C113C1"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-418 510 284</w:t>
            </w:r>
          </w:p>
        </w:tc>
        <w:tc>
          <w:tcPr>
            <w:tcW w:w="682" w:type="pct"/>
            <w:gridSpan w:val="2"/>
            <w:tcBorders>
              <w:top w:val="single" w:sz="4" w:space="0" w:color="auto"/>
              <w:left w:val="nil"/>
              <w:bottom w:val="single" w:sz="4" w:space="0" w:color="auto"/>
              <w:right w:val="nil"/>
            </w:tcBorders>
            <w:shd w:val="clear" w:color="auto" w:fill="auto"/>
            <w:vAlign w:val="center"/>
          </w:tcPr>
          <w:p w14:paraId="771F78E2" w14:textId="0D06CB33" w:rsidR="005C0C8A" w:rsidRPr="00C113C1"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367 757</w:t>
            </w:r>
          </w:p>
        </w:tc>
        <w:tc>
          <w:tcPr>
            <w:tcW w:w="680" w:type="pct"/>
            <w:gridSpan w:val="2"/>
            <w:tcBorders>
              <w:top w:val="single" w:sz="4" w:space="0" w:color="auto"/>
              <w:left w:val="nil"/>
              <w:bottom w:val="single" w:sz="4" w:space="0" w:color="auto"/>
              <w:right w:val="nil"/>
            </w:tcBorders>
            <w:shd w:val="clear" w:color="auto" w:fill="auto"/>
            <w:vAlign w:val="center"/>
          </w:tcPr>
          <w:p w14:paraId="3D3F3647" w14:textId="2D220B98" w:rsidR="005C0C8A" w:rsidRPr="00C113C1"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418 874 553</w:t>
            </w:r>
          </w:p>
        </w:tc>
        <w:tc>
          <w:tcPr>
            <w:tcW w:w="600" w:type="pct"/>
            <w:gridSpan w:val="2"/>
            <w:tcBorders>
              <w:top w:val="single" w:sz="4" w:space="0" w:color="auto"/>
              <w:left w:val="nil"/>
              <w:bottom w:val="single" w:sz="4" w:space="0" w:color="auto"/>
              <w:right w:val="nil"/>
            </w:tcBorders>
            <w:shd w:val="clear" w:color="auto" w:fill="auto"/>
            <w:vAlign w:val="center"/>
          </w:tcPr>
          <w:p w14:paraId="21DDE2AA" w14:textId="034B0478" w:rsidR="005C0C8A" w:rsidRPr="00C113C1"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-418 777 025</w:t>
            </w:r>
          </w:p>
        </w:tc>
        <w:tc>
          <w:tcPr>
            <w:tcW w:w="695" w:type="pct"/>
            <w:tcBorders>
              <w:top w:val="single" w:sz="4" w:space="0" w:color="auto"/>
              <w:left w:val="nil"/>
              <w:bottom w:val="single" w:sz="4" w:space="0" w:color="auto"/>
              <w:right w:val="nil"/>
            </w:tcBorders>
            <w:shd w:val="clear" w:color="auto" w:fill="auto"/>
            <w:vAlign w:val="center"/>
          </w:tcPr>
          <w:p w14:paraId="1FC7A01F" w14:textId="74EFB365" w:rsidR="005C0C8A" w:rsidRPr="00C113C1" w:rsidRDefault="005C0C8A" w:rsidP="000F041A">
            <w:pPr>
              <w:spacing w:after="0" w:line="240" w:lineRule="auto"/>
              <w:ind w:right="57"/>
              <w:jc w:val="right"/>
              <w:rPr>
                <w:rFonts w:eastAsia="Times New Roman" w:cs="Times New Roman"/>
                <w:b/>
                <w:color w:val="17365D"/>
                <w:sz w:val="18"/>
                <w:szCs w:val="18"/>
                <w:lang w:eastAsia="lv-LV"/>
              </w:rPr>
            </w:pPr>
            <w:r w:rsidRPr="005C0C8A">
              <w:rPr>
                <w:rFonts w:eastAsia="Times New Roman" w:cs="Times New Roman"/>
                <w:b/>
                <w:color w:val="17365D"/>
                <w:sz w:val="18"/>
                <w:szCs w:val="18"/>
                <w:lang w:eastAsia="lv-LV"/>
              </w:rPr>
              <w:t>97 528</w:t>
            </w:r>
          </w:p>
        </w:tc>
      </w:tr>
      <w:tr w:rsidR="005C0C8A" w:rsidRPr="00C113C1" w14:paraId="213AB3E6" w14:textId="48568074" w:rsidTr="000F041A">
        <w:trPr>
          <w:trHeight w:val="204"/>
        </w:trPr>
        <w:tc>
          <w:tcPr>
            <w:tcW w:w="1058" w:type="pct"/>
            <w:tcBorders>
              <w:top w:val="single" w:sz="4" w:space="0" w:color="auto"/>
              <w:bottom w:val="single" w:sz="4" w:space="0" w:color="auto"/>
            </w:tcBorders>
            <w:vAlign w:val="center"/>
          </w:tcPr>
          <w:p w14:paraId="2F3455C9" w14:textId="2D268E0C"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vAlign w:val="center"/>
          </w:tcPr>
          <w:p w14:paraId="78A55C43" w14:textId="7B67516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248 550</w:t>
            </w:r>
          </w:p>
        </w:tc>
        <w:tc>
          <w:tcPr>
            <w:tcW w:w="605" w:type="pct"/>
            <w:tcBorders>
              <w:top w:val="single" w:sz="4" w:space="0" w:color="auto"/>
              <w:left w:val="nil"/>
              <w:bottom w:val="single" w:sz="4" w:space="0" w:color="auto"/>
              <w:right w:val="nil"/>
            </w:tcBorders>
            <w:shd w:val="clear" w:color="auto" w:fill="auto"/>
            <w:vAlign w:val="center"/>
          </w:tcPr>
          <w:p w14:paraId="7AD178A3" w14:textId="1D9ACCB5"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-7 292</w:t>
            </w:r>
          </w:p>
        </w:tc>
        <w:tc>
          <w:tcPr>
            <w:tcW w:w="682" w:type="pct"/>
            <w:gridSpan w:val="2"/>
            <w:tcBorders>
              <w:top w:val="single" w:sz="4" w:space="0" w:color="auto"/>
              <w:left w:val="nil"/>
              <w:bottom w:val="single" w:sz="4" w:space="0" w:color="auto"/>
              <w:right w:val="nil"/>
            </w:tcBorders>
            <w:shd w:val="clear" w:color="auto" w:fill="auto"/>
            <w:vAlign w:val="center"/>
          </w:tcPr>
          <w:p w14:paraId="510E009F" w14:textId="2169698B"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241 258</w:t>
            </w:r>
          </w:p>
        </w:tc>
        <w:tc>
          <w:tcPr>
            <w:tcW w:w="680" w:type="pct"/>
            <w:gridSpan w:val="2"/>
            <w:tcBorders>
              <w:top w:val="single" w:sz="4" w:space="0" w:color="auto"/>
              <w:left w:val="nil"/>
              <w:bottom w:val="single" w:sz="4" w:space="0" w:color="auto"/>
              <w:right w:val="nil"/>
            </w:tcBorders>
            <w:shd w:val="clear" w:color="auto" w:fill="auto"/>
            <w:vAlign w:val="center"/>
          </w:tcPr>
          <w:p w14:paraId="7AC66701" w14:textId="559E7F08"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8 586</w:t>
            </w:r>
          </w:p>
        </w:tc>
        <w:tc>
          <w:tcPr>
            <w:tcW w:w="600" w:type="pct"/>
            <w:gridSpan w:val="2"/>
            <w:tcBorders>
              <w:top w:val="single" w:sz="4" w:space="0" w:color="auto"/>
              <w:left w:val="nil"/>
              <w:bottom w:val="single" w:sz="4" w:space="0" w:color="auto"/>
              <w:right w:val="nil"/>
            </w:tcBorders>
            <w:shd w:val="clear" w:color="auto" w:fill="auto"/>
            <w:vAlign w:val="center"/>
          </w:tcPr>
          <w:p w14:paraId="28EBEC60" w14:textId="0781F30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-5 631</w:t>
            </w:r>
          </w:p>
        </w:tc>
        <w:tc>
          <w:tcPr>
            <w:tcW w:w="695" w:type="pct"/>
            <w:tcBorders>
              <w:top w:val="single" w:sz="4" w:space="0" w:color="auto"/>
              <w:left w:val="nil"/>
              <w:bottom w:val="single" w:sz="4" w:space="0" w:color="auto"/>
              <w:right w:val="nil"/>
            </w:tcBorders>
            <w:shd w:val="clear" w:color="auto" w:fill="auto"/>
            <w:vAlign w:val="center"/>
          </w:tcPr>
          <w:p w14:paraId="398ACF03" w14:textId="3A4F1F2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2 955</w:t>
            </w:r>
          </w:p>
        </w:tc>
      </w:tr>
      <w:tr w:rsidR="005C0C8A" w:rsidRPr="00C113C1" w14:paraId="477D6E52" w14:textId="1D347D02" w:rsidTr="000F041A">
        <w:trPr>
          <w:trHeight w:val="204"/>
        </w:trPr>
        <w:tc>
          <w:tcPr>
            <w:tcW w:w="1058" w:type="pct"/>
            <w:tcBorders>
              <w:top w:val="single" w:sz="4" w:space="0" w:color="auto"/>
              <w:bottom w:val="single" w:sz="4" w:space="0" w:color="auto"/>
            </w:tcBorders>
            <w:vAlign w:val="center"/>
          </w:tcPr>
          <w:p w14:paraId="76124B9A" w14:textId="449950D1"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vAlign w:val="center"/>
          </w:tcPr>
          <w:p w14:paraId="7A1BAA6B" w14:textId="319B7A5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23 452</w:t>
            </w:r>
          </w:p>
        </w:tc>
        <w:tc>
          <w:tcPr>
            <w:tcW w:w="605" w:type="pct"/>
            <w:tcBorders>
              <w:top w:val="single" w:sz="4" w:space="0" w:color="auto"/>
              <w:left w:val="nil"/>
              <w:bottom w:val="single" w:sz="4" w:space="0" w:color="auto"/>
              <w:right w:val="nil"/>
            </w:tcBorders>
            <w:shd w:val="clear" w:color="auto" w:fill="auto"/>
            <w:vAlign w:val="center"/>
          </w:tcPr>
          <w:p w14:paraId="1265B8B8" w14:textId="39910AE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-12 523</w:t>
            </w:r>
          </w:p>
        </w:tc>
        <w:tc>
          <w:tcPr>
            <w:tcW w:w="682" w:type="pct"/>
            <w:gridSpan w:val="2"/>
            <w:tcBorders>
              <w:top w:val="single" w:sz="4" w:space="0" w:color="auto"/>
              <w:left w:val="nil"/>
              <w:bottom w:val="single" w:sz="4" w:space="0" w:color="auto"/>
              <w:right w:val="nil"/>
            </w:tcBorders>
            <w:shd w:val="clear" w:color="auto" w:fill="auto"/>
            <w:vAlign w:val="center"/>
          </w:tcPr>
          <w:p w14:paraId="636C2968" w14:textId="6CF7C51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10 929</w:t>
            </w:r>
          </w:p>
        </w:tc>
        <w:tc>
          <w:tcPr>
            <w:tcW w:w="680" w:type="pct"/>
            <w:gridSpan w:val="2"/>
            <w:tcBorders>
              <w:top w:val="single" w:sz="4" w:space="0" w:color="auto"/>
              <w:left w:val="nil"/>
              <w:bottom w:val="single" w:sz="4" w:space="0" w:color="auto"/>
              <w:right w:val="nil"/>
            </w:tcBorders>
            <w:shd w:val="clear" w:color="auto" w:fill="auto"/>
            <w:vAlign w:val="center"/>
          </w:tcPr>
          <w:p w14:paraId="18D596A7" w14:textId="7AD11A33"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16 577</w:t>
            </w:r>
          </w:p>
        </w:tc>
        <w:tc>
          <w:tcPr>
            <w:tcW w:w="600" w:type="pct"/>
            <w:gridSpan w:val="2"/>
            <w:tcBorders>
              <w:top w:val="single" w:sz="4" w:space="0" w:color="auto"/>
              <w:left w:val="nil"/>
              <w:bottom w:val="single" w:sz="4" w:space="0" w:color="auto"/>
              <w:right w:val="nil"/>
            </w:tcBorders>
            <w:shd w:val="clear" w:color="auto" w:fill="auto"/>
            <w:vAlign w:val="center"/>
          </w:tcPr>
          <w:p w14:paraId="5D48A5DF" w14:textId="330CFBF6"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-10 590</w:t>
            </w:r>
          </w:p>
        </w:tc>
        <w:tc>
          <w:tcPr>
            <w:tcW w:w="695" w:type="pct"/>
            <w:tcBorders>
              <w:top w:val="single" w:sz="4" w:space="0" w:color="auto"/>
              <w:left w:val="nil"/>
              <w:bottom w:val="single" w:sz="4" w:space="0" w:color="auto"/>
              <w:right w:val="nil"/>
            </w:tcBorders>
            <w:shd w:val="clear" w:color="auto" w:fill="auto"/>
            <w:vAlign w:val="center"/>
          </w:tcPr>
          <w:p w14:paraId="01AC842E" w14:textId="4C9D732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5 987</w:t>
            </w:r>
          </w:p>
        </w:tc>
      </w:tr>
      <w:tr w:rsidR="005C0C8A" w:rsidRPr="00C113C1" w14:paraId="4022305A" w14:textId="52579301" w:rsidTr="000F041A">
        <w:trPr>
          <w:trHeight w:val="204"/>
        </w:trPr>
        <w:tc>
          <w:tcPr>
            <w:tcW w:w="1058" w:type="pct"/>
            <w:tcBorders>
              <w:top w:val="single" w:sz="4" w:space="0" w:color="auto"/>
              <w:bottom w:val="single" w:sz="4" w:space="0" w:color="auto"/>
            </w:tcBorders>
            <w:vAlign w:val="center"/>
          </w:tcPr>
          <w:p w14:paraId="7CAE4135" w14:textId="201D131F"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vAlign w:val="center"/>
          </w:tcPr>
          <w:p w14:paraId="1792ED26" w14:textId="407ACF3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136 856</w:t>
            </w:r>
          </w:p>
        </w:tc>
        <w:tc>
          <w:tcPr>
            <w:tcW w:w="605" w:type="pct"/>
            <w:tcBorders>
              <w:top w:val="single" w:sz="4" w:space="0" w:color="auto"/>
              <w:left w:val="nil"/>
              <w:bottom w:val="single" w:sz="4" w:space="0" w:color="auto"/>
              <w:right w:val="nil"/>
            </w:tcBorders>
            <w:shd w:val="clear" w:color="auto" w:fill="auto"/>
            <w:vAlign w:val="center"/>
          </w:tcPr>
          <w:p w14:paraId="7AA094FB" w14:textId="285D8EA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-34 811</w:t>
            </w:r>
          </w:p>
        </w:tc>
        <w:tc>
          <w:tcPr>
            <w:tcW w:w="682" w:type="pct"/>
            <w:gridSpan w:val="2"/>
            <w:tcBorders>
              <w:top w:val="single" w:sz="4" w:space="0" w:color="auto"/>
              <w:left w:val="nil"/>
              <w:bottom w:val="single" w:sz="4" w:space="0" w:color="auto"/>
              <w:right w:val="nil"/>
            </w:tcBorders>
            <w:shd w:val="clear" w:color="auto" w:fill="auto"/>
            <w:vAlign w:val="center"/>
          </w:tcPr>
          <w:p w14:paraId="7D805AA4" w14:textId="59F4EF0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102 045</w:t>
            </w:r>
          </w:p>
        </w:tc>
        <w:tc>
          <w:tcPr>
            <w:tcW w:w="680" w:type="pct"/>
            <w:gridSpan w:val="2"/>
            <w:tcBorders>
              <w:top w:val="single" w:sz="4" w:space="0" w:color="auto"/>
              <w:left w:val="nil"/>
              <w:bottom w:val="single" w:sz="4" w:space="0" w:color="auto"/>
              <w:right w:val="nil"/>
            </w:tcBorders>
            <w:shd w:val="clear" w:color="auto" w:fill="auto"/>
            <w:vAlign w:val="center"/>
          </w:tcPr>
          <w:p w14:paraId="2D65F780" w14:textId="772EA078"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98 890</w:t>
            </w:r>
          </w:p>
        </w:tc>
        <w:tc>
          <w:tcPr>
            <w:tcW w:w="600" w:type="pct"/>
            <w:gridSpan w:val="2"/>
            <w:tcBorders>
              <w:top w:val="single" w:sz="4" w:space="0" w:color="auto"/>
              <w:left w:val="nil"/>
              <w:bottom w:val="single" w:sz="4" w:space="0" w:color="auto"/>
              <w:right w:val="nil"/>
            </w:tcBorders>
            <w:shd w:val="clear" w:color="auto" w:fill="auto"/>
            <w:vAlign w:val="center"/>
          </w:tcPr>
          <w:p w14:paraId="578C5439" w14:textId="6E84119D"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-24 600</w:t>
            </w:r>
          </w:p>
        </w:tc>
        <w:tc>
          <w:tcPr>
            <w:tcW w:w="695" w:type="pct"/>
            <w:tcBorders>
              <w:top w:val="single" w:sz="4" w:space="0" w:color="auto"/>
              <w:left w:val="nil"/>
              <w:bottom w:val="single" w:sz="4" w:space="0" w:color="auto"/>
              <w:right w:val="nil"/>
            </w:tcBorders>
            <w:shd w:val="clear" w:color="auto" w:fill="auto"/>
            <w:vAlign w:val="center"/>
          </w:tcPr>
          <w:p w14:paraId="04AF7359" w14:textId="58C2F88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74 290</w:t>
            </w:r>
          </w:p>
        </w:tc>
      </w:tr>
      <w:tr w:rsidR="005C0C8A" w:rsidRPr="00C113C1" w14:paraId="3E021621" w14:textId="59E8C99D" w:rsidTr="000F041A">
        <w:trPr>
          <w:trHeight w:val="204"/>
        </w:trPr>
        <w:tc>
          <w:tcPr>
            <w:tcW w:w="1058" w:type="pct"/>
            <w:tcBorders>
              <w:top w:val="single" w:sz="4" w:space="0" w:color="auto"/>
              <w:bottom w:val="single" w:sz="4" w:space="0" w:color="auto"/>
            </w:tcBorders>
            <w:vAlign w:val="center"/>
          </w:tcPr>
          <w:p w14:paraId="43D2920C" w14:textId="0427A729"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181 līdz 360 dienām</w:t>
            </w:r>
          </w:p>
        </w:tc>
        <w:tc>
          <w:tcPr>
            <w:tcW w:w="680" w:type="pct"/>
            <w:gridSpan w:val="2"/>
            <w:tcBorders>
              <w:top w:val="single" w:sz="4" w:space="0" w:color="auto"/>
              <w:left w:val="nil"/>
              <w:bottom w:val="single" w:sz="4" w:space="0" w:color="auto"/>
              <w:right w:val="nil"/>
            </w:tcBorders>
            <w:shd w:val="clear" w:color="auto" w:fill="auto"/>
            <w:vAlign w:val="center"/>
          </w:tcPr>
          <w:p w14:paraId="3EFE73A6" w14:textId="384FAEC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9 922</w:t>
            </w:r>
          </w:p>
        </w:tc>
        <w:tc>
          <w:tcPr>
            <w:tcW w:w="605" w:type="pct"/>
            <w:tcBorders>
              <w:top w:val="single" w:sz="4" w:space="0" w:color="auto"/>
              <w:left w:val="nil"/>
              <w:bottom w:val="single" w:sz="4" w:space="0" w:color="auto"/>
              <w:right w:val="nil"/>
            </w:tcBorders>
            <w:shd w:val="clear" w:color="auto" w:fill="auto"/>
            <w:vAlign w:val="center"/>
          </w:tcPr>
          <w:p w14:paraId="42A7874A" w14:textId="51502C2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-8 614</w:t>
            </w:r>
          </w:p>
        </w:tc>
        <w:tc>
          <w:tcPr>
            <w:tcW w:w="682" w:type="pct"/>
            <w:gridSpan w:val="2"/>
            <w:tcBorders>
              <w:top w:val="single" w:sz="4" w:space="0" w:color="auto"/>
              <w:left w:val="nil"/>
              <w:bottom w:val="single" w:sz="4" w:space="0" w:color="auto"/>
              <w:right w:val="nil"/>
            </w:tcBorders>
            <w:shd w:val="clear" w:color="auto" w:fill="auto"/>
            <w:vAlign w:val="center"/>
          </w:tcPr>
          <w:p w14:paraId="2FFDFDE5" w14:textId="4567B7D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1 308</w:t>
            </w:r>
          </w:p>
        </w:tc>
        <w:tc>
          <w:tcPr>
            <w:tcW w:w="680" w:type="pct"/>
            <w:gridSpan w:val="2"/>
            <w:tcBorders>
              <w:top w:val="single" w:sz="4" w:space="0" w:color="auto"/>
              <w:left w:val="nil"/>
              <w:bottom w:val="single" w:sz="4" w:space="0" w:color="auto"/>
              <w:right w:val="nil"/>
            </w:tcBorders>
            <w:shd w:val="clear" w:color="auto" w:fill="auto"/>
            <w:vAlign w:val="center"/>
          </w:tcPr>
          <w:p w14:paraId="68D2FAC1" w14:textId="75192349"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22 566</w:t>
            </w:r>
          </w:p>
        </w:tc>
        <w:tc>
          <w:tcPr>
            <w:tcW w:w="600" w:type="pct"/>
            <w:gridSpan w:val="2"/>
            <w:tcBorders>
              <w:top w:val="single" w:sz="4" w:space="0" w:color="auto"/>
              <w:left w:val="nil"/>
              <w:bottom w:val="single" w:sz="4" w:space="0" w:color="auto"/>
              <w:right w:val="nil"/>
            </w:tcBorders>
            <w:shd w:val="clear" w:color="auto" w:fill="auto"/>
            <w:vAlign w:val="center"/>
          </w:tcPr>
          <w:p w14:paraId="243B7A27" w14:textId="18BB87D2"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-20 697</w:t>
            </w:r>
          </w:p>
        </w:tc>
        <w:tc>
          <w:tcPr>
            <w:tcW w:w="695" w:type="pct"/>
            <w:tcBorders>
              <w:top w:val="single" w:sz="4" w:space="0" w:color="auto"/>
              <w:left w:val="nil"/>
              <w:bottom w:val="single" w:sz="4" w:space="0" w:color="auto"/>
              <w:right w:val="nil"/>
            </w:tcBorders>
            <w:shd w:val="clear" w:color="auto" w:fill="auto"/>
            <w:vAlign w:val="center"/>
          </w:tcPr>
          <w:p w14:paraId="528B7349" w14:textId="23933FE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1 869</w:t>
            </w:r>
          </w:p>
        </w:tc>
      </w:tr>
      <w:tr w:rsidR="005C0C8A" w:rsidRPr="00C113C1" w14:paraId="1CA20B48" w14:textId="4AD29CE6" w:rsidTr="000F041A">
        <w:trPr>
          <w:trHeight w:val="204"/>
        </w:trPr>
        <w:tc>
          <w:tcPr>
            <w:tcW w:w="1058" w:type="pct"/>
            <w:tcBorders>
              <w:top w:val="single" w:sz="4" w:space="0" w:color="auto"/>
              <w:bottom w:val="single" w:sz="4" w:space="0" w:color="auto"/>
            </w:tcBorders>
            <w:vAlign w:val="center"/>
          </w:tcPr>
          <w:p w14:paraId="37EBC418" w14:textId="6F07FF73"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14B04F6F" w14:textId="546A06E7"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418 459 261</w:t>
            </w:r>
          </w:p>
        </w:tc>
        <w:tc>
          <w:tcPr>
            <w:tcW w:w="605" w:type="pct"/>
            <w:tcBorders>
              <w:top w:val="single" w:sz="4" w:space="0" w:color="auto"/>
              <w:left w:val="nil"/>
              <w:bottom w:val="single" w:sz="4" w:space="0" w:color="auto"/>
              <w:right w:val="nil"/>
            </w:tcBorders>
            <w:shd w:val="clear" w:color="auto" w:fill="auto"/>
            <w:vAlign w:val="center"/>
          </w:tcPr>
          <w:p w14:paraId="4AE41BAE" w14:textId="0FE9C7B4"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-418 447 044</w:t>
            </w:r>
          </w:p>
        </w:tc>
        <w:tc>
          <w:tcPr>
            <w:tcW w:w="682" w:type="pct"/>
            <w:gridSpan w:val="2"/>
            <w:tcBorders>
              <w:top w:val="single" w:sz="4" w:space="0" w:color="auto"/>
              <w:left w:val="nil"/>
              <w:bottom w:val="single" w:sz="4" w:space="0" w:color="auto"/>
              <w:right w:val="nil"/>
            </w:tcBorders>
            <w:shd w:val="clear" w:color="auto" w:fill="auto"/>
            <w:vAlign w:val="center"/>
          </w:tcPr>
          <w:p w14:paraId="2C06D18E" w14:textId="6A89B47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12 217</w:t>
            </w:r>
          </w:p>
        </w:tc>
        <w:tc>
          <w:tcPr>
            <w:tcW w:w="680" w:type="pct"/>
            <w:gridSpan w:val="2"/>
            <w:tcBorders>
              <w:top w:val="single" w:sz="4" w:space="0" w:color="auto"/>
              <w:left w:val="nil"/>
              <w:bottom w:val="single" w:sz="4" w:space="0" w:color="auto"/>
              <w:right w:val="nil"/>
            </w:tcBorders>
            <w:shd w:val="clear" w:color="auto" w:fill="auto"/>
            <w:vAlign w:val="center"/>
          </w:tcPr>
          <w:p w14:paraId="4657F4D5" w14:textId="35530C5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418 727 934</w:t>
            </w:r>
          </w:p>
        </w:tc>
        <w:tc>
          <w:tcPr>
            <w:tcW w:w="600" w:type="pct"/>
            <w:gridSpan w:val="2"/>
            <w:tcBorders>
              <w:top w:val="single" w:sz="4" w:space="0" w:color="auto"/>
              <w:left w:val="nil"/>
              <w:bottom w:val="single" w:sz="4" w:space="0" w:color="auto"/>
              <w:right w:val="nil"/>
            </w:tcBorders>
            <w:shd w:val="clear" w:color="auto" w:fill="auto"/>
            <w:vAlign w:val="center"/>
          </w:tcPr>
          <w:p w14:paraId="13B60FB4" w14:textId="40C82A9B"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-418 715 507</w:t>
            </w:r>
          </w:p>
        </w:tc>
        <w:tc>
          <w:tcPr>
            <w:tcW w:w="695" w:type="pct"/>
            <w:tcBorders>
              <w:top w:val="single" w:sz="4" w:space="0" w:color="auto"/>
              <w:left w:val="nil"/>
              <w:bottom w:val="single" w:sz="4" w:space="0" w:color="auto"/>
              <w:right w:val="nil"/>
            </w:tcBorders>
            <w:shd w:val="clear" w:color="auto" w:fill="auto"/>
            <w:vAlign w:val="center"/>
          </w:tcPr>
          <w:p w14:paraId="0CD9F42E" w14:textId="4A98F543"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12 427</w:t>
            </w:r>
          </w:p>
        </w:tc>
      </w:tr>
      <w:tr w:rsidR="00C113C1" w:rsidRPr="00A27896" w14:paraId="744C2B7A" w14:textId="20794D46" w:rsidTr="000F041A">
        <w:trPr>
          <w:trHeight w:val="204"/>
        </w:trPr>
        <w:tc>
          <w:tcPr>
            <w:tcW w:w="1058" w:type="pct"/>
            <w:tcBorders>
              <w:top w:val="single" w:sz="4" w:space="0" w:color="auto"/>
              <w:left w:val="nil"/>
              <w:bottom w:val="single" w:sz="4" w:space="0" w:color="auto"/>
              <w:right w:val="nil"/>
            </w:tcBorders>
          </w:tcPr>
          <w:p w14:paraId="6A459F79" w14:textId="135F9501"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680" w:type="pct"/>
            <w:gridSpan w:val="2"/>
            <w:tcBorders>
              <w:top w:val="single" w:sz="4" w:space="0" w:color="auto"/>
              <w:left w:val="nil"/>
              <w:bottom w:val="single" w:sz="4" w:space="0" w:color="auto"/>
              <w:right w:val="nil"/>
            </w:tcBorders>
            <w:vAlign w:val="center"/>
          </w:tcPr>
          <w:p w14:paraId="0739E418" w14:textId="03B096E2"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05" w:type="pct"/>
            <w:tcBorders>
              <w:top w:val="single" w:sz="4" w:space="0" w:color="auto"/>
              <w:left w:val="nil"/>
              <w:bottom w:val="single" w:sz="4" w:space="0" w:color="auto"/>
              <w:right w:val="nil"/>
            </w:tcBorders>
            <w:vAlign w:val="center"/>
          </w:tcPr>
          <w:p w14:paraId="52F02A3C" w14:textId="28991114"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82" w:type="pct"/>
            <w:gridSpan w:val="2"/>
            <w:tcBorders>
              <w:top w:val="single" w:sz="4" w:space="0" w:color="auto"/>
              <w:left w:val="nil"/>
              <w:bottom w:val="single" w:sz="4" w:space="0" w:color="auto"/>
              <w:right w:val="nil"/>
            </w:tcBorders>
            <w:vAlign w:val="center"/>
          </w:tcPr>
          <w:p w14:paraId="62911E81" w14:textId="1330EFDB"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c>
          <w:tcPr>
            <w:tcW w:w="680" w:type="pct"/>
            <w:gridSpan w:val="2"/>
            <w:tcBorders>
              <w:top w:val="single" w:sz="4" w:space="0" w:color="auto"/>
              <w:left w:val="nil"/>
              <w:bottom w:val="single" w:sz="4" w:space="0" w:color="auto"/>
              <w:right w:val="nil"/>
            </w:tcBorders>
            <w:vAlign w:val="center"/>
          </w:tcPr>
          <w:p w14:paraId="57E2EE4B" w14:textId="576E51E4"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00" w:type="pct"/>
            <w:gridSpan w:val="2"/>
            <w:tcBorders>
              <w:top w:val="single" w:sz="4" w:space="0" w:color="auto"/>
              <w:left w:val="nil"/>
              <w:bottom w:val="single" w:sz="4" w:space="0" w:color="auto"/>
              <w:right w:val="nil"/>
            </w:tcBorders>
            <w:vAlign w:val="center"/>
          </w:tcPr>
          <w:p w14:paraId="6F9A5F86" w14:textId="3E486D8C"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95" w:type="pct"/>
            <w:tcBorders>
              <w:top w:val="single" w:sz="4" w:space="0" w:color="auto"/>
              <w:left w:val="nil"/>
              <w:bottom w:val="single" w:sz="4" w:space="0" w:color="auto"/>
              <w:right w:val="nil"/>
            </w:tcBorders>
            <w:vAlign w:val="center"/>
          </w:tcPr>
          <w:p w14:paraId="6896319F" w14:textId="7B9F65E7"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r>
      <w:tr w:rsidR="00C113C1" w:rsidRPr="00A27896" w14:paraId="2E41B480" w14:textId="64FA8DA1" w:rsidTr="000F041A">
        <w:trPr>
          <w:trHeight w:val="204"/>
        </w:trPr>
        <w:tc>
          <w:tcPr>
            <w:tcW w:w="1058" w:type="pct"/>
            <w:tcBorders>
              <w:top w:val="single" w:sz="4" w:space="0" w:color="auto"/>
              <w:left w:val="nil"/>
              <w:bottom w:val="single" w:sz="4" w:space="0" w:color="auto"/>
              <w:right w:val="nil"/>
            </w:tcBorders>
          </w:tcPr>
          <w:p w14:paraId="3AC3711D" w14:textId="3197A9A9"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vAlign w:val="center"/>
          </w:tcPr>
          <w:p w14:paraId="3AD2359C" w14:textId="2D154B27"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05" w:type="pct"/>
            <w:tcBorders>
              <w:top w:val="single" w:sz="4" w:space="0" w:color="auto"/>
              <w:left w:val="nil"/>
              <w:bottom w:val="single" w:sz="4" w:space="0" w:color="auto"/>
              <w:right w:val="nil"/>
            </w:tcBorders>
            <w:vAlign w:val="center"/>
          </w:tcPr>
          <w:p w14:paraId="2D5F63AF" w14:textId="24F0D0F1"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82" w:type="pct"/>
            <w:gridSpan w:val="2"/>
            <w:tcBorders>
              <w:top w:val="single" w:sz="4" w:space="0" w:color="auto"/>
              <w:left w:val="nil"/>
              <w:bottom w:val="single" w:sz="4" w:space="0" w:color="auto"/>
              <w:right w:val="nil"/>
            </w:tcBorders>
            <w:vAlign w:val="center"/>
          </w:tcPr>
          <w:p w14:paraId="3F800B63" w14:textId="458C62C0"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c>
          <w:tcPr>
            <w:tcW w:w="680" w:type="pct"/>
            <w:gridSpan w:val="2"/>
            <w:tcBorders>
              <w:top w:val="single" w:sz="4" w:space="0" w:color="auto"/>
              <w:left w:val="nil"/>
              <w:bottom w:val="single" w:sz="4" w:space="0" w:color="auto"/>
              <w:right w:val="nil"/>
            </w:tcBorders>
            <w:vAlign w:val="center"/>
          </w:tcPr>
          <w:p w14:paraId="2716E8E2" w14:textId="35B5383E"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00" w:type="pct"/>
            <w:gridSpan w:val="2"/>
            <w:tcBorders>
              <w:top w:val="single" w:sz="4" w:space="0" w:color="auto"/>
              <w:left w:val="nil"/>
              <w:bottom w:val="single" w:sz="4" w:space="0" w:color="auto"/>
              <w:right w:val="nil"/>
            </w:tcBorders>
            <w:vAlign w:val="center"/>
          </w:tcPr>
          <w:p w14:paraId="59574147" w14:textId="043B69DC"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95" w:type="pct"/>
            <w:tcBorders>
              <w:top w:val="single" w:sz="4" w:space="0" w:color="auto"/>
              <w:left w:val="nil"/>
              <w:bottom w:val="single" w:sz="4" w:space="0" w:color="auto"/>
              <w:right w:val="nil"/>
            </w:tcBorders>
            <w:vAlign w:val="center"/>
          </w:tcPr>
          <w:p w14:paraId="7B1856C4" w14:textId="7658CD66" w:rsidR="00C113C1" w:rsidRPr="00C113C1" w:rsidRDefault="00C113C1" w:rsidP="000F041A">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r>
      <w:tr w:rsidR="005C0C8A" w:rsidRPr="00A27896" w14:paraId="17EC6C77" w14:textId="6FC59204" w:rsidTr="000F041A">
        <w:trPr>
          <w:trHeight w:val="204"/>
        </w:trPr>
        <w:tc>
          <w:tcPr>
            <w:tcW w:w="1058" w:type="pct"/>
            <w:tcBorders>
              <w:top w:val="single" w:sz="4" w:space="0" w:color="auto"/>
              <w:left w:val="nil"/>
              <w:bottom w:val="single" w:sz="4" w:space="0" w:color="auto"/>
              <w:right w:val="nil"/>
            </w:tcBorders>
          </w:tcPr>
          <w:p w14:paraId="540E524E" w14:textId="4FBC5133"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Aizdevumi</w:t>
            </w:r>
          </w:p>
        </w:tc>
        <w:tc>
          <w:tcPr>
            <w:tcW w:w="680" w:type="pct"/>
            <w:gridSpan w:val="2"/>
            <w:tcBorders>
              <w:top w:val="single" w:sz="4" w:space="0" w:color="auto"/>
              <w:left w:val="nil"/>
              <w:bottom w:val="single" w:sz="4" w:space="0" w:color="auto"/>
              <w:right w:val="nil"/>
            </w:tcBorders>
            <w:vAlign w:val="center"/>
          </w:tcPr>
          <w:p w14:paraId="59C8D6EC" w14:textId="4B1ECAD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964 368</w:t>
            </w:r>
          </w:p>
        </w:tc>
        <w:tc>
          <w:tcPr>
            <w:tcW w:w="605" w:type="pct"/>
            <w:tcBorders>
              <w:top w:val="single" w:sz="4" w:space="0" w:color="auto"/>
              <w:left w:val="nil"/>
              <w:bottom w:val="single" w:sz="4" w:space="0" w:color="auto"/>
              <w:right w:val="nil"/>
            </w:tcBorders>
            <w:vAlign w:val="center"/>
          </w:tcPr>
          <w:p w14:paraId="08E9EE9C" w14:textId="3F5E103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-958 167</w:t>
            </w:r>
          </w:p>
        </w:tc>
        <w:tc>
          <w:tcPr>
            <w:tcW w:w="682" w:type="pct"/>
            <w:gridSpan w:val="2"/>
            <w:tcBorders>
              <w:top w:val="single" w:sz="4" w:space="0" w:color="auto"/>
              <w:left w:val="nil"/>
              <w:bottom w:val="single" w:sz="4" w:space="0" w:color="auto"/>
              <w:right w:val="nil"/>
            </w:tcBorders>
            <w:vAlign w:val="center"/>
          </w:tcPr>
          <w:p w14:paraId="1173861B" w14:textId="0B33A0E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6 201</w:t>
            </w:r>
          </w:p>
        </w:tc>
        <w:tc>
          <w:tcPr>
            <w:tcW w:w="680" w:type="pct"/>
            <w:gridSpan w:val="2"/>
            <w:tcBorders>
              <w:top w:val="single" w:sz="4" w:space="0" w:color="auto"/>
              <w:left w:val="nil"/>
              <w:bottom w:val="single" w:sz="4" w:space="0" w:color="auto"/>
              <w:right w:val="nil"/>
            </w:tcBorders>
            <w:vAlign w:val="center"/>
          </w:tcPr>
          <w:p w14:paraId="1C5E14D0" w14:textId="648C0F6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1 000 500</w:t>
            </w:r>
          </w:p>
        </w:tc>
        <w:tc>
          <w:tcPr>
            <w:tcW w:w="600" w:type="pct"/>
            <w:gridSpan w:val="2"/>
            <w:tcBorders>
              <w:top w:val="single" w:sz="4" w:space="0" w:color="auto"/>
              <w:left w:val="nil"/>
              <w:bottom w:val="single" w:sz="4" w:space="0" w:color="auto"/>
              <w:right w:val="nil"/>
            </w:tcBorders>
            <w:vAlign w:val="center"/>
          </w:tcPr>
          <w:p w14:paraId="7FFF5BE8" w14:textId="0DC29A52"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-993 697</w:t>
            </w:r>
          </w:p>
        </w:tc>
        <w:tc>
          <w:tcPr>
            <w:tcW w:w="695" w:type="pct"/>
            <w:tcBorders>
              <w:top w:val="single" w:sz="4" w:space="0" w:color="auto"/>
              <w:left w:val="nil"/>
              <w:bottom w:val="single" w:sz="4" w:space="0" w:color="auto"/>
              <w:right w:val="nil"/>
            </w:tcBorders>
            <w:vAlign w:val="center"/>
          </w:tcPr>
          <w:p w14:paraId="097F8430" w14:textId="0AC537E4"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6 803</w:t>
            </w:r>
          </w:p>
        </w:tc>
      </w:tr>
      <w:tr w:rsidR="005C0C8A" w:rsidRPr="00A27896" w14:paraId="61E23D3D" w14:textId="7BFEEC17" w:rsidTr="000F041A">
        <w:trPr>
          <w:trHeight w:val="204"/>
        </w:trPr>
        <w:tc>
          <w:tcPr>
            <w:tcW w:w="1058" w:type="pct"/>
            <w:tcBorders>
              <w:top w:val="single" w:sz="4" w:space="0" w:color="auto"/>
              <w:left w:val="nil"/>
              <w:bottom w:val="single" w:sz="4" w:space="0" w:color="auto"/>
              <w:right w:val="nil"/>
            </w:tcBorders>
          </w:tcPr>
          <w:p w14:paraId="6495B364" w14:textId="10A64C36"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vAlign w:val="center"/>
          </w:tcPr>
          <w:p w14:paraId="2508A53D" w14:textId="0A6635E7"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964 368</w:t>
            </w:r>
          </w:p>
        </w:tc>
        <w:tc>
          <w:tcPr>
            <w:tcW w:w="605" w:type="pct"/>
            <w:tcBorders>
              <w:top w:val="single" w:sz="4" w:space="0" w:color="auto"/>
              <w:left w:val="nil"/>
              <w:bottom w:val="single" w:sz="4" w:space="0" w:color="auto"/>
              <w:right w:val="nil"/>
            </w:tcBorders>
            <w:vAlign w:val="center"/>
          </w:tcPr>
          <w:p w14:paraId="57B7DD9D" w14:textId="2E819E08"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-958 167</w:t>
            </w:r>
          </w:p>
        </w:tc>
        <w:tc>
          <w:tcPr>
            <w:tcW w:w="682" w:type="pct"/>
            <w:gridSpan w:val="2"/>
            <w:tcBorders>
              <w:top w:val="single" w:sz="4" w:space="0" w:color="auto"/>
              <w:left w:val="nil"/>
              <w:bottom w:val="single" w:sz="4" w:space="0" w:color="auto"/>
              <w:right w:val="nil"/>
            </w:tcBorders>
            <w:vAlign w:val="center"/>
          </w:tcPr>
          <w:p w14:paraId="43BDC2AD" w14:textId="1D3A5244"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6 201</w:t>
            </w:r>
          </w:p>
        </w:tc>
        <w:tc>
          <w:tcPr>
            <w:tcW w:w="680" w:type="pct"/>
            <w:gridSpan w:val="2"/>
            <w:tcBorders>
              <w:top w:val="single" w:sz="4" w:space="0" w:color="auto"/>
              <w:left w:val="nil"/>
              <w:bottom w:val="single" w:sz="4" w:space="0" w:color="auto"/>
              <w:right w:val="nil"/>
            </w:tcBorders>
            <w:vAlign w:val="center"/>
          </w:tcPr>
          <w:p w14:paraId="24833F41" w14:textId="0B7EFF1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1 000 500</w:t>
            </w:r>
          </w:p>
        </w:tc>
        <w:tc>
          <w:tcPr>
            <w:tcW w:w="600" w:type="pct"/>
            <w:gridSpan w:val="2"/>
            <w:tcBorders>
              <w:top w:val="single" w:sz="4" w:space="0" w:color="auto"/>
              <w:left w:val="nil"/>
              <w:bottom w:val="single" w:sz="4" w:space="0" w:color="auto"/>
              <w:right w:val="nil"/>
            </w:tcBorders>
            <w:vAlign w:val="center"/>
          </w:tcPr>
          <w:p w14:paraId="7C61B7D3" w14:textId="0FBE3978"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-993 697</w:t>
            </w:r>
          </w:p>
        </w:tc>
        <w:tc>
          <w:tcPr>
            <w:tcW w:w="695" w:type="pct"/>
            <w:tcBorders>
              <w:top w:val="single" w:sz="4" w:space="0" w:color="auto"/>
              <w:left w:val="nil"/>
              <w:bottom w:val="single" w:sz="4" w:space="0" w:color="auto"/>
              <w:right w:val="nil"/>
            </w:tcBorders>
            <w:vAlign w:val="center"/>
          </w:tcPr>
          <w:p w14:paraId="7DB43992" w14:textId="598476D8"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6 803</w:t>
            </w:r>
          </w:p>
        </w:tc>
      </w:tr>
      <w:tr w:rsidR="005C0C8A" w:rsidRPr="00A27896" w14:paraId="2CEB2346" w14:textId="061182C4" w:rsidTr="000F041A">
        <w:trPr>
          <w:trHeight w:val="204"/>
        </w:trPr>
        <w:tc>
          <w:tcPr>
            <w:tcW w:w="1058" w:type="pct"/>
            <w:tcBorders>
              <w:top w:val="single" w:sz="4" w:space="0" w:color="auto"/>
              <w:bottom w:val="single" w:sz="4" w:space="0" w:color="auto"/>
            </w:tcBorders>
            <w:vAlign w:val="center"/>
          </w:tcPr>
          <w:p w14:paraId="1CE44018" w14:textId="1C92AC99"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680" w:type="pct"/>
            <w:gridSpan w:val="2"/>
            <w:tcBorders>
              <w:top w:val="single" w:sz="4" w:space="0" w:color="auto"/>
              <w:left w:val="nil"/>
              <w:bottom w:val="single" w:sz="4" w:space="0" w:color="auto"/>
              <w:right w:val="nil"/>
            </w:tcBorders>
            <w:vAlign w:val="center"/>
          </w:tcPr>
          <w:p w14:paraId="4F2B3B69" w14:textId="5053F8E7"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395 456 673</w:t>
            </w:r>
          </w:p>
        </w:tc>
        <w:tc>
          <w:tcPr>
            <w:tcW w:w="605" w:type="pct"/>
            <w:tcBorders>
              <w:top w:val="single" w:sz="4" w:space="0" w:color="auto"/>
              <w:left w:val="nil"/>
              <w:bottom w:val="single" w:sz="4" w:space="0" w:color="auto"/>
              <w:right w:val="nil"/>
            </w:tcBorders>
            <w:vAlign w:val="center"/>
          </w:tcPr>
          <w:p w14:paraId="48931252" w14:textId="1D90E8BD"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-395 095 117</w:t>
            </w:r>
          </w:p>
        </w:tc>
        <w:tc>
          <w:tcPr>
            <w:tcW w:w="682" w:type="pct"/>
            <w:gridSpan w:val="2"/>
            <w:tcBorders>
              <w:top w:val="single" w:sz="4" w:space="0" w:color="auto"/>
              <w:left w:val="nil"/>
              <w:bottom w:val="single" w:sz="4" w:space="0" w:color="auto"/>
              <w:right w:val="nil"/>
            </w:tcBorders>
            <w:vAlign w:val="center"/>
          </w:tcPr>
          <w:p w14:paraId="4D32B233" w14:textId="5D5AFED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361 556</w:t>
            </w:r>
          </w:p>
        </w:tc>
        <w:tc>
          <w:tcPr>
            <w:tcW w:w="680" w:type="pct"/>
            <w:gridSpan w:val="2"/>
            <w:tcBorders>
              <w:top w:val="single" w:sz="4" w:space="0" w:color="auto"/>
              <w:left w:val="nil"/>
              <w:bottom w:val="single" w:sz="4" w:space="0" w:color="auto"/>
              <w:right w:val="nil"/>
            </w:tcBorders>
            <w:vAlign w:val="center"/>
          </w:tcPr>
          <w:p w14:paraId="5B3EA8FD" w14:textId="7F7BF854"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395 417 053</w:t>
            </w:r>
          </w:p>
        </w:tc>
        <w:tc>
          <w:tcPr>
            <w:tcW w:w="600" w:type="pct"/>
            <w:gridSpan w:val="2"/>
            <w:tcBorders>
              <w:top w:val="single" w:sz="4" w:space="0" w:color="auto"/>
              <w:left w:val="nil"/>
              <w:bottom w:val="single" w:sz="4" w:space="0" w:color="auto"/>
              <w:right w:val="nil"/>
            </w:tcBorders>
            <w:vAlign w:val="center"/>
          </w:tcPr>
          <w:p w14:paraId="6D800844" w14:textId="6384F8D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-395 326 328</w:t>
            </w:r>
          </w:p>
        </w:tc>
        <w:tc>
          <w:tcPr>
            <w:tcW w:w="695" w:type="pct"/>
            <w:tcBorders>
              <w:top w:val="single" w:sz="4" w:space="0" w:color="auto"/>
              <w:left w:val="nil"/>
              <w:bottom w:val="single" w:sz="4" w:space="0" w:color="auto"/>
              <w:right w:val="nil"/>
            </w:tcBorders>
            <w:vAlign w:val="center"/>
          </w:tcPr>
          <w:p w14:paraId="68D23BE5" w14:textId="14977FA4"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90 725</w:t>
            </w:r>
          </w:p>
        </w:tc>
      </w:tr>
      <w:tr w:rsidR="005C0C8A" w:rsidRPr="00A27896" w14:paraId="377CDCF1" w14:textId="64509DDA" w:rsidTr="000F041A">
        <w:trPr>
          <w:trHeight w:val="204"/>
        </w:trPr>
        <w:tc>
          <w:tcPr>
            <w:tcW w:w="1058" w:type="pct"/>
            <w:tcBorders>
              <w:top w:val="single" w:sz="4" w:space="0" w:color="auto"/>
              <w:left w:val="nil"/>
              <w:bottom w:val="single" w:sz="4" w:space="0" w:color="auto"/>
              <w:right w:val="nil"/>
            </w:tcBorders>
          </w:tcPr>
          <w:p w14:paraId="7E3C309A" w14:textId="3448E009"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vAlign w:val="center"/>
          </w:tcPr>
          <w:p w14:paraId="30D160CB" w14:textId="4591647B"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248 550</w:t>
            </w:r>
          </w:p>
        </w:tc>
        <w:tc>
          <w:tcPr>
            <w:tcW w:w="605" w:type="pct"/>
            <w:tcBorders>
              <w:top w:val="single" w:sz="4" w:space="0" w:color="auto"/>
              <w:left w:val="nil"/>
              <w:bottom w:val="single" w:sz="4" w:space="0" w:color="auto"/>
              <w:right w:val="nil"/>
            </w:tcBorders>
            <w:shd w:val="clear" w:color="auto" w:fill="auto"/>
            <w:vAlign w:val="center"/>
          </w:tcPr>
          <w:p w14:paraId="6B7B0956" w14:textId="2CD04AD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-7 292</w:t>
            </w:r>
          </w:p>
        </w:tc>
        <w:tc>
          <w:tcPr>
            <w:tcW w:w="682" w:type="pct"/>
            <w:gridSpan w:val="2"/>
            <w:tcBorders>
              <w:top w:val="single" w:sz="4" w:space="0" w:color="auto"/>
              <w:left w:val="nil"/>
              <w:bottom w:val="single" w:sz="4" w:space="0" w:color="auto"/>
              <w:right w:val="nil"/>
            </w:tcBorders>
            <w:shd w:val="clear" w:color="auto" w:fill="auto"/>
            <w:vAlign w:val="center"/>
          </w:tcPr>
          <w:p w14:paraId="6A220DEB" w14:textId="671D25F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241 258</w:t>
            </w:r>
          </w:p>
        </w:tc>
        <w:tc>
          <w:tcPr>
            <w:tcW w:w="680" w:type="pct"/>
            <w:gridSpan w:val="2"/>
            <w:tcBorders>
              <w:top w:val="single" w:sz="4" w:space="0" w:color="auto"/>
              <w:left w:val="nil"/>
              <w:bottom w:val="single" w:sz="4" w:space="0" w:color="auto"/>
              <w:right w:val="nil"/>
            </w:tcBorders>
            <w:shd w:val="clear" w:color="auto" w:fill="auto"/>
            <w:vAlign w:val="center"/>
          </w:tcPr>
          <w:p w14:paraId="44F708B7" w14:textId="0B466DA3"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8 586</w:t>
            </w:r>
          </w:p>
        </w:tc>
        <w:tc>
          <w:tcPr>
            <w:tcW w:w="600" w:type="pct"/>
            <w:gridSpan w:val="2"/>
            <w:tcBorders>
              <w:top w:val="single" w:sz="4" w:space="0" w:color="auto"/>
              <w:left w:val="nil"/>
              <w:bottom w:val="single" w:sz="4" w:space="0" w:color="auto"/>
              <w:right w:val="nil"/>
            </w:tcBorders>
            <w:shd w:val="clear" w:color="auto" w:fill="auto"/>
            <w:vAlign w:val="center"/>
          </w:tcPr>
          <w:p w14:paraId="593EC411" w14:textId="263F8BF1"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-5 631</w:t>
            </w:r>
          </w:p>
        </w:tc>
        <w:tc>
          <w:tcPr>
            <w:tcW w:w="695" w:type="pct"/>
            <w:tcBorders>
              <w:top w:val="single" w:sz="4" w:space="0" w:color="auto"/>
              <w:left w:val="nil"/>
              <w:bottom w:val="single" w:sz="4" w:space="0" w:color="auto"/>
              <w:right w:val="nil"/>
            </w:tcBorders>
            <w:shd w:val="clear" w:color="auto" w:fill="auto"/>
            <w:vAlign w:val="center"/>
          </w:tcPr>
          <w:p w14:paraId="03C48FFD" w14:textId="6210A5AD"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2 955</w:t>
            </w:r>
          </w:p>
        </w:tc>
      </w:tr>
      <w:tr w:rsidR="005C0C8A" w:rsidRPr="00A27896" w14:paraId="77E24C9C" w14:textId="26D47D95" w:rsidTr="000F041A">
        <w:trPr>
          <w:trHeight w:val="204"/>
        </w:trPr>
        <w:tc>
          <w:tcPr>
            <w:tcW w:w="1058" w:type="pct"/>
            <w:tcBorders>
              <w:top w:val="single" w:sz="4" w:space="0" w:color="auto"/>
              <w:left w:val="nil"/>
              <w:bottom w:val="single" w:sz="4" w:space="0" w:color="auto"/>
              <w:right w:val="nil"/>
            </w:tcBorders>
          </w:tcPr>
          <w:p w14:paraId="252697F1" w14:textId="375D9C97"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vAlign w:val="center"/>
          </w:tcPr>
          <w:p w14:paraId="0D637109" w14:textId="22ADF11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23 452</w:t>
            </w:r>
          </w:p>
        </w:tc>
        <w:tc>
          <w:tcPr>
            <w:tcW w:w="605" w:type="pct"/>
            <w:tcBorders>
              <w:top w:val="single" w:sz="4" w:space="0" w:color="auto"/>
              <w:left w:val="nil"/>
              <w:bottom w:val="single" w:sz="4" w:space="0" w:color="auto"/>
              <w:right w:val="nil"/>
            </w:tcBorders>
            <w:shd w:val="clear" w:color="auto" w:fill="auto"/>
            <w:vAlign w:val="center"/>
          </w:tcPr>
          <w:p w14:paraId="3AF4279C" w14:textId="7B526F4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-12 523</w:t>
            </w:r>
          </w:p>
        </w:tc>
        <w:tc>
          <w:tcPr>
            <w:tcW w:w="682" w:type="pct"/>
            <w:gridSpan w:val="2"/>
            <w:tcBorders>
              <w:top w:val="single" w:sz="4" w:space="0" w:color="auto"/>
              <w:left w:val="nil"/>
              <w:bottom w:val="single" w:sz="4" w:space="0" w:color="auto"/>
              <w:right w:val="nil"/>
            </w:tcBorders>
            <w:shd w:val="clear" w:color="auto" w:fill="auto"/>
            <w:vAlign w:val="center"/>
          </w:tcPr>
          <w:p w14:paraId="43A04E22" w14:textId="203B7BFB"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10 929</w:t>
            </w:r>
          </w:p>
        </w:tc>
        <w:tc>
          <w:tcPr>
            <w:tcW w:w="680" w:type="pct"/>
            <w:gridSpan w:val="2"/>
            <w:tcBorders>
              <w:top w:val="single" w:sz="4" w:space="0" w:color="auto"/>
              <w:left w:val="nil"/>
              <w:bottom w:val="single" w:sz="4" w:space="0" w:color="auto"/>
              <w:right w:val="nil"/>
            </w:tcBorders>
            <w:shd w:val="clear" w:color="auto" w:fill="auto"/>
            <w:vAlign w:val="center"/>
          </w:tcPr>
          <w:p w14:paraId="6FB16BD7" w14:textId="768FB15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16 577</w:t>
            </w:r>
          </w:p>
        </w:tc>
        <w:tc>
          <w:tcPr>
            <w:tcW w:w="600" w:type="pct"/>
            <w:gridSpan w:val="2"/>
            <w:tcBorders>
              <w:top w:val="single" w:sz="4" w:space="0" w:color="auto"/>
              <w:left w:val="nil"/>
              <w:bottom w:val="single" w:sz="4" w:space="0" w:color="auto"/>
              <w:right w:val="nil"/>
            </w:tcBorders>
            <w:shd w:val="clear" w:color="auto" w:fill="auto"/>
            <w:vAlign w:val="center"/>
          </w:tcPr>
          <w:p w14:paraId="5FD36575" w14:textId="269CC7A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-10 590</w:t>
            </w:r>
          </w:p>
        </w:tc>
        <w:tc>
          <w:tcPr>
            <w:tcW w:w="695" w:type="pct"/>
            <w:tcBorders>
              <w:top w:val="single" w:sz="4" w:space="0" w:color="auto"/>
              <w:left w:val="nil"/>
              <w:bottom w:val="single" w:sz="4" w:space="0" w:color="auto"/>
              <w:right w:val="nil"/>
            </w:tcBorders>
            <w:shd w:val="clear" w:color="auto" w:fill="auto"/>
            <w:vAlign w:val="center"/>
          </w:tcPr>
          <w:p w14:paraId="40E27819" w14:textId="3BC25963"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5 987</w:t>
            </w:r>
          </w:p>
        </w:tc>
      </w:tr>
      <w:tr w:rsidR="005C0C8A" w:rsidRPr="00A27896" w14:paraId="0A4A55CC" w14:textId="4B262F0C" w:rsidTr="000F041A">
        <w:trPr>
          <w:trHeight w:val="204"/>
        </w:trPr>
        <w:tc>
          <w:tcPr>
            <w:tcW w:w="1058" w:type="pct"/>
            <w:tcBorders>
              <w:top w:val="single" w:sz="4" w:space="0" w:color="auto"/>
              <w:left w:val="nil"/>
              <w:bottom w:val="single" w:sz="4" w:space="0" w:color="auto"/>
              <w:right w:val="nil"/>
            </w:tcBorders>
          </w:tcPr>
          <w:p w14:paraId="4194CFF9" w14:textId="0BBA2B03"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vAlign w:val="center"/>
          </w:tcPr>
          <w:p w14:paraId="3715025D" w14:textId="5FC5F5E4"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136 856</w:t>
            </w:r>
          </w:p>
        </w:tc>
        <w:tc>
          <w:tcPr>
            <w:tcW w:w="605" w:type="pct"/>
            <w:tcBorders>
              <w:top w:val="single" w:sz="4" w:space="0" w:color="auto"/>
              <w:left w:val="nil"/>
              <w:bottom w:val="single" w:sz="4" w:space="0" w:color="auto"/>
              <w:right w:val="nil"/>
            </w:tcBorders>
            <w:shd w:val="clear" w:color="auto" w:fill="auto"/>
            <w:vAlign w:val="center"/>
          </w:tcPr>
          <w:p w14:paraId="3C08820D" w14:textId="1E03AA8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-34 811</w:t>
            </w:r>
          </w:p>
        </w:tc>
        <w:tc>
          <w:tcPr>
            <w:tcW w:w="682" w:type="pct"/>
            <w:gridSpan w:val="2"/>
            <w:tcBorders>
              <w:top w:val="single" w:sz="4" w:space="0" w:color="auto"/>
              <w:left w:val="nil"/>
              <w:bottom w:val="single" w:sz="4" w:space="0" w:color="auto"/>
              <w:right w:val="nil"/>
            </w:tcBorders>
            <w:shd w:val="clear" w:color="auto" w:fill="auto"/>
            <w:vAlign w:val="center"/>
          </w:tcPr>
          <w:p w14:paraId="2D720584" w14:textId="078B3826"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102 045</w:t>
            </w:r>
          </w:p>
        </w:tc>
        <w:tc>
          <w:tcPr>
            <w:tcW w:w="680" w:type="pct"/>
            <w:gridSpan w:val="2"/>
            <w:tcBorders>
              <w:top w:val="single" w:sz="4" w:space="0" w:color="auto"/>
              <w:left w:val="nil"/>
              <w:bottom w:val="single" w:sz="4" w:space="0" w:color="auto"/>
              <w:right w:val="nil"/>
            </w:tcBorders>
            <w:shd w:val="clear" w:color="auto" w:fill="auto"/>
            <w:vAlign w:val="center"/>
          </w:tcPr>
          <w:p w14:paraId="339249EA" w14:textId="26B3789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98 890</w:t>
            </w:r>
          </w:p>
        </w:tc>
        <w:tc>
          <w:tcPr>
            <w:tcW w:w="600" w:type="pct"/>
            <w:gridSpan w:val="2"/>
            <w:tcBorders>
              <w:top w:val="single" w:sz="4" w:space="0" w:color="auto"/>
              <w:left w:val="nil"/>
              <w:bottom w:val="single" w:sz="4" w:space="0" w:color="auto"/>
              <w:right w:val="nil"/>
            </w:tcBorders>
            <w:shd w:val="clear" w:color="auto" w:fill="auto"/>
            <w:vAlign w:val="center"/>
          </w:tcPr>
          <w:p w14:paraId="2320B2C9" w14:textId="4A9655F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-24 600</w:t>
            </w:r>
          </w:p>
        </w:tc>
        <w:tc>
          <w:tcPr>
            <w:tcW w:w="695" w:type="pct"/>
            <w:tcBorders>
              <w:top w:val="single" w:sz="4" w:space="0" w:color="auto"/>
              <w:left w:val="nil"/>
              <w:bottom w:val="single" w:sz="4" w:space="0" w:color="auto"/>
              <w:right w:val="nil"/>
            </w:tcBorders>
            <w:shd w:val="clear" w:color="auto" w:fill="auto"/>
            <w:vAlign w:val="center"/>
          </w:tcPr>
          <w:p w14:paraId="12E7C2A4" w14:textId="7A201068"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74 290</w:t>
            </w:r>
          </w:p>
        </w:tc>
      </w:tr>
      <w:tr w:rsidR="005C0C8A" w:rsidRPr="00A27896" w14:paraId="334419D4" w14:textId="77777777" w:rsidTr="000F041A">
        <w:trPr>
          <w:trHeight w:val="204"/>
        </w:trPr>
        <w:tc>
          <w:tcPr>
            <w:tcW w:w="1058" w:type="pct"/>
            <w:tcBorders>
              <w:top w:val="single" w:sz="4" w:space="0" w:color="auto"/>
              <w:left w:val="nil"/>
              <w:bottom w:val="single" w:sz="4" w:space="0" w:color="auto"/>
              <w:right w:val="nil"/>
            </w:tcBorders>
          </w:tcPr>
          <w:p w14:paraId="7CFEBA80" w14:textId="02E77825"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181 līdz 360 dienām</w:t>
            </w:r>
          </w:p>
        </w:tc>
        <w:tc>
          <w:tcPr>
            <w:tcW w:w="680" w:type="pct"/>
            <w:gridSpan w:val="2"/>
            <w:tcBorders>
              <w:top w:val="single" w:sz="4" w:space="0" w:color="auto"/>
              <w:left w:val="nil"/>
              <w:bottom w:val="single" w:sz="4" w:space="0" w:color="auto"/>
              <w:right w:val="nil"/>
            </w:tcBorders>
            <w:shd w:val="clear" w:color="auto" w:fill="auto"/>
            <w:vAlign w:val="center"/>
          </w:tcPr>
          <w:p w14:paraId="5345AF78" w14:textId="3005D96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9 922</w:t>
            </w:r>
          </w:p>
        </w:tc>
        <w:tc>
          <w:tcPr>
            <w:tcW w:w="605" w:type="pct"/>
            <w:tcBorders>
              <w:top w:val="single" w:sz="4" w:space="0" w:color="auto"/>
              <w:left w:val="nil"/>
              <w:bottom w:val="single" w:sz="4" w:space="0" w:color="auto"/>
              <w:right w:val="nil"/>
            </w:tcBorders>
            <w:shd w:val="clear" w:color="auto" w:fill="auto"/>
            <w:vAlign w:val="center"/>
          </w:tcPr>
          <w:p w14:paraId="336976AC" w14:textId="42622567"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-8 614</w:t>
            </w:r>
          </w:p>
        </w:tc>
        <w:tc>
          <w:tcPr>
            <w:tcW w:w="682" w:type="pct"/>
            <w:gridSpan w:val="2"/>
            <w:tcBorders>
              <w:top w:val="single" w:sz="4" w:space="0" w:color="auto"/>
              <w:left w:val="nil"/>
              <w:bottom w:val="single" w:sz="4" w:space="0" w:color="auto"/>
              <w:right w:val="nil"/>
            </w:tcBorders>
            <w:shd w:val="clear" w:color="auto" w:fill="auto"/>
            <w:vAlign w:val="center"/>
          </w:tcPr>
          <w:p w14:paraId="6FFA636C" w14:textId="57E67863"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1 308</w:t>
            </w:r>
          </w:p>
        </w:tc>
        <w:tc>
          <w:tcPr>
            <w:tcW w:w="680" w:type="pct"/>
            <w:gridSpan w:val="2"/>
            <w:tcBorders>
              <w:top w:val="single" w:sz="4" w:space="0" w:color="auto"/>
              <w:left w:val="nil"/>
              <w:bottom w:val="single" w:sz="4" w:space="0" w:color="auto"/>
              <w:right w:val="nil"/>
            </w:tcBorders>
            <w:shd w:val="clear" w:color="auto" w:fill="auto"/>
            <w:vAlign w:val="center"/>
          </w:tcPr>
          <w:p w14:paraId="73C51640" w14:textId="448C66D1"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22 566</w:t>
            </w:r>
          </w:p>
        </w:tc>
        <w:tc>
          <w:tcPr>
            <w:tcW w:w="600" w:type="pct"/>
            <w:gridSpan w:val="2"/>
            <w:tcBorders>
              <w:top w:val="single" w:sz="4" w:space="0" w:color="auto"/>
              <w:left w:val="nil"/>
              <w:bottom w:val="single" w:sz="4" w:space="0" w:color="auto"/>
              <w:right w:val="nil"/>
            </w:tcBorders>
            <w:shd w:val="clear" w:color="auto" w:fill="auto"/>
            <w:vAlign w:val="center"/>
          </w:tcPr>
          <w:p w14:paraId="6AF3845E" w14:textId="1AFCB312"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-20 697</w:t>
            </w:r>
          </w:p>
        </w:tc>
        <w:tc>
          <w:tcPr>
            <w:tcW w:w="695" w:type="pct"/>
            <w:tcBorders>
              <w:top w:val="single" w:sz="4" w:space="0" w:color="auto"/>
              <w:left w:val="nil"/>
              <w:bottom w:val="single" w:sz="4" w:space="0" w:color="auto"/>
              <w:right w:val="nil"/>
            </w:tcBorders>
            <w:shd w:val="clear" w:color="auto" w:fill="auto"/>
            <w:vAlign w:val="center"/>
          </w:tcPr>
          <w:p w14:paraId="1B29F260" w14:textId="060887C0"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1 869</w:t>
            </w:r>
          </w:p>
        </w:tc>
      </w:tr>
      <w:tr w:rsidR="005C0C8A" w:rsidRPr="00A27896" w14:paraId="6CC6374A" w14:textId="77777777" w:rsidTr="000F041A">
        <w:trPr>
          <w:trHeight w:val="204"/>
        </w:trPr>
        <w:tc>
          <w:tcPr>
            <w:tcW w:w="1058" w:type="pct"/>
            <w:tcBorders>
              <w:top w:val="single" w:sz="4" w:space="0" w:color="auto"/>
              <w:left w:val="nil"/>
              <w:bottom w:val="single" w:sz="4" w:space="0" w:color="auto"/>
              <w:right w:val="nil"/>
            </w:tcBorders>
          </w:tcPr>
          <w:p w14:paraId="569FA265" w14:textId="04F8E24F" w:rsidR="005C0C8A" w:rsidRPr="00A27896" w:rsidRDefault="005C0C8A" w:rsidP="005C0C8A">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4525E85D" w14:textId="627976BE"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395 037 893</w:t>
            </w:r>
          </w:p>
        </w:tc>
        <w:tc>
          <w:tcPr>
            <w:tcW w:w="605" w:type="pct"/>
            <w:tcBorders>
              <w:top w:val="single" w:sz="4" w:space="0" w:color="auto"/>
              <w:left w:val="nil"/>
              <w:bottom w:val="single" w:sz="4" w:space="0" w:color="auto"/>
              <w:right w:val="nil"/>
            </w:tcBorders>
            <w:shd w:val="clear" w:color="auto" w:fill="auto"/>
            <w:vAlign w:val="center"/>
          </w:tcPr>
          <w:p w14:paraId="5A50124C" w14:textId="22C720B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-395 031 877</w:t>
            </w:r>
          </w:p>
        </w:tc>
        <w:tc>
          <w:tcPr>
            <w:tcW w:w="682" w:type="pct"/>
            <w:gridSpan w:val="2"/>
            <w:tcBorders>
              <w:top w:val="single" w:sz="4" w:space="0" w:color="auto"/>
              <w:left w:val="nil"/>
              <w:bottom w:val="single" w:sz="4" w:space="0" w:color="auto"/>
              <w:right w:val="nil"/>
            </w:tcBorders>
            <w:shd w:val="clear" w:color="auto" w:fill="auto"/>
            <w:vAlign w:val="center"/>
          </w:tcPr>
          <w:p w14:paraId="4CDAD7A2" w14:textId="3EB8F6B3"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6 016</w:t>
            </w:r>
          </w:p>
        </w:tc>
        <w:tc>
          <w:tcPr>
            <w:tcW w:w="680" w:type="pct"/>
            <w:gridSpan w:val="2"/>
            <w:tcBorders>
              <w:top w:val="single" w:sz="4" w:space="0" w:color="auto"/>
              <w:left w:val="nil"/>
              <w:bottom w:val="single" w:sz="4" w:space="0" w:color="auto"/>
              <w:right w:val="nil"/>
            </w:tcBorders>
            <w:shd w:val="clear" w:color="auto" w:fill="auto"/>
            <w:vAlign w:val="center"/>
          </w:tcPr>
          <w:p w14:paraId="028F3C85" w14:textId="3404EC2A"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395 270 434</w:t>
            </w:r>
          </w:p>
        </w:tc>
        <w:tc>
          <w:tcPr>
            <w:tcW w:w="600" w:type="pct"/>
            <w:gridSpan w:val="2"/>
            <w:tcBorders>
              <w:top w:val="single" w:sz="4" w:space="0" w:color="auto"/>
              <w:left w:val="nil"/>
              <w:bottom w:val="single" w:sz="4" w:space="0" w:color="auto"/>
              <w:right w:val="nil"/>
            </w:tcBorders>
            <w:shd w:val="clear" w:color="auto" w:fill="auto"/>
            <w:vAlign w:val="center"/>
          </w:tcPr>
          <w:p w14:paraId="4C11658D" w14:textId="55FB54FF"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-395 264 810</w:t>
            </w:r>
          </w:p>
        </w:tc>
        <w:tc>
          <w:tcPr>
            <w:tcW w:w="695" w:type="pct"/>
            <w:tcBorders>
              <w:top w:val="single" w:sz="4" w:space="0" w:color="auto"/>
              <w:left w:val="nil"/>
              <w:bottom w:val="single" w:sz="4" w:space="0" w:color="auto"/>
              <w:right w:val="nil"/>
            </w:tcBorders>
            <w:shd w:val="clear" w:color="auto" w:fill="auto"/>
            <w:vAlign w:val="center"/>
          </w:tcPr>
          <w:p w14:paraId="5271A4A5" w14:textId="4C6A9DBC" w:rsidR="005C0C8A" w:rsidRPr="00C113C1" w:rsidRDefault="005C0C8A" w:rsidP="000F041A">
            <w:pPr>
              <w:spacing w:after="0" w:line="240" w:lineRule="auto"/>
              <w:ind w:right="57"/>
              <w:jc w:val="right"/>
              <w:rPr>
                <w:rFonts w:eastAsia="Times New Roman" w:cs="Times New Roman"/>
                <w:color w:val="17365D"/>
                <w:sz w:val="18"/>
                <w:szCs w:val="18"/>
                <w:lang w:eastAsia="lv-LV"/>
              </w:rPr>
            </w:pPr>
            <w:r w:rsidRPr="000F041A">
              <w:rPr>
                <w:rFonts w:eastAsia="Times New Roman" w:cs="Times New Roman"/>
                <w:color w:val="17365D"/>
                <w:sz w:val="18"/>
                <w:szCs w:val="18"/>
                <w:lang w:eastAsia="lv-LV"/>
              </w:rPr>
              <w:t>5 624</w:t>
            </w:r>
          </w:p>
        </w:tc>
      </w:tr>
      <w:tr w:rsidR="000F041A" w:rsidRPr="00A27896" w14:paraId="1B45D3D2" w14:textId="6022DAE7" w:rsidTr="000F041A">
        <w:trPr>
          <w:trHeight w:val="204"/>
        </w:trPr>
        <w:tc>
          <w:tcPr>
            <w:tcW w:w="1058" w:type="pct"/>
            <w:tcBorders>
              <w:top w:val="single" w:sz="4" w:space="0" w:color="auto"/>
              <w:bottom w:val="single" w:sz="4" w:space="0" w:color="auto"/>
            </w:tcBorders>
            <w:vAlign w:val="center"/>
          </w:tcPr>
          <w:p w14:paraId="490B7993" w14:textId="1B8B1960" w:rsidR="000F041A" w:rsidRPr="00A27896" w:rsidRDefault="000F041A" w:rsidP="000F041A">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lastRenderedPageBreak/>
              <w:t>Zembilances posteņos iekļautie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3D061FA1" w14:textId="15D5356D" w:rsidR="000F041A" w:rsidRPr="00613BC9" w:rsidRDefault="000F041A" w:rsidP="000F041A">
            <w:pPr>
              <w:spacing w:after="0" w:line="240" w:lineRule="auto"/>
              <w:ind w:right="57"/>
              <w:jc w:val="right"/>
              <w:rPr>
                <w:rFonts w:eastAsia="Times New Roman" w:cs="Times New Roman"/>
                <w:b/>
                <w:color w:val="17365D"/>
                <w:sz w:val="18"/>
                <w:szCs w:val="18"/>
                <w:lang w:eastAsia="lv-LV"/>
              </w:rPr>
            </w:pPr>
            <w:r w:rsidRPr="000F041A">
              <w:rPr>
                <w:rFonts w:eastAsia="Times New Roman" w:cs="Times New Roman"/>
                <w:b/>
                <w:color w:val="17365D"/>
                <w:sz w:val="18"/>
                <w:szCs w:val="18"/>
                <w:lang w:eastAsia="lv-LV"/>
              </w:rPr>
              <w:t>2 425 551 764</w:t>
            </w:r>
          </w:p>
        </w:tc>
        <w:tc>
          <w:tcPr>
            <w:tcW w:w="605" w:type="pct"/>
            <w:tcBorders>
              <w:top w:val="single" w:sz="4" w:space="0" w:color="auto"/>
              <w:left w:val="nil"/>
              <w:bottom w:val="single" w:sz="4" w:space="0" w:color="auto"/>
              <w:right w:val="nil"/>
            </w:tcBorders>
            <w:shd w:val="clear" w:color="auto" w:fill="auto"/>
            <w:vAlign w:val="center"/>
          </w:tcPr>
          <w:p w14:paraId="2EF82A26" w14:textId="5ACA3476" w:rsidR="000F041A" w:rsidRPr="00613BC9" w:rsidRDefault="000F041A" w:rsidP="000F041A">
            <w:pPr>
              <w:spacing w:after="0" w:line="240" w:lineRule="auto"/>
              <w:ind w:right="57"/>
              <w:jc w:val="right"/>
              <w:rPr>
                <w:rFonts w:eastAsia="Times New Roman" w:cs="Times New Roman"/>
                <w:b/>
                <w:color w:val="17365D"/>
                <w:sz w:val="18"/>
                <w:szCs w:val="18"/>
                <w:lang w:eastAsia="lv-LV"/>
              </w:rPr>
            </w:pPr>
            <w:r w:rsidRPr="000F041A">
              <w:rPr>
                <w:rFonts w:eastAsia="Times New Roman" w:cs="Times New Roman"/>
                <w:b/>
                <w:color w:val="17365D"/>
                <w:sz w:val="18"/>
                <w:szCs w:val="18"/>
                <w:lang w:eastAsia="lv-LV"/>
              </w:rPr>
              <w:t>0</w:t>
            </w:r>
          </w:p>
        </w:tc>
        <w:tc>
          <w:tcPr>
            <w:tcW w:w="682" w:type="pct"/>
            <w:gridSpan w:val="2"/>
            <w:tcBorders>
              <w:top w:val="single" w:sz="4" w:space="0" w:color="auto"/>
              <w:left w:val="nil"/>
              <w:bottom w:val="single" w:sz="4" w:space="0" w:color="auto"/>
              <w:right w:val="nil"/>
            </w:tcBorders>
            <w:shd w:val="clear" w:color="auto" w:fill="auto"/>
            <w:vAlign w:val="center"/>
          </w:tcPr>
          <w:p w14:paraId="0175B24D" w14:textId="5DB2699A" w:rsidR="000F041A" w:rsidRPr="00613BC9" w:rsidRDefault="000F041A" w:rsidP="000F041A">
            <w:pPr>
              <w:spacing w:after="0" w:line="240" w:lineRule="auto"/>
              <w:ind w:right="57"/>
              <w:jc w:val="right"/>
              <w:rPr>
                <w:rFonts w:eastAsia="Times New Roman" w:cs="Times New Roman"/>
                <w:b/>
                <w:color w:val="17365D"/>
                <w:sz w:val="18"/>
                <w:szCs w:val="18"/>
                <w:lang w:eastAsia="lv-LV"/>
              </w:rPr>
            </w:pPr>
            <w:r w:rsidRPr="000F041A">
              <w:rPr>
                <w:rFonts w:eastAsia="Times New Roman" w:cs="Times New Roman"/>
                <w:b/>
                <w:color w:val="17365D"/>
                <w:sz w:val="18"/>
                <w:szCs w:val="18"/>
                <w:lang w:eastAsia="lv-LV"/>
              </w:rPr>
              <w:t>2 425 551 764</w:t>
            </w:r>
          </w:p>
        </w:tc>
        <w:tc>
          <w:tcPr>
            <w:tcW w:w="680" w:type="pct"/>
            <w:gridSpan w:val="2"/>
            <w:tcBorders>
              <w:top w:val="single" w:sz="4" w:space="0" w:color="auto"/>
              <w:left w:val="nil"/>
              <w:bottom w:val="single" w:sz="4" w:space="0" w:color="auto"/>
              <w:right w:val="nil"/>
            </w:tcBorders>
            <w:shd w:val="clear" w:color="auto" w:fill="auto"/>
            <w:vAlign w:val="center"/>
          </w:tcPr>
          <w:p w14:paraId="0A6E27E6" w14:textId="6D558B4D" w:rsidR="000F041A" w:rsidRPr="00613BC9" w:rsidRDefault="000F041A" w:rsidP="000F041A">
            <w:pPr>
              <w:spacing w:after="0" w:line="240" w:lineRule="auto"/>
              <w:ind w:right="57"/>
              <w:jc w:val="right"/>
              <w:rPr>
                <w:rFonts w:eastAsia="Times New Roman" w:cs="Times New Roman"/>
                <w:b/>
                <w:color w:val="17365D"/>
                <w:sz w:val="18"/>
                <w:szCs w:val="18"/>
                <w:lang w:eastAsia="lv-LV"/>
              </w:rPr>
            </w:pPr>
            <w:r w:rsidRPr="000F041A">
              <w:rPr>
                <w:rFonts w:eastAsia="Times New Roman" w:cs="Times New Roman"/>
                <w:b/>
                <w:color w:val="17365D"/>
                <w:sz w:val="18"/>
                <w:szCs w:val="18"/>
                <w:lang w:eastAsia="lv-LV"/>
              </w:rPr>
              <w:t>2 408 806 532</w:t>
            </w:r>
          </w:p>
        </w:tc>
        <w:tc>
          <w:tcPr>
            <w:tcW w:w="600" w:type="pct"/>
            <w:gridSpan w:val="2"/>
            <w:tcBorders>
              <w:top w:val="single" w:sz="4" w:space="0" w:color="auto"/>
              <w:left w:val="nil"/>
              <w:bottom w:val="single" w:sz="4" w:space="0" w:color="auto"/>
              <w:right w:val="nil"/>
            </w:tcBorders>
            <w:shd w:val="clear" w:color="auto" w:fill="auto"/>
            <w:vAlign w:val="center"/>
          </w:tcPr>
          <w:p w14:paraId="5FBB4E96" w14:textId="47B0E9A8" w:rsidR="000F041A" w:rsidRPr="00613BC9" w:rsidRDefault="000F041A" w:rsidP="000F041A">
            <w:pPr>
              <w:spacing w:after="0" w:line="240" w:lineRule="auto"/>
              <w:ind w:right="57"/>
              <w:jc w:val="right"/>
              <w:rPr>
                <w:rFonts w:eastAsia="Times New Roman" w:cs="Times New Roman"/>
                <w:b/>
                <w:color w:val="17365D"/>
                <w:sz w:val="18"/>
                <w:szCs w:val="18"/>
                <w:lang w:eastAsia="lv-LV"/>
              </w:rPr>
            </w:pPr>
            <w:r w:rsidRPr="000F041A">
              <w:rPr>
                <w:rFonts w:eastAsia="Times New Roman" w:cs="Times New Roman"/>
                <w:b/>
                <w:color w:val="17365D"/>
                <w:sz w:val="18"/>
                <w:szCs w:val="18"/>
                <w:lang w:eastAsia="lv-LV"/>
              </w:rPr>
              <w:t>0</w:t>
            </w:r>
          </w:p>
        </w:tc>
        <w:tc>
          <w:tcPr>
            <w:tcW w:w="695" w:type="pct"/>
            <w:tcBorders>
              <w:top w:val="single" w:sz="4" w:space="0" w:color="auto"/>
              <w:left w:val="nil"/>
              <w:bottom w:val="single" w:sz="4" w:space="0" w:color="auto"/>
              <w:right w:val="nil"/>
            </w:tcBorders>
            <w:shd w:val="clear" w:color="auto" w:fill="auto"/>
            <w:vAlign w:val="center"/>
          </w:tcPr>
          <w:p w14:paraId="3434BB24" w14:textId="58220EF4" w:rsidR="000F041A" w:rsidRPr="00613BC9" w:rsidRDefault="000F041A" w:rsidP="000F041A">
            <w:pPr>
              <w:spacing w:after="0" w:line="240" w:lineRule="auto"/>
              <w:ind w:right="57"/>
              <w:jc w:val="right"/>
              <w:rPr>
                <w:rFonts w:eastAsia="Times New Roman" w:cs="Times New Roman"/>
                <w:b/>
                <w:color w:val="17365D"/>
                <w:sz w:val="18"/>
                <w:szCs w:val="18"/>
                <w:lang w:eastAsia="lv-LV"/>
              </w:rPr>
            </w:pPr>
            <w:r w:rsidRPr="000F041A">
              <w:rPr>
                <w:rFonts w:eastAsia="Times New Roman" w:cs="Times New Roman"/>
                <w:b/>
                <w:color w:val="17365D"/>
                <w:sz w:val="18"/>
                <w:szCs w:val="18"/>
                <w:lang w:eastAsia="lv-LV"/>
              </w:rPr>
              <w:t>2 408 806 532</w:t>
            </w:r>
          </w:p>
        </w:tc>
      </w:tr>
      <w:tr w:rsidR="000C1009" w:rsidRPr="00A27896" w14:paraId="337C61A7" w14:textId="77777777" w:rsidTr="00751780">
        <w:tblPrEx>
          <w:tblBorders>
            <w:insideH w:val="none" w:sz="0" w:space="0" w:color="auto"/>
          </w:tblBorders>
          <w:tblCellMar>
            <w:top w:w="0" w:type="dxa"/>
            <w:left w:w="108" w:type="dxa"/>
            <w:bottom w:w="0" w:type="dxa"/>
            <w:right w:w="108" w:type="dxa"/>
          </w:tblCellMar>
        </w:tblPrEx>
        <w:trPr>
          <w:trHeight w:val="134"/>
        </w:trPr>
        <w:tc>
          <w:tcPr>
            <w:tcW w:w="1419" w:type="pct"/>
            <w:gridSpan w:val="2"/>
            <w:tcBorders>
              <w:top w:val="single" w:sz="4" w:space="0" w:color="auto"/>
              <w:left w:val="nil"/>
              <w:bottom w:val="nil"/>
              <w:right w:val="nil"/>
            </w:tcBorders>
            <w:shd w:val="clear" w:color="000000" w:fill="B9CDE5"/>
            <w:noWrap/>
            <w:vAlign w:val="center"/>
            <w:hideMark/>
          </w:tcPr>
          <w:p w14:paraId="48B018B3" w14:textId="77777777" w:rsidR="00C275AD" w:rsidRPr="00A27896" w:rsidRDefault="00C275AD" w:rsidP="00F10012">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643" w:type="pct"/>
            <w:gridSpan w:val="7"/>
            <w:tcBorders>
              <w:top w:val="single" w:sz="4" w:space="0" w:color="auto"/>
              <w:left w:val="nil"/>
              <w:bottom w:val="nil"/>
              <w:right w:val="nil"/>
            </w:tcBorders>
            <w:shd w:val="clear" w:color="000000" w:fill="B9CDE5"/>
            <w:noWrap/>
            <w:vAlign w:val="center"/>
            <w:hideMark/>
          </w:tcPr>
          <w:p w14:paraId="26B06F82" w14:textId="77777777" w:rsidR="00C275AD" w:rsidRPr="00A27896" w:rsidRDefault="00C275AD" w:rsidP="00F10012">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938" w:type="pct"/>
            <w:gridSpan w:val="2"/>
            <w:tcBorders>
              <w:top w:val="single" w:sz="4" w:space="0" w:color="auto"/>
              <w:left w:val="nil"/>
              <w:bottom w:val="nil"/>
              <w:right w:val="nil"/>
            </w:tcBorders>
            <w:shd w:val="clear" w:color="000000" w:fill="B9CDE5"/>
            <w:vAlign w:val="center"/>
            <w:hideMark/>
          </w:tcPr>
          <w:p w14:paraId="59B297F4" w14:textId="77777777" w:rsidR="00C275AD" w:rsidRPr="00A27896" w:rsidRDefault="00C275AD" w:rsidP="00F10012">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7F83E826" w14:textId="77777777" w:rsidR="0079522F" w:rsidRPr="0079522F" w:rsidRDefault="0079522F" w:rsidP="002A2F6E">
      <w:pPr>
        <w:pStyle w:val="Pamatteksts1"/>
        <w:rPr>
          <w:sz w:val="8"/>
          <w:szCs w:val="6"/>
        </w:rPr>
      </w:pPr>
    </w:p>
    <w:p w14:paraId="480283A9" w14:textId="0F425A03" w:rsidR="00DB637B" w:rsidRDefault="00DB637B" w:rsidP="002A2F6E">
      <w:pPr>
        <w:pStyle w:val="Pamatteksts1"/>
      </w:pPr>
      <w:r w:rsidRPr="002A2F6E">
        <w:t>Informācija</w:t>
      </w:r>
      <w:r w:rsidRPr="00A27896">
        <w:t xml:space="preserve"> piezīmē konsolidēta par savstarpējiem valsts budžeta </w:t>
      </w:r>
      <w:r w:rsidR="009E4ABD">
        <w:t>finanšu uzskaites</w:t>
      </w:r>
      <w:r w:rsidRPr="00A27896">
        <w:t xml:space="preserve"> un </w:t>
      </w:r>
      <w:r w:rsidR="00706C04">
        <w:t>valsts</w:t>
      </w:r>
      <w:r w:rsidRPr="00A27896">
        <w:t xml:space="preserve"> un pašvaldību </w:t>
      </w:r>
      <w:r w:rsidR="00706C04">
        <w:t xml:space="preserve">budžeta iestāžu aktīvu un saistību </w:t>
      </w:r>
      <w:r w:rsidRPr="00A27896">
        <w:t>atlikumiem.</w:t>
      </w:r>
    </w:p>
    <w:p w14:paraId="09AFE4BE" w14:textId="5D37FD6F" w:rsidR="005A010F" w:rsidRPr="00A27896" w:rsidRDefault="00715EF2" w:rsidP="000D2C39">
      <w:pPr>
        <w:pStyle w:val="Heading5"/>
      </w:pPr>
      <w:r w:rsidRPr="00A27896">
        <w:t xml:space="preserve">Piezīme Nr. </w:t>
      </w:r>
      <w:r w:rsidR="005A010F" w:rsidRPr="00A27896">
        <w:t>V9.</w:t>
      </w:r>
      <w:r w:rsidR="0076759A" w:rsidRPr="00A27896">
        <w:t xml:space="preserve"> Informācija par nodrošinātajiem finanšu aktīviem, kas pakļauti kredītriskam, sadalījumā pa finanšu instrumentiem </w:t>
      </w:r>
    </w:p>
    <w:p w14:paraId="0BBE8D53" w14:textId="2932B7BF" w:rsidR="00AB21FC" w:rsidRDefault="00147E18" w:rsidP="004E1422">
      <w:pPr>
        <w:pStyle w:val="Pamatteksts1"/>
        <w:rPr>
          <w:i/>
          <w:sz w:val="20"/>
          <w:szCs w:val="20"/>
        </w:rPr>
      </w:pPr>
      <w:r w:rsidRPr="00A27896">
        <w:t xml:space="preserve">Informācija par </w:t>
      </w:r>
      <w:r w:rsidR="00706C04">
        <w:t>valsts</w:t>
      </w:r>
      <w:r w:rsidR="00706C04" w:rsidRPr="00A27896">
        <w:t xml:space="preserve"> un pašvaldību </w:t>
      </w:r>
      <w:r w:rsidR="00706C04">
        <w:t>budžeta iestāžu</w:t>
      </w:r>
      <w:r w:rsidR="00DB637B" w:rsidRPr="00A27896">
        <w:t>, kā arī valsts budžeta finanšu uzskaitē atzīt</w:t>
      </w:r>
      <w:r w:rsidR="00DF54DF" w:rsidRPr="00A27896">
        <w:t>ajiem</w:t>
      </w:r>
      <w:r w:rsidRPr="00A27896">
        <w:t xml:space="preserve"> nodrošinātajiem finanšu aktīviem sadalījumā pa finanšu instrumentu veidiem sniegta </w:t>
      </w:r>
      <w:r w:rsidR="009E4ABD">
        <w:t>1.</w:t>
      </w:r>
      <w:r w:rsidRPr="00A27896">
        <w:t>3</w:t>
      </w:r>
      <w:r w:rsidR="00F128AB">
        <w:t>5</w:t>
      </w:r>
      <w:r w:rsidRPr="00A27896">
        <w:t>.</w:t>
      </w:r>
      <w:r w:rsidR="00FA2D8F" w:rsidRPr="00A27896">
        <w:t> </w:t>
      </w:r>
      <w:r w:rsidRPr="00A27896">
        <w:t>tabulā.</w:t>
      </w:r>
    </w:p>
    <w:p w14:paraId="75940AAF" w14:textId="19BFE877" w:rsidR="003271D2" w:rsidRPr="006463FF" w:rsidRDefault="009E4ABD" w:rsidP="0076759A">
      <w:pPr>
        <w:spacing w:after="0" w:line="240" w:lineRule="auto"/>
        <w:jc w:val="right"/>
        <w:rPr>
          <w:rFonts w:cs="Times New Roman"/>
          <w:i/>
          <w:color w:val="17365D"/>
          <w:sz w:val="20"/>
        </w:rPr>
      </w:pPr>
      <w:r>
        <w:rPr>
          <w:rFonts w:cs="Times New Roman"/>
          <w:i/>
          <w:color w:val="17365D"/>
          <w:sz w:val="20"/>
          <w:szCs w:val="20"/>
        </w:rPr>
        <w:t>1.</w:t>
      </w:r>
      <w:r w:rsidR="0076759A" w:rsidRPr="00A27896">
        <w:rPr>
          <w:rFonts w:cs="Times New Roman"/>
          <w:i/>
          <w:color w:val="17365D"/>
          <w:sz w:val="20"/>
          <w:szCs w:val="20"/>
        </w:rPr>
        <w:t>3</w:t>
      </w:r>
      <w:r w:rsidR="00F128AB">
        <w:rPr>
          <w:rFonts w:cs="Times New Roman"/>
          <w:i/>
          <w:color w:val="17365D"/>
          <w:sz w:val="20"/>
          <w:szCs w:val="20"/>
        </w:rPr>
        <w:t>5</w:t>
      </w:r>
      <w:r w:rsidR="0076759A" w:rsidRPr="006463FF">
        <w:rPr>
          <w:rFonts w:cs="Times New Roman"/>
          <w:i/>
          <w:color w:val="17365D"/>
          <w:sz w:val="20"/>
          <w:szCs w:val="20"/>
        </w:rPr>
        <w:t>. tabula</w:t>
      </w:r>
      <w:r w:rsidR="003877C0" w:rsidRPr="006463FF">
        <w:rPr>
          <w:rFonts w:cs="Times New Roman"/>
          <w:i/>
          <w:color w:val="17365D"/>
          <w:sz w:val="20"/>
          <w:szCs w:val="20"/>
        </w:rPr>
        <w:t>.</w:t>
      </w:r>
      <w:r w:rsidR="0076759A" w:rsidRPr="006463FF">
        <w:rPr>
          <w:rFonts w:cs="Times New Roman"/>
          <w:i/>
          <w:color w:val="17365D"/>
        </w:rPr>
        <w:t xml:space="preserve"> </w:t>
      </w:r>
      <w:r w:rsidR="0076759A" w:rsidRPr="006463FF">
        <w:rPr>
          <w:rFonts w:cs="Times New Roman"/>
          <w:i/>
          <w:color w:val="17365D"/>
          <w:sz w:val="20"/>
        </w:rPr>
        <w:t xml:space="preserve">Informācija par nodrošinātajiem finanšu aktīviem, </w:t>
      </w:r>
    </w:p>
    <w:p w14:paraId="2224FD6A" w14:textId="2F102194" w:rsidR="0076759A" w:rsidRPr="00A27896" w:rsidRDefault="0076759A" w:rsidP="003271D2">
      <w:pPr>
        <w:spacing w:after="0" w:line="240" w:lineRule="auto"/>
        <w:jc w:val="right"/>
        <w:rPr>
          <w:rFonts w:cs="Times New Roman"/>
          <w:i/>
          <w:color w:val="17365D"/>
          <w:sz w:val="20"/>
        </w:rPr>
      </w:pPr>
      <w:r w:rsidRPr="006463FF">
        <w:rPr>
          <w:rFonts w:cs="Times New Roman"/>
          <w:i/>
          <w:color w:val="17365D"/>
          <w:sz w:val="20"/>
        </w:rPr>
        <w:t>kas pakļauti kredītriskam,</w:t>
      </w:r>
      <w:r w:rsidR="003271D2" w:rsidRPr="006463FF">
        <w:rPr>
          <w:rFonts w:cs="Times New Roman"/>
          <w:i/>
          <w:color w:val="17365D"/>
          <w:sz w:val="20"/>
        </w:rPr>
        <w:t xml:space="preserve"> </w:t>
      </w:r>
      <w:r w:rsidRPr="006463FF">
        <w:rPr>
          <w:rFonts w:cs="Times New Roman"/>
          <w:i/>
          <w:color w:val="17365D"/>
          <w:sz w:val="20"/>
        </w:rPr>
        <w:t>sadalījumā pa finanšu instrumentiem (euro)</w:t>
      </w:r>
    </w:p>
    <w:tbl>
      <w:tblPr>
        <w:tblW w:w="5000" w:type="pct"/>
        <w:tblLook w:val="04A0" w:firstRow="1" w:lastRow="0" w:firstColumn="1" w:lastColumn="0" w:noHBand="0" w:noVBand="1"/>
      </w:tblPr>
      <w:tblGrid>
        <w:gridCol w:w="3521"/>
        <w:gridCol w:w="2705"/>
        <w:gridCol w:w="1571"/>
        <w:gridCol w:w="1557"/>
      </w:tblGrid>
      <w:tr w:rsidR="000C1009" w:rsidRPr="00A27896" w14:paraId="6A26423B" w14:textId="55E4AB35" w:rsidTr="00F62E6C">
        <w:trPr>
          <w:trHeight w:val="289"/>
          <w:tblHeader/>
        </w:trPr>
        <w:tc>
          <w:tcPr>
            <w:tcW w:w="6226" w:type="dxa"/>
            <w:gridSpan w:val="2"/>
            <w:vMerge w:val="restart"/>
            <w:tcBorders>
              <w:top w:val="nil"/>
              <w:left w:val="nil"/>
              <w:right w:val="nil"/>
            </w:tcBorders>
            <w:shd w:val="clear" w:color="000000" w:fill="B9CDE5"/>
            <w:vAlign w:val="center"/>
          </w:tcPr>
          <w:p w14:paraId="301A3477" w14:textId="42C4A92E"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Finanšu instrumenta nosaukums</w:t>
            </w:r>
          </w:p>
        </w:tc>
        <w:tc>
          <w:tcPr>
            <w:tcW w:w="3128" w:type="dxa"/>
            <w:gridSpan w:val="2"/>
            <w:tcBorders>
              <w:top w:val="nil"/>
              <w:left w:val="nil"/>
              <w:bottom w:val="single" w:sz="4" w:space="0" w:color="auto"/>
              <w:right w:val="nil"/>
            </w:tcBorders>
            <w:shd w:val="clear" w:color="000000" w:fill="B9CDE5"/>
            <w:vAlign w:val="center"/>
          </w:tcPr>
          <w:p w14:paraId="4089018C" w14:textId="1111294F"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(atlikusī) vērtība</w:t>
            </w:r>
          </w:p>
        </w:tc>
      </w:tr>
      <w:tr w:rsidR="000C1009" w:rsidRPr="00A27896" w14:paraId="324A763C" w14:textId="630D23E9" w:rsidTr="009A4177">
        <w:trPr>
          <w:trHeight w:val="425"/>
          <w:tblHeader/>
        </w:trPr>
        <w:tc>
          <w:tcPr>
            <w:tcW w:w="6226" w:type="dxa"/>
            <w:gridSpan w:val="2"/>
            <w:vMerge/>
            <w:tcBorders>
              <w:left w:val="nil"/>
              <w:bottom w:val="single" w:sz="4" w:space="0" w:color="17365D"/>
              <w:right w:val="nil"/>
            </w:tcBorders>
            <w:shd w:val="clear" w:color="000000" w:fill="B9CDE5"/>
            <w:vAlign w:val="center"/>
            <w:hideMark/>
          </w:tcPr>
          <w:p w14:paraId="5B424B7D" w14:textId="6940FF06" w:rsidR="00EA43F0" w:rsidRPr="00A27896" w:rsidRDefault="00EA43F0" w:rsidP="00875D58">
            <w:pPr>
              <w:spacing w:after="0" w:line="240" w:lineRule="auto"/>
              <w:jc w:val="center"/>
              <w:rPr>
                <w:rFonts w:eastAsia="Times New Roman" w:cs="Times New Roman"/>
                <w:b/>
                <w:bCs/>
                <w:color w:val="17365D"/>
                <w:sz w:val="18"/>
                <w:szCs w:val="18"/>
                <w:lang w:eastAsia="lv-LV"/>
              </w:rPr>
            </w:pPr>
          </w:p>
        </w:tc>
        <w:tc>
          <w:tcPr>
            <w:tcW w:w="1571" w:type="dxa"/>
            <w:tcBorders>
              <w:top w:val="nil"/>
              <w:left w:val="nil"/>
              <w:bottom w:val="single" w:sz="4" w:space="0" w:color="17365D"/>
              <w:right w:val="nil"/>
            </w:tcBorders>
            <w:shd w:val="clear" w:color="000000" w:fill="B9CDE5"/>
            <w:vAlign w:val="center"/>
            <w:hideMark/>
          </w:tcPr>
          <w:p w14:paraId="1956CEDB" w14:textId="537B15C4" w:rsidR="00EA43F0" w:rsidRPr="00A27896" w:rsidRDefault="00EA43F0" w:rsidP="00EA43F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557" w:type="dxa"/>
            <w:tcBorders>
              <w:top w:val="nil"/>
              <w:left w:val="nil"/>
              <w:bottom w:val="single" w:sz="4" w:space="0" w:color="17365D"/>
              <w:right w:val="nil"/>
            </w:tcBorders>
            <w:shd w:val="clear" w:color="000000" w:fill="B9CDE5"/>
            <w:vAlign w:val="center"/>
          </w:tcPr>
          <w:p w14:paraId="0A278980" w14:textId="2A39AC8B" w:rsidR="00EA43F0" w:rsidRPr="00A27896" w:rsidRDefault="00EA43F0" w:rsidP="00EA43F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0A60C462" w14:textId="29D29D89" w:rsidTr="00934128">
        <w:trPr>
          <w:trHeight w:val="266"/>
          <w:tblHeader/>
        </w:trPr>
        <w:tc>
          <w:tcPr>
            <w:tcW w:w="6226" w:type="dxa"/>
            <w:gridSpan w:val="2"/>
            <w:tcBorders>
              <w:top w:val="single" w:sz="4" w:space="0" w:color="17365D"/>
              <w:left w:val="nil"/>
              <w:bottom w:val="single" w:sz="4" w:space="0" w:color="17365D"/>
              <w:right w:val="nil"/>
            </w:tcBorders>
            <w:shd w:val="clear" w:color="auto" w:fill="auto"/>
            <w:vAlign w:val="center"/>
            <w:hideMark/>
          </w:tcPr>
          <w:p w14:paraId="6DA6AAFE" w14:textId="2D3CC19F"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571" w:type="dxa"/>
            <w:tcBorders>
              <w:top w:val="single" w:sz="4" w:space="0" w:color="17365D"/>
              <w:left w:val="nil"/>
              <w:bottom w:val="single" w:sz="4" w:space="0" w:color="17365D"/>
              <w:right w:val="nil"/>
            </w:tcBorders>
            <w:shd w:val="clear" w:color="auto" w:fill="auto"/>
            <w:vAlign w:val="center"/>
            <w:hideMark/>
          </w:tcPr>
          <w:p w14:paraId="2DFAD241" w14:textId="77777777"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557" w:type="dxa"/>
            <w:tcBorders>
              <w:top w:val="single" w:sz="4" w:space="0" w:color="17365D"/>
              <w:left w:val="nil"/>
              <w:bottom w:val="single" w:sz="4" w:space="0" w:color="17365D"/>
              <w:right w:val="nil"/>
            </w:tcBorders>
          </w:tcPr>
          <w:p w14:paraId="0FF266CA" w14:textId="47A933D7"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r>
      <w:tr w:rsidR="006463FF" w:rsidRPr="00A27896" w14:paraId="7D26B430" w14:textId="615E1AF0"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3D5AA2FE" w14:textId="77943CE2" w:rsidR="006463FF" w:rsidRPr="00A27896" w:rsidRDefault="006463FF" w:rsidP="006463FF">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aktīvi</w:t>
            </w:r>
          </w:p>
        </w:tc>
        <w:tc>
          <w:tcPr>
            <w:tcW w:w="1571" w:type="dxa"/>
            <w:tcBorders>
              <w:top w:val="single" w:sz="4" w:space="0" w:color="17365D"/>
              <w:left w:val="nil"/>
              <w:bottom w:val="single" w:sz="4" w:space="0" w:color="17365D"/>
              <w:right w:val="nil"/>
            </w:tcBorders>
            <w:shd w:val="clear" w:color="auto" w:fill="auto"/>
            <w:noWrap/>
            <w:vAlign w:val="center"/>
          </w:tcPr>
          <w:p w14:paraId="592BB760" w14:textId="17B5377F" w:rsidR="006463FF" w:rsidRPr="006463FF" w:rsidRDefault="006463FF" w:rsidP="006463FF">
            <w:pPr>
              <w:spacing w:after="0" w:line="240" w:lineRule="auto"/>
              <w:ind w:right="57"/>
              <w:jc w:val="right"/>
              <w:rPr>
                <w:rFonts w:eastAsia="Times New Roman" w:cs="Times New Roman"/>
                <w:b/>
                <w:color w:val="17365D"/>
                <w:sz w:val="18"/>
                <w:szCs w:val="18"/>
                <w:lang w:eastAsia="lv-LV"/>
              </w:rPr>
            </w:pPr>
            <w:r w:rsidRPr="006463FF">
              <w:rPr>
                <w:rFonts w:eastAsia="Times New Roman" w:cs="Times New Roman"/>
                <w:b/>
                <w:color w:val="17365D"/>
                <w:sz w:val="18"/>
                <w:szCs w:val="18"/>
                <w:lang w:eastAsia="lv-LV"/>
              </w:rPr>
              <w:t>1 315 305 990</w:t>
            </w:r>
          </w:p>
        </w:tc>
        <w:tc>
          <w:tcPr>
            <w:tcW w:w="1557" w:type="dxa"/>
            <w:tcBorders>
              <w:top w:val="single" w:sz="4" w:space="0" w:color="17365D"/>
              <w:left w:val="nil"/>
              <w:bottom w:val="single" w:sz="4" w:space="0" w:color="17365D"/>
              <w:right w:val="nil"/>
            </w:tcBorders>
            <w:shd w:val="clear" w:color="auto" w:fill="auto"/>
            <w:vAlign w:val="center"/>
          </w:tcPr>
          <w:p w14:paraId="723C54EF" w14:textId="1A6A810E" w:rsidR="006463FF" w:rsidRPr="006463FF" w:rsidRDefault="006463FF" w:rsidP="006463FF">
            <w:pPr>
              <w:tabs>
                <w:tab w:val="left" w:pos="1287"/>
              </w:tabs>
              <w:spacing w:after="0" w:line="240" w:lineRule="auto"/>
              <w:ind w:right="57"/>
              <w:jc w:val="right"/>
              <w:rPr>
                <w:rFonts w:eastAsia="Times New Roman" w:cs="Times New Roman"/>
                <w:b/>
                <w:color w:val="17365D"/>
                <w:sz w:val="18"/>
                <w:szCs w:val="18"/>
                <w:lang w:eastAsia="lv-LV"/>
              </w:rPr>
            </w:pPr>
            <w:r w:rsidRPr="006463FF">
              <w:rPr>
                <w:rFonts w:eastAsia="Times New Roman" w:cs="Times New Roman"/>
                <w:b/>
                <w:color w:val="17365D"/>
                <w:sz w:val="18"/>
                <w:szCs w:val="18"/>
                <w:lang w:eastAsia="lv-LV"/>
              </w:rPr>
              <w:t>1 253 291 938</w:t>
            </w:r>
          </w:p>
        </w:tc>
      </w:tr>
      <w:tr w:rsidR="006463FF" w:rsidRPr="00A27896" w14:paraId="53788834" w14:textId="77777777"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42406EC0" w14:textId="5788298B" w:rsidR="006463FF" w:rsidRPr="00A27896" w:rsidRDefault="006463FF" w:rsidP="00C7201E">
            <w:pPr>
              <w:spacing w:after="0" w:line="240" w:lineRule="auto"/>
              <w:rPr>
                <w:rFonts w:eastAsia="Times New Roman" w:cs="Times New Roman"/>
                <w:color w:val="17365D"/>
                <w:sz w:val="18"/>
                <w:szCs w:val="18"/>
                <w:lang w:eastAsia="lv-LV"/>
              </w:rPr>
            </w:pPr>
            <w:r w:rsidRPr="006463FF">
              <w:rPr>
                <w:rFonts w:eastAsia="Times New Roman" w:cs="Times New Roman"/>
                <w:color w:val="17365D"/>
                <w:sz w:val="18"/>
                <w:szCs w:val="18"/>
                <w:lang w:eastAsia="lv-LV"/>
              </w:rPr>
              <w:t>Atvasinātie finanšu instrumenti</w:t>
            </w:r>
          </w:p>
        </w:tc>
        <w:tc>
          <w:tcPr>
            <w:tcW w:w="1571" w:type="dxa"/>
            <w:tcBorders>
              <w:top w:val="single" w:sz="4" w:space="0" w:color="17365D"/>
              <w:left w:val="nil"/>
              <w:bottom w:val="single" w:sz="4" w:space="0" w:color="17365D"/>
              <w:right w:val="nil"/>
            </w:tcBorders>
            <w:shd w:val="clear" w:color="auto" w:fill="auto"/>
            <w:noWrap/>
            <w:vAlign w:val="center"/>
          </w:tcPr>
          <w:p w14:paraId="3CE59EA8" w14:textId="32051E16" w:rsidR="006463FF" w:rsidRPr="00BA2F7A" w:rsidRDefault="006463FF" w:rsidP="006463FF">
            <w:pPr>
              <w:spacing w:after="0" w:line="240" w:lineRule="auto"/>
              <w:ind w:right="57"/>
              <w:jc w:val="right"/>
              <w:rPr>
                <w:rFonts w:cs="Times New Roman"/>
                <w:color w:val="17365D"/>
                <w:sz w:val="18"/>
                <w:szCs w:val="18"/>
              </w:rPr>
            </w:pPr>
            <w:r w:rsidRPr="006463FF">
              <w:rPr>
                <w:rFonts w:cs="Times New Roman"/>
                <w:color w:val="17365D"/>
                <w:sz w:val="18"/>
                <w:szCs w:val="18"/>
              </w:rPr>
              <w:t>40 901 913</w:t>
            </w:r>
          </w:p>
        </w:tc>
        <w:tc>
          <w:tcPr>
            <w:tcW w:w="1557" w:type="dxa"/>
            <w:tcBorders>
              <w:top w:val="single" w:sz="4" w:space="0" w:color="17365D"/>
              <w:left w:val="nil"/>
              <w:bottom w:val="single" w:sz="4" w:space="0" w:color="17365D"/>
              <w:right w:val="nil"/>
            </w:tcBorders>
            <w:shd w:val="clear" w:color="auto" w:fill="auto"/>
            <w:vAlign w:val="center"/>
          </w:tcPr>
          <w:p w14:paraId="500463E1" w14:textId="095FF608" w:rsidR="006463FF" w:rsidRPr="00A27896" w:rsidRDefault="006463FF" w:rsidP="006463FF">
            <w:pPr>
              <w:tabs>
                <w:tab w:val="left" w:pos="1287"/>
              </w:tabs>
              <w:spacing w:after="0" w:line="240" w:lineRule="auto"/>
              <w:ind w:right="57"/>
              <w:jc w:val="right"/>
              <w:rPr>
                <w:rFonts w:cs="Times New Roman"/>
                <w:color w:val="17365D"/>
                <w:sz w:val="18"/>
                <w:szCs w:val="18"/>
              </w:rPr>
            </w:pPr>
            <w:r>
              <w:rPr>
                <w:rFonts w:cs="Times New Roman"/>
                <w:color w:val="17365D"/>
                <w:sz w:val="18"/>
                <w:szCs w:val="18"/>
              </w:rPr>
              <w:t>0</w:t>
            </w:r>
          </w:p>
        </w:tc>
      </w:tr>
      <w:tr w:rsidR="006463FF" w:rsidRPr="00A27896" w14:paraId="6C4AF083" w14:textId="0F93364F"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50DB9F3B" w14:textId="0E6A93B1" w:rsidR="006463FF" w:rsidRPr="00A27896" w:rsidRDefault="006463FF" w:rsidP="006463F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1571" w:type="dxa"/>
            <w:tcBorders>
              <w:top w:val="single" w:sz="4" w:space="0" w:color="17365D"/>
              <w:left w:val="nil"/>
              <w:bottom w:val="single" w:sz="4" w:space="0" w:color="17365D"/>
              <w:right w:val="nil"/>
            </w:tcBorders>
            <w:shd w:val="clear" w:color="auto" w:fill="auto"/>
            <w:noWrap/>
            <w:vAlign w:val="center"/>
          </w:tcPr>
          <w:p w14:paraId="147875C6" w14:textId="7E72372A" w:rsidR="006463FF" w:rsidRPr="00A27896" w:rsidRDefault="006463FF" w:rsidP="006463FF">
            <w:pPr>
              <w:spacing w:after="0" w:line="240" w:lineRule="auto"/>
              <w:ind w:right="57"/>
              <w:jc w:val="right"/>
              <w:rPr>
                <w:rFonts w:cs="Times New Roman"/>
                <w:color w:val="17365D"/>
                <w:sz w:val="18"/>
                <w:szCs w:val="18"/>
              </w:rPr>
            </w:pPr>
            <w:r w:rsidRPr="006463FF">
              <w:rPr>
                <w:rFonts w:cs="Times New Roman"/>
                <w:color w:val="17365D"/>
                <w:sz w:val="18"/>
                <w:szCs w:val="18"/>
              </w:rPr>
              <w:t>5 265</w:t>
            </w:r>
          </w:p>
        </w:tc>
        <w:tc>
          <w:tcPr>
            <w:tcW w:w="1557" w:type="dxa"/>
            <w:tcBorders>
              <w:top w:val="single" w:sz="4" w:space="0" w:color="17365D"/>
              <w:left w:val="nil"/>
              <w:bottom w:val="single" w:sz="4" w:space="0" w:color="17365D"/>
              <w:right w:val="nil"/>
            </w:tcBorders>
            <w:shd w:val="clear" w:color="auto" w:fill="auto"/>
            <w:vAlign w:val="center"/>
          </w:tcPr>
          <w:p w14:paraId="1D973451" w14:textId="7EBB3E5D" w:rsidR="006463FF" w:rsidRPr="00A27896" w:rsidRDefault="006463FF" w:rsidP="006463FF">
            <w:pPr>
              <w:tabs>
                <w:tab w:val="left" w:pos="1287"/>
              </w:tabs>
              <w:spacing w:after="0" w:line="240" w:lineRule="auto"/>
              <w:ind w:right="57"/>
              <w:jc w:val="right"/>
              <w:rPr>
                <w:rFonts w:cs="Times New Roman"/>
                <w:color w:val="17365D"/>
                <w:sz w:val="18"/>
                <w:szCs w:val="18"/>
              </w:rPr>
            </w:pPr>
            <w:r w:rsidRPr="006463FF">
              <w:rPr>
                <w:rFonts w:cs="Times New Roman"/>
                <w:color w:val="17365D"/>
                <w:sz w:val="18"/>
                <w:szCs w:val="18"/>
              </w:rPr>
              <w:t>6 194</w:t>
            </w:r>
          </w:p>
        </w:tc>
      </w:tr>
      <w:tr w:rsidR="006463FF" w:rsidRPr="00A27896" w14:paraId="0DC7191A" w14:textId="4CBEC311"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11F9CBA7" w14:textId="69DC8BAF" w:rsidR="006463FF" w:rsidRPr="00A27896" w:rsidRDefault="006463FF" w:rsidP="006463FF">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Noguldījumi</w:t>
            </w:r>
          </w:p>
        </w:tc>
        <w:tc>
          <w:tcPr>
            <w:tcW w:w="1571" w:type="dxa"/>
            <w:tcBorders>
              <w:top w:val="single" w:sz="4" w:space="0" w:color="17365D"/>
              <w:left w:val="nil"/>
              <w:bottom w:val="single" w:sz="4" w:space="0" w:color="17365D"/>
              <w:right w:val="nil"/>
            </w:tcBorders>
            <w:shd w:val="clear" w:color="auto" w:fill="auto"/>
            <w:noWrap/>
            <w:vAlign w:val="center"/>
          </w:tcPr>
          <w:p w14:paraId="37067519" w14:textId="6262DB97" w:rsidR="006463FF" w:rsidRPr="00A27896" w:rsidRDefault="006463FF" w:rsidP="006463FF">
            <w:pPr>
              <w:spacing w:after="0" w:line="240" w:lineRule="auto"/>
              <w:ind w:right="57"/>
              <w:jc w:val="right"/>
              <w:rPr>
                <w:rFonts w:cs="Times New Roman"/>
                <w:color w:val="17365D"/>
                <w:sz w:val="18"/>
                <w:szCs w:val="18"/>
              </w:rPr>
            </w:pPr>
            <w:r w:rsidRPr="006463FF">
              <w:rPr>
                <w:rFonts w:cs="Times New Roman"/>
                <w:color w:val="17365D"/>
                <w:sz w:val="18"/>
                <w:szCs w:val="18"/>
              </w:rPr>
              <w:t>81 908 535</w:t>
            </w:r>
          </w:p>
        </w:tc>
        <w:tc>
          <w:tcPr>
            <w:tcW w:w="1557" w:type="dxa"/>
            <w:tcBorders>
              <w:top w:val="single" w:sz="4" w:space="0" w:color="17365D"/>
              <w:left w:val="nil"/>
              <w:bottom w:val="single" w:sz="4" w:space="0" w:color="17365D"/>
              <w:right w:val="nil"/>
            </w:tcBorders>
            <w:shd w:val="clear" w:color="auto" w:fill="auto"/>
            <w:vAlign w:val="center"/>
          </w:tcPr>
          <w:p w14:paraId="4D4E537E" w14:textId="5C4E3981" w:rsidR="006463FF" w:rsidRPr="00A27896" w:rsidRDefault="006463FF" w:rsidP="006463FF">
            <w:pPr>
              <w:tabs>
                <w:tab w:val="left" w:pos="1287"/>
              </w:tabs>
              <w:spacing w:after="0" w:line="240" w:lineRule="auto"/>
              <w:ind w:right="57"/>
              <w:jc w:val="right"/>
              <w:rPr>
                <w:rFonts w:cs="Times New Roman"/>
                <w:color w:val="17365D"/>
                <w:sz w:val="18"/>
                <w:szCs w:val="18"/>
              </w:rPr>
            </w:pPr>
            <w:r w:rsidRPr="006463FF">
              <w:rPr>
                <w:rFonts w:cs="Times New Roman"/>
                <w:color w:val="17365D"/>
                <w:sz w:val="18"/>
                <w:szCs w:val="18"/>
              </w:rPr>
              <w:t>42 356 005</w:t>
            </w:r>
          </w:p>
        </w:tc>
      </w:tr>
      <w:tr w:rsidR="006463FF" w:rsidRPr="00A27896" w14:paraId="708DAAFA" w14:textId="50E5ED54"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2A1AA5D5" w14:textId="6564E3D9" w:rsidR="006463FF" w:rsidRPr="00A27896" w:rsidRDefault="006463FF" w:rsidP="006463FF">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Aizdevumi</w:t>
            </w:r>
          </w:p>
        </w:tc>
        <w:tc>
          <w:tcPr>
            <w:tcW w:w="1571" w:type="dxa"/>
            <w:tcBorders>
              <w:top w:val="single" w:sz="4" w:space="0" w:color="17365D"/>
              <w:left w:val="nil"/>
              <w:bottom w:val="single" w:sz="4" w:space="0" w:color="17365D"/>
              <w:right w:val="nil"/>
            </w:tcBorders>
            <w:shd w:val="clear" w:color="auto" w:fill="auto"/>
            <w:noWrap/>
            <w:vAlign w:val="center"/>
          </w:tcPr>
          <w:p w14:paraId="5B58965F" w14:textId="343471E6" w:rsidR="006463FF" w:rsidRPr="00A27896" w:rsidRDefault="006463FF" w:rsidP="006463FF">
            <w:pPr>
              <w:spacing w:after="0" w:line="240" w:lineRule="auto"/>
              <w:ind w:right="57"/>
              <w:jc w:val="right"/>
              <w:rPr>
                <w:rFonts w:cs="Times New Roman"/>
                <w:color w:val="17365D"/>
                <w:sz w:val="18"/>
                <w:szCs w:val="18"/>
              </w:rPr>
            </w:pPr>
            <w:r w:rsidRPr="006463FF">
              <w:rPr>
                <w:rFonts w:cs="Times New Roman"/>
                <w:color w:val="17365D"/>
                <w:sz w:val="18"/>
                <w:szCs w:val="18"/>
              </w:rPr>
              <w:t>409 451 205</w:t>
            </w:r>
          </w:p>
        </w:tc>
        <w:tc>
          <w:tcPr>
            <w:tcW w:w="1557" w:type="dxa"/>
            <w:tcBorders>
              <w:top w:val="single" w:sz="4" w:space="0" w:color="17365D"/>
              <w:left w:val="nil"/>
              <w:bottom w:val="single" w:sz="4" w:space="0" w:color="17365D"/>
              <w:right w:val="nil"/>
            </w:tcBorders>
            <w:shd w:val="clear" w:color="auto" w:fill="auto"/>
            <w:vAlign w:val="center"/>
          </w:tcPr>
          <w:p w14:paraId="1FCE8037" w14:textId="05567595" w:rsidR="006463FF" w:rsidRPr="00A27896" w:rsidRDefault="006463FF" w:rsidP="006463FF">
            <w:pPr>
              <w:tabs>
                <w:tab w:val="left" w:pos="1287"/>
              </w:tabs>
              <w:spacing w:after="0" w:line="240" w:lineRule="auto"/>
              <w:ind w:right="57"/>
              <w:jc w:val="right"/>
              <w:rPr>
                <w:rFonts w:cs="Times New Roman"/>
                <w:color w:val="17365D"/>
                <w:sz w:val="18"/>
                <w:szCs w:val="18"/>
              </w:rPr>
            </w:pPr>
            <w:r w:rsidRPr="006463FF">
              <w:rPr>
                <w:rFonts w:cs="Times New Roman"/>
                <w:color w:val="17365D"/>
                <w:sz w:val="18"/>
                <w:szCs w:val="18"/>
              </w:rPr>
              <w:t>446 940 719</w:t>
            </w:r>
          </w:p>
        </w:tc>
      </w:tr>
      <w:tr w:rsidR="006463FF" w:rsidRPr="00A27896" w14:paraId="070C0E99" w14:textId="50198982"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05E52B51" w14:textId="59BE4031" w:rsidR="006463FF" w:rsidRPr="00A27896" w:rsidRDefault="006463FF" w:rsidP="006463FF">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1571" w:type="dxa"/>
            <w:tcBorders>
              <w:top w:val="single" w:sz="4" w:space="0" w:color="17365D"/>
              <w:left w:val="nil"/>
              <w:bottom w:val="single" w:sz="4" w:space="0" w:color="17365D"/>
              <w:right w:val="nil"/>
            </w:tcBorders>
            <w:shd w:val="clear" w:color="auto" w:fill="auto"/>
            <w:noWrap/>
            <w:vAlign w:val="center"/>
          </w:tcPr>
          <w:p w14:paraId="43BB6485" w14:textId="57DD7079" w:rsidR="006463FF" w:rsidRPr="00A27896" w:rsidRDefault="006463FF" w:rsidP="006463FF">
            <w:pPr>
              <w:spacing w:after="0" w:line="240" w:lineRule="auto"/>
              <w:ind w:right="57"/>
              <w:jc w:val="right"/>
              <w:rPr>
                <w:rFonts w:cs="Times New Roman"/>
                <w:color w:val="17365D"/>
                <w:sz w:val="18"/>
                <w:szCs w:val="18"/>
              </w:rPr>
            </w:pPr>
            <w:r w:rsidRPr="006463FF">
              <w:rPr>
                <w:rFonts w:cs="Times New Roman"/>
                <w:color w:val="17365D"/>
                <w:sz w:val="18"/>
                <w:szCs w:val="18"/>
              </w:rPr>
              <w:t>6 388 961</w:t>
            </w:r>
          </w:p>
        </w:tc>
        <w:tc>
          <w:tcPr>
            <w:tcW w:w="1557" w:type="dxa"/>
            <w:tcBorders>
              <w:top w:val="single" w:sz="4" w:space="0" w:color="17365D"/>
              <w:left w:val="nil"/>
              <w:bottom w:val="single" w:sz="4" w:space="0" w:color="17365D"/>
              <w:right w:val="nil"/>
            </w:tcBorders>
            <w:shd w:val="clear" w:color="auto" w:fill="auto"/>
            <w:vAlign w:val="center"/>
          </w:tcPr>
          <w:p w14:paraId="7EBD1DA9" w14:textId="18103937" w:rsidR="006463FF" w:rsidRPr="00A27896" w:rsidRDefault="006463FF" w:rsidP="006463FF">
            <w:pPr>
              <w:tabs>
                <w:tab w:val="left" w:pos="1287"/>
              </w:tabs>
              <w:spacing w:after="0" w:line="240" w:lineRule="auto"/>
              <w:ind w:right="57"/>
              <w:jc w:val="right"/>
              <w:rPr>
                <w:rFonts w:cs="Times New Roman"/>
                <w:color w:val="17365D"/>
                <w:sz w:val="18"/>
                <w:szCs w:val="18"/>
              </w:rPr>
            </w:pPr>
            <w:r w:rsidRPr="006463FF">
              <w:rPr>
                <w:rFonts w:cs="Times New Roman"/>
                <w:color w:val="17365D"/>
                <w:sz w:val="18"/>
                <w:szCs w:val="18"/>
              </w:rPr>
              <w:t>4 801 922</w:t>
            </w:r>
          </w:p>
        </w:tc>
      </w:tr>
      <w:tr w:rsidR="006463FF" w:rsidRPr="00A27896" w14:paraId="2F6C53AF" w14:textId="3827C9A4" w:rsidTr="006463FF">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7498B39C" w14:textId="4DA6EBF3" w:rsidR="006463FF" w:rsidRPr="00A27896" w:rsidRDefault="006463FF" w:rsidP="006463FF">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finanšu instrumenti</w:t>
            </w:r>
          </w:p>
        </w:tc>
        <w:tc>
          <w:tcPr>
            <w:tcW w:w="1571" w:type="dxa"/>
            <w:tcBorders>
              <w:top w:val="single" w:sz="4" w:space="0" w:color="17365D"/>
              <w:left w:val="nil"/>
              <w:bottom w:val="single" w:sz="4" w:space="0" w:color="17365D"/>
              <w:right w:val="nil"/>
            </w:tcBorders>
            <w:shd w:val="clear" w:color="auto" w:fill="auto"/>
            <w:noWrap/>
            <w:vAlign w:val="center"/>
          </w:tcPr>
          <w:p w14:paraId="212F5212" w14:textId="540E212F" w:rsidR="006463FF" w:rsidRPr="00A27896" w:rsidRDefault="006463FF" w:rsidP="006463FF">
            <w:pPr>
              <w:spacing w:after="0" w:line="240" w:lineRule="auto"/>
              <w:ind w:right="57"/>
              <w:jc w:val="right"/>
              <w:rPr>
                <w:rFonts w:cs="Times New Roman"/>
                <w:color w:val="17365D"/>
                <w:sz w:val="18"/>
                <w:szCs w:val="18"/>
              </w:rPr>
            </w:pPr>
            <w:r w:rsidRPr="006463FF">
              <w:rPr>
                <w:rFonts w:cs="Times New Roman"/>
                <w:color w:val="17365D"/>
                <w:sz w:val="18"/>
                <w:szCs w:val="18"/>
              </w:rPr>
              <w:t>776 650 111</w:t>
            </w:r>
          </w:p>
        </w:tc>
        <w:tc>
          <w:tcPr>
            <w:tcW w:w="1557" w:type="dxa"/>
            <w:tcBorders>
              <w:top w:val="single" w:sz="4" w:space="0" w:color="17365D"/>
              <w:left w:val="nil"/>
              <w:bottom w:val="single" w:sz="4" w:space="0" w:color="17365D"/>
              <w:right w:val="nil"/>
            </w:tcBorders>
            <w:shd w:val="clear" w:color="auto" w:fill="auto"/>
            <w:vAlign w:val="center"/>
          </w:tcPr>
          <w:p w14:paraId="696F6C1F" w14:textId="72ADD48E" w:rsidR="006463FF" w:rsidRPr="00A27896" w:rsidRDefault="006463FF" w:rsidP="006463FF">
            <w:pPr>
              <w:tabs>
                <w:tab w:val="left" w:pos="1287"/>
              </w:tabs>
              <w:spacing w:after="0" w:line="240" w:lineRule="auto"/>
              <w:ind w:right="57"/>
              <w:jc w:val="right"/>
              <w:rPr>
                <w:rFonts w:cs="Times New Roman"/>
                <w:color w:val="17365D"/>
                <w:sz w:val="18"/>
                <w:szCs w:val="18"/>
              </w:rPr>
            </w:pPr>
            <w:r w:rsidRPr="006463FF">
              <w:rPr>
                <w:rFonts w:cs="Times New Roman"/>
                <w:color w:val="17365D"/>
                <w:sz w:val="18"/>
                <w:szCs w:val="18"/>
              </w:rPr>
              <w:t>759 187 098</w:t>
            </w:r>
          </w:p>
        </w:tc>
      </w:tr>
      <w:tr w:rsidR="000C1009" w:rsidRPr="00A27896" w14:paraId="3D943A6E" w14:textId="7293CF67" w:rsidTr="009F2382">
        <w:trPr>
          <w:trHeight w:val="50"/>
        </w:trPr>
        <w:tc>
          <w:tcPr>
            <w:tcW w:w="3521" w:type="dxa"/>
            <w:tcBorders>
              <w:top w:val="single" w:sz="4" w:space="0" w:color="17365D"/>
              <w:left w:val="nil"/>
              <w:bottom w:val="nil"/>
              <w:right w:val="nil"/>
            </w:tcBorders>
            <w:shd w:val="clear" w:color="000000" w:fill="B9CDE5"/>
            <w:noWrap/>
            <w:vAlign w:val="center"/>
            <w:hideMark/>
          </w:tcPr>
          <w:p w14:paraId="46BC979A" w14:textId="06825548" w:rsidR="00EA43F0" w:rsidRPr="00A27896" w:rsidRDefault="00EA43F0" w:rsidP="00875D58">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4276" w:type="dxa"/>
            <w:gridSpan w:val="2"/>
            <w:tcBorders>
              <w:top w:val="single" w:sz="4" w:space="0" w:color="17365D"/>
              <w:left w:val="nil"/>
              <w:bottom w:val="nil"/>
              <w:right w:val="nil"/>
            </w:tcBorders>
            <w:shd w:val="clear" w:color="000000" w:fill="B9CDE5"/>
            <w:noWrap/>
            <w:vAlign w:val="center"/>
            <w:hideMark/>
          </w:tcPr>
          <w:p w14:paraId="4C10DA51" w14:textId="77777777" w:rsidR="00EA43F0" w:rsidRPr="00A27896" w:rsidRDefault="00EA43F0" w:rsidP="00875D5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557" w:type="dxa"/>
            <w:tcBorders>
              <w:top w:val="single" w:sz="4" w:space="0" w:color="17365D"/>
              <w:left w:val="nil"/>
              <w:bottom w:val="nil"/>
              <w:right w:val="nil"/>
            </w:tcBorders>
            <w:shd w:val="clear" w:color="000000" w:fill="B9CDE5"/>
          </w:tcPr>
          <w:p w14:paraId="2B88A312" w14:textId="77777777" w:rsidR="00EA43F0" w:rsidRPr="00A27896" w:rsidRDefault="00EA43F0" w:rsidP="00875D58">
            <w:pPr>
              <w:spacing w:after="0" w:line="240" w:lineRule="auto"/>
              <w:jc w:val="right"/>
              <w:rPr>
                <w:rFonts w:eastAsia="Times New Roman" w:cs="Times New Roman"/>
                <w:color w:val="17365D"/>
                <w:sz w:val="18"/>
                <w:szCs w:val="18"/>
                <w:lang w:eastAsia="lv-LV"/>
              </w:rPr>
            </w:pPr>
          </w:p>
        </w:tc>
      </w:tr>
    </w:tbl>
    <w:p w14:paraId="4DA1AD21" w14:textId="77777777" w:rsidR="0079522F" w:rsidRPr="0079522F" w:rsidRDefault="0079522F" w:rsidP="004E1422">
      <w:pPr>
        <w:pStyle w:val="Pamatteksts1"/>
        <w:rPr>
          <w:sz w:val="10"/>
          <w:szCs w:val="8"/>
        </w:rPr>
      </w:pPr>
    </w:p>
    <w:p w14:paraId="2767B2FC" w14:textId="026DE974" w:rsidR="00DF54DF" w:rsidRPr="00A27896" w:rsidRDefault="00DF54DF" w:rsidP="004E1422">
      <w:pPr>
        <w:pStyle w:val="Pamatteksts1"/>
      </w:pPr>
      <w:r w:rsidRPr="00A27896">
        <w:t xml:space="preserve">Informācija piezīmē konsolidēta par savstarpējiem valsts budžeta </w:t>
      </w:r>
      <w:r w:rsidR="009E4ABD">
        <w:t>finanšu uzskaites</w:t>
      </w:r>
      <w:r w:rsidRPr="00A27896">
        <w:t xml:space="preserve"> un </w:t>
      </w:r>
      <w:r w:rsidR="00706C04">
        <w:t>valsts</w:t>
      </w:r>
      <w:r w:rsidR="00706C04" w:rsidRPr="00A27896">
        <w:t xml:space="preserve"> un pašvaldību </w:t>
      </w:r>
      <w:r w:rsidR="00706C04">
        <w:t>budžeta iestāžu</w:t>
      </w:r>
      <w:r w:rsidR="00706C04" w:rsidRPr="00A27896">
        <w:t xml:space="preserve"> </w:t>
      </w:r>
      <w:r w:rsidRPr="00A27896">
        <w:t>atlikumiem.</w:t>
      </w:r>
    </w:p>
    <w:p w14:paraId="410FD7F5" w14:textId="117F90BF" w:rsidR="008A7804" w:rsidRPr="00A27896" w:rsidRDefault="008A7804" w:rsidP="004E1422">
      <w:pPr>
        <w:pStyle w:val="Pamatteksts1"/>
      </w:pPr>
      <w:r w:rsidRPr="00A27896">
        <w:t xml:space="preserve">Finanšu aktīvu nodrošinājuma (nekustamais īpašums, citi </w:t>
      </w:r>
      <w:proofErr w:type="spellStart"/>
      <w:r w:rsidRPr="00A27896">
        <w:t>nefinanšu</w:t>
      </w:r>
      <w:proofErr w:type="spellEnd"/>
      <w:r w:rsidRPr="00A27896">
        <w:t xml:space="preserve"> aktīvi, finanšu aktīvi</w:t>
      </w:r>
      <w:r w:rsidR="00A833F6" w:rsidRPr="00A27896">
        <w:t xml:space="preserve"> un cits nodrošinājums) </w:t>
      </w:r>
      <w:r w:rsidRPr="00A27896">
        <w:t xml:space="preserve">vērtība pārskata gada beigās </w:t>
      </w:r>
      <w:bookmarkStart w:id="69" w:name="_Hlk197599035"/>
      <w:r w:rsidRPr="00A27896">
        <w:t xml:space="preserve">ir </w:t>
      </w:r>
      <w:r w:rsidR="0012213F">
        <w:t>2 354,6 milj.</w:t>
      </w:r>
      <w:bookmarkEnd w:id="69"/>
      <w:r w:rsidR="00E24982">
        <w:t xml:space="preserve"> </w:t>
      </w:r>
      <w:r w:rsidRPr="00A27896">
        <w:rPr>
          <w:i/>
        </w:rPr>
        <w:t>euro</w:t>
      </w:r>
      <w:r w:rsidRPr="00A27896">
        <w:t xml:space="preserve">, tai skaitā aizdevumiem </w:t>
      </w:r>
      <w:r w:rsidR="00A833F6" w:rsidRPr="00A27896">
        <w:t>–</w:t>
      </w:r>
      <w:r w:rsidRPr="00A27896">
        <w:t xml:space="preserve"> </w:t>
      </w:r>
      <w:r w:rsidR="0012213F" w:rsidRPr="0012213F">
        <w:t>ir 2 353,3 milj.</w:t>
      </w:r>
      <w:r w:rsidR="00E24982">
        <w:t xml:space="preserve"> </w:t>
      </w:r>
      <w:r w:rsidRPr="00A27896">
        <w:rPr>
          <w:i/>
        </w:rPr>
        <w:t>euro</w:t>
      </w:r>
      <w:r w:rsidR="00A833F6" w:rsidRPr="00A27896">
        <w:rPr>
          <w:i/>
        </w:rPr>
        <w:t xml:space="preserve"> </w:t>
      </w:r>
      <w:r w:rsidR="00A833F6" w:rsidRPr="00A27896">
        <w:t>un prasībām, kas ir finanšu instrumenti</w:t>
      </w:r>
      <w:r w:rsidR="00A833F6" w:rsidRPr="00A27896">
        <w:rPr>
          <w:i/>
        </w:rPr>
        <w:t xml:space="preserve"> </w:t>
      </w:r>
      <w:r w:rsidR="00A833F6" w:rsidRPr="00A27896">
        <w:t xml:space="preserve">– </w:t>
      </w:r>
      <w:r w:rsidR="00AB019B" w:rsidRPr="00AB019B">
        <w:t>1</w:t>
      </w:r>
      <w:r w:rsidR="0012213F">
        <w:t>,3 milj.</w:t>
      </w:r>
      <w:r w:rsidR="00AB019B" w:rsidRPr="00AB019B">
        <w:t xml:space="preserve"> </w:t>
      </w:r>
      <w:r w:rsidR="00A833F6" w:rsidRPr="00A27896">
        <w:rPr>
          <w:i/>
        </w:rPr>
        <w:t>euro</w:t>
      </w:r>
      <w:r w:rsidRPr="00A27896">
        <w:t>.</w:t>
      </w:r>
    </w:p>
    <w:p w14:paraId="481EE3FF" w14:textId="177966C1" w:rsidR="00002FCF" w:rsidRPr="00A27896" w:rsidRDefault="00715EF2" w:rsidP="000D2C39">
      <w:pPr>
        <w:pStyle w:val="Heading5"/>
      </w:pPr>
      <w:r w:rsidRPr="00A27896">
        <w:t xml:space="preserve">Piezīme Nr. </w:t>
      </w:r>
      <w:r w:rsidR="005E5E10" w:rsidRPr="00A27896">
        <w:t xml:space="preserve">V9. Informācija par finanšu saistību nediskontēto nākotnes naudas plūsmas </w:t>
      </w:r>
      <w:proofErr w:type="spellStart"/>
      <w:r w:rsidR="005E5E10" w:rsidRPr="00A27896">
        <w:t>termiņstruktūru</w:t>
      </w:r>
      <w:proofErr w:type="spellEnd"/>
      <w:r w:rsidR="005E5E10" w:rsidRPr="00A27896">
        <w:t xml:space="preserve"> sadalījumā pa finanšu instrumentiem</w:t>
      </w:r>
    </w:p>
    <w:p w14:paraId="380AE9E9" w14:textId="73797737" w:rsidR="00147E18" w:rsidRDefault="00147E18" w:rsidP="004E1422">
      <w:pPr>
        <w:pStyle w:val="Pamatteksts1"/>
      </w:pPr>
      <w:r w:rsidRPr="00A27896">
        <w:t>Informācija par ministriju un pašvaldību</w:t>
      </w:r>
      <w:r w:rsidR="00DF54DF" w:rsidRPr="00A27896">
        <w:t>, kā arī valsts budžeta finanšu uzskaitē atzītajām</w:t>
      </w:r>
      <w:r w:rsidRPr="00A27896">
        <w:t xml:space="preserve"> nediskontētām finanšu saistībām (naudas plūsmu) sadalījumā pa finanšu instrumentu veidiem sniegta </w:t>
      </w:r>
      <w:r w:rsidR="009E4ABD">
        <w:t>1.</w:t>
      </w:r>
      <w:r w:rsidR="00A043E2" w:rsidRPr="00A27896">
        <w:t>3</w:t>
      </w:r>
      <w:r w:rsidR="00CA0960">
        <w:t>6</w:t>
      </w:r>
      <w:r w:rsidRPr="00A27896">
        <w:t>.</w:t>
      </w:r>
      <w:r w:rsidR="00034664" w:rsidRPr="00A27896">
        <w:t> </w:t>
      </w:r>
      <w:r w:rsidRPr="00A27896">
        <w:t>tabulā.</w:t>
      </w:r>
    </w:p>
    <w:p w14:paraId="78F65B9C" w14:textId="77777777" w:rsidR="0079522F" w:rsidRDefault="0079522F" w:rsidP="00324AC5">
      <w:pPr>
        <w:pStyle w:val="Tabnosauk"/>
        <w:rPr>
          <w:szCs w:val="20"/>
        </w:rPr>
      </w:pPr>
    </w:p>
    <w:p w14:paraId="1B8CC9C8" w14:textId="77777777" w:rsidR="0079522F" w:rsidRDefault="0079522F" w:rsidP="00324AC5">
      <w:pPr>
        <w:pStyle w:val="Tabnosauk"/>
        <w:rPr>
          <w:szCs w:val="20"/>
        </w:rPr>
      </w:pPr>
    </w:p>
    <w:p w14:paraId="5AE6360B" w14:textId="77777777" w:rsidR="0079522F" w:rsidRDefault="0079522F" w:rsidP="00324AC5">
      <w:pPr>
        <w:pStyle w:val="Tabnosauk"/>
        <w:rPr>
          <w:szCs w:val="20"/>
        </w:rPr>
      </w:pPr>
    </w:p>
    <w:p w14:paraId="38563BF9" w14:textId="77777777" w:rsidR="0079522F" w:rsidRDefault="0079522F" w:rsidP="00324AC5">
      <w:pPr>
        <w:pStyle w:val="Tabnosauk"/>
        <w:rPr>
          <w:szCs w:val="20"/>
        </w:rPr>
      </w:pPr>
    </w:p>
    <w:p w14:paraId="58BF8B0E" w14:textId="77777777" w:rsidR="0079522F" w:rsidRDefault="0079522F" w:rsidP="00324AC5">
      <w:pPr>
        <w:pStyle w:val="Tabnosauk"/>
        <w:rPr>
          <w:szCs w:val="20"/>
        </w:rPr>
      </w:pPr>
    </w:p>
    <w:p w14:paraId="7830B8DD" w14:textId="77777777" w:rsidR="0079522F" w:rsidRDefault="0079522F" w:rsidP="00324AC5">
      <w:pPr>
        <w:pStyle w:val="Tabnosauk"/>
        <w:rPr>
          <w:szCs w:val="20"/>
        </w:rPr>
      </w:pPr>
    </w:p>
    <w:p w14:paraId="727B1EFF" w14:textId="77777777" w:rsidR="0079522F" w:rsidRDefault="0079522F" w:rsidP="00324AC5">
      <w:pPr>
        <w:pStyle w:val="Tabnosauk"/>
        <w:rPr>
          <w:szCs w:val="20"/>
        </w:rPr>
      </w:pPr>
    </w:p>
    <w:p w14:paraId="41069F61" w14:textId="77777777" w:rsidR="0079522F" w:rsidRDefault="0079522F" w:rsidP="00324AC5">
      <w:pPr>
        <w:pStyle w:val="Tabnosauk"/>
        <w:rPr>
          <w:szCs w:val="20"/>
        </w:rPr>
      </w:pPr>
    </w:p>
    <w:p w14:paraId="16A9A62F" w14:textId="77777777" w:rsidR="0079522F" w:rsidRDefault="0079522F" w:rsidP="00324AC5">
      <w:pPr>
        <w:pStyle w:val="Tabnosauk"/>
        <w:rPr>
          <w:szCs w:val="20"/>
        </w:rPr>
      </w:pPr>
    </w:p>
    <w:p w14:paraId="1A8E3F74" w14:textId="361D21E2" w:rsidR="005E5E10" w:rsidRPr="007C5185" w:rsidRDefault="009E4ABD" w:rsidP="00324AC5">
      <w:pPr>
        <w:pStyle w:val="Tabnosauk"/>
      </w:pPr>
      <w:r>
        <w:rPr>
          <w:szCs w:val="20"/>
        </w:rPr>
        <w:lastRenderedPageBreak/>
        <w:t>1.</w:t>
      </w:r>
      <w:r w:rsidR="00A043E2" w:rsidRPr="0060703C">
        <w:rPr>
          <w:szCs w:val="20"/>
        </w:rPr>
        <w:t>3</w:t>
      </w:r>
      <w:r w:rsidR="00CA0960">
        <w:rPr>
          <w:szCs w:val="20"/>
        </w:rPr>
        <w:t>6</w:t>
      </w:r>
      <w:r w:rsidR="005E5E10" w:rsidRPr="0060703C">
        <w:rPr>
          <w:szCs w:val="20"/>
        </w:rPr>
        <w:t>. tabula</w:t>
      </w:r>
      <w:r w:rsidR="003877C0" w:rsidRPr="0060703C">
        <w:rPr>
          <w:szCs w:val="20"/>
        </w:rPr>
        <w:t>.</w:t>
      </w:r>
      <w:r w:rsidR="005E5E10" w:rsidRPr="0060703C">
        <w:t xml:space="preserve"> </w:t>
      </w:r>
      <w:r w:rsidR="005E5E10" w:rsidRPr="007C5185">
        <w:t xml:space="preserve">Informācija par finanšu saistību nediskontēto nākotnes naudas plūsmas </w:t>
      </w:r>
    </w:p>
    <w:p w14:paraId="36C591F9" w14:textId="0B3D5DDF" w:rsidR="00CD4CD0" w:rsidRPr="00A27896" w:rsidRDefault="005E5E10" w:rsidP="00324AC5">
      <w:pPr>
        <w:pStyle w:val="Tabnosauk"/>
      </w:pPr>
      <w:proofErr w:type="spellStart"/>
      <w:r w:rsidRPr="007C5185">
        <w:t>termiņstruktūru</w:t>
      </w:r>
      <w:proofErr w:type="spellEnd"/>
      <w:r w:rsidRPr="007C5185">
        <w:t xml:space="preserve"> sadalījumā pa finanšu instrumentiem</w:t>
      </w:r>
      <w:r w:rsidR="003271D2" w:rsidRPr="007C5185">
        <w:t xml:space="preserve"> (euro)</w:t>
      </w:r>
    </w:p>
    <w:tbl>
      <w:tblPr>
        <w:tblW w:w="9921" w:type="dxa"/>
        <w:tblInd w:w="-284" w:type="dxa"/>
        <w:tblLook w:val="04A0" w:firstRow="1" w:lastRow="0" w:firstColumn="1" w:lastColumn="0" w:noHBand="0" w:noVBand="1"/>
      </w:tblPr>
      <w:tblGrid>
        <w:gridCol w:w="1174"/>
        <w:gridCol w:w="953"/>
        <w:gridCol w:w="238"/>
        <w:gridCol w:w="896"/>
        <w:gridCol w:w="1134"/>
        <w:gridCol w:w="851"/>
        <w:gridCol w:w="282"/>
        <w:gridCol w:w="6"/>
        <w:gridCol w:w="137"/>
        <w:gridCol w:w="850"/>
        <w:gridCol w:w="137"/>
        <w:gridCol w:w="423"/>
        <w:gridCol w:w="568"/>
        <w:gridCol w:w="137"/>
        <w:gridCol w:w="861"/>
        <w:gridCol w:w="137"/>
        <w:gridCol w:w="1137"/>
      </w:tblGrid>
      <w:tr w:rsidR="00DB01CA" w:rsidRPr="00A27896" w14:paraId="14ACD47B" w14:textId="77777777" w:rsidTr="00DB01CA">
        <w:trPr>
          <w:trHeight w:val="270"/>
          <w:tblHeader/>
        </w:trPr>
        <w:tc>
          <w:tcPr>
            <w:tcW w:w="1174" w:type="dxa"/>
            <w:vMerge w:val="restart"/>
            <w:tcBorders>
              <w:top w:val="nil"/>
              <w:left w:val="nil"/>
              <w:bottom w:val="single" w:sz="4" w:space="0" w:color="17365D"/>
              <w:right w:val="nil"/>
            </w:tcBorders>
            <w:shd w:val="clear" w:color="000000" w:fill="B9CDE5"/>
            <w:vAlign w:val="center"/>
            <w:hideMark/>
          </w:tcPr>
          <w:p w14:paraId="57F43933" w14:textId="390C9C6E" w:rsidR="00DB01CA" w:rsidRPr="00A27896" w:rsidRDefault="00DB01CA"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Finanšu saistību un instrumenta nosaukums</w:t>
            </w:r>
          </w:p>
        </w:tc>
        <w:tc>
          <w:tcPr>
            <w:tcW w:w="4072" w:type="dxa"/>
            <w:gridSpan w:val="5"/>
            <w:tcBorders>
              <w:top w:val="nil"/>
              <w:left w:val="nil"/>
              <w:bottom w:val="single" w:sz="4" w:space="0" w:color="17365D"/>
              <w:right w:val="nil"/>
            </w:tcBorders>
            <w:shd w:val="clear" w:color="000000" w:fill="B9CDE5"/>
            <w:vAlign w:val="center"/>
            <w:hideMark/>
          </w:tcPr>
          <w:p w14:paraId="6C3914C5" w14:textId="77777777" w:rsidR="00DB01CA" w:rsidRPr="00A27896" w:rsidRDefault="00DB01CA"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282" w:type="dxa"/>
            <w:tcBorders>
              <w:top w:val="nil"/>
              <w:left w:val="nil"/>
              <w:right w:val="nil"/>
            </w:tcBorders>
            <w:shd w:val="clear" w:color="000000" w:fill="B9CDE5"/>
            <w:vAlign w:val="center"/>
          </w:tcPr>
          <w:p w14:paraId="4F433431" w14:textId="28FC258B" w:rsidR="00DB01CA" w:rsidRPr="00A27896" w:rsidRDefault="00DB01CA" w:rsidP="00F9724A">
            <w:pPr>
              <w:spacing w:after="0" w:line="240" w:lineRule="auto"/>
              <w:ind w:left="-57" w:right="-57"/>
              <w:jc w:val="center"/>
              <w:rPr>
                <w:rFonts w:eastAsia="Times New Roman" w:cs="Times New Roman"/>
                <w:b/>
                <w:bCs/>
                <w:color w:val="17365D"/>
                <w:sz w:val="18"/>
                <w:szCs w:val="18"/>
                <w:lang w:eastAsia="lv-LV"/>
              </w:rPr>
            </w:pPr>
          </w:p>
        </w:tc>
        <w:tc>
          <w:tcPr>
            <w:tcW w:w="4393" w:type="dxa"/>
            <w:gridSpan w:val="10"/>
            <w:tcBorders>
              <w:top w:val="nil"/>
              <w:left w:val="nil"/>
              <w:bottom w:val="single" w:sz="4" w:space="0" w:color="17365D"/>
              <w:right w:val="nil"/>
            </w:tcBorders>
            <w:shd w:val="clear" w:color="000000" w:fill="B9CDE5"/>
            <w:vAlign w:val="center"/>
            <w:hideMark/>
          </w:tcPr>
          <w:p w14:paraId="60360D65" w14:textId="77777777" w:rsidR="00DB01CA" w:rsidRPr="00A27896" w:rsidRDefault="00DB01CA"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06606F28" w14:textId="77777777" w:rsidTr="00DB01CA">
        <w:trPr>
          <w:trHeight w:val="540"/>
          <w:tblHeader/>
        </w:trPr>
        <w:tc>
          <w:tcPr>
            <w:tcW w:w="1174" w:type="dxa"/>
            <w:vMerge/>
            <w:tcBorders>
              <w:top w:val="single" w:sz="4" w:space="0" w:color="17365D"/>
              <w:left w:val="nil"/>
              <w:bottom w:val="single" w:sz="4" w:space="0" w:color="17365D"/>
              <w:right w:val="nil"/>
            </w:tcBorders>
            <w:vAlign w:val="center"/>
            <w:hideMark/>
          </w:tcPr>
          <w:p w14:paraId="45601EAB"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953" w:type="dxa"/>
            <w:vMerge w:val="restart"/>
            <w:tcBorders>
              <w:left w:val="nil"/>
              <w:bottom w:val="single" w:sz="4" w:space="0" w:color="17365D"/>
              <w:right w:val="nil"/>
            </w:tcBorders>
            <w:shd w:val="clear" w:color="000000" w:fill="B9CDE5"/>
            <w:vAlign w:val="center"/>
            <w:hideMark/>
          </w:tcPr>
          <w:p w14:paraId="13855181"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 1 gadam</w:t>
            </w:r>
          </w:p>
        </w:tc>
        <w:tc>
          <w:tcPr>
            <w:tcW w:w="1134" w:type="dxa"/>
            <w:gridSpan w:val="2"/>
            <w:vMerge w:val="restart"/>
            <w:tcBorders>
              <w:left w:val="nil"/>
              <w:bottom w:val="single" w:sz="4" w:space="0" w:color="17365D"/>
              <w:right w:val="nil"/>
            </w:tcBorders>
            <w:shd w:val="clear" w:color="000000" w:fill="B9CDE5"/>
            <w:vAlign w:val="center"/>
            <w:hideMark/>
          </w:tcPr>
          <w:p w14:paraId="7C946AFF"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no 1 gada līdz 5 gadiem</w:t>
            </w:r>
          </w:p>
        </w:tc>
        <w:tc>
          <w:tcPr>
            <w:tcW w:w="1134" w:type="dxa"/>
            <w:vMerge w:val="restart"/>
            <w:tcBorders>
              <w:left w:val="nil"/>
              <w:bottom w:val="single" w:sz="4" w:space="0" w:color="17365D"/>
              <w:right w:val="nil"/>
            </w:tcBorders>
            <w:shd w:val="clear" w:color="000000" w:fill="B9CDE5"/>
            <w:vAlign w:val="center"/>
            <w:hideMark/>
          </w:tcPr>
          <w:p w14:paraId="58FF1C97" w14:textId="77777777" w:rsidR="00D117EE"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vairāk par </w:t>
            </w:r>
          </w:p>
          <w:p w14:paraId="64D9AE1F" w14:textId="6A91087A"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 gadiem</w:t>
            </w:r>
          </w:p>
        </w:tc>
        <w:tc>
          <w:tcPr>
            <w:tcW w:w="1139" w:type="dxa"/>
            <w:gridSpan w:val="3"/>
            <w:vMerge w:val="restart"/>
            <w:tcBorders>
              <w:left w:val="nil"/>
              <w:bottom w:val="single" w:sz="4" w:space="0" w:color="17365D"/>
              <w:right w:val="nil"/>
            </w:tcBorders>
            <w:shd w:val="clear" w:color="000000" w:fill="B9CDE5"/>
            <w:vAlign w:val="center"/>
            <w:hideMark/>
          </w:tcPr>
          <w:p w14:paraId="0DF9D446"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c>
          <w:tcPr>
            <w:tcW w:w="987" w:type="dxa"/>
            <w:gridSpan w:val="2"/>
            <w:vMerge w:val="restart"/>
            <w:tcBorders>
              <w:left w:val="nil"/>
              <w:bottom w:val="single" w:sz="4" w:space="0" w:color="17365D"/>
              <w:right w:val="nil"/>
            </w:tcBorders>
            <w:shd w:val="clear" w:color="000000" w:fill="B9CDE5"/>
            <w:vAlign w:val="center"/>
            <w:hideMark/>
          </w:tcPr>
          <w:p w14:paraId="44514251"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 1 gadam</w:t>
            </w:r>
          </w:p>
        </w:tc>
        <w:tc>
          <w:tcPr>
            <w:tcW w:w="1128" w:type="dxa"/>
            <w:gridSpan w:val="3"/>
            <w:vMerge w:val="restart"/>
            <w:tcBorders>
              <w:left w:val="nil"/>
              <w:bottom w:val="single" w:sz="4" w:space="0" w:color="17365D"/>
              <w:right w:val="nil"/>
            </w:tcBorders>
            <w:shd w:val="clear" w:color="000000" w:fill="B9CDE5"/>
            <w:vAlign w:val="center"/>
            <w:hideMark/>
          </w:tcPr>
          <w:p w14:paraId="7C6A02CD"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no 1 gada līdz 5 gadiem</w:t>
            </w:r>
          </w:p>
        </w:tc>
        <w:tc>
          <w:tcPr>
            <w:tcW w:w="998" w:type="dxa"/>
            <w:gridSpan w:val="2"/>
            <w:vMerge w:val="restart"/>
            <w:tcBorders>
              <w:left w:val="nil"/>
              <w:bottom w:val="single" w:sz="4" w:space="0" w:color="17365D"/>
              <w:right w:val="nil"/>
            </w:tcBorders>
            <w:shd w:val="clear" w:color="000000" w:fill="B9CDE5"/>
            <w:vAlign w:val="center"/>
            <w:hideMark/>
          </w:tcPr>
          <w:p w14:paraId="79066D53" w14:textId="77777777" w:rsidR="00D117EE"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vairāk par </w:t>
            </w:r>
          </w:p>
          <w:p w14:paraId="09FA6976" w14:textId="5C4FB603"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 gadiem</w:t>
            </w:r>
          </w:p>
        </w:tc>
        <w:tc>
          <w:tcPr>
            <w:tcW w:w="1274" w:type="dxa"/>
            <w:gridSpan w:val="2"/>
            <w:vMerge w:val="restart"/>
            <w:tcBorders>
              <w:left w:val="nil"/>
              <w:bottom w:val="single" w:sz="4" w:space="0" w:color="17365D"/>
              <w:right w:val="nil"/>
            </w:tcBorders>
            <w:shd w:val="clear" w:color="000000" w:fill="B9CDE5"/>
            <w:vAlign w:val="center"/>
            <w:hideMark/>
          </w:tcPr>
          <w:p w14:paraId="66AC986D"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r>
      <w:tr w:rsidR="000C1009" w:rsidRPr="00A27896" w14:paraId="4672FEFA" w14:textId="77777777" w:rsidTr="009A4177">
        <w:trPr>
          <w:trHeight w:val="517"/>
          <w:tblHeader/>
        </w:trPr>
        <w:tc>
          <w:tcPr>
            <w:tcW w:w="1174" w:type="dxa"/>
            <w:vMerge/>
            <w:tcBorders>
              <w:top w:val="single" w:sz="4" w:space="0" w:color="17365D"/>
              <w:left w:val="nil"/>
              <w:bottom w:val="single" w:sz="4" w:space="0" w:color="auto"/>
              <w:right w:val="nil"/>
            </w:tcBorders>
            <w:vAlign w:val="center"/>
            <w:hideMark/>
          </w:tcPr>
          <w:p w14:paraId="3C95180A"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953" w:type="dxa"/>
            <w:vMerge/>
            <w:tcBorders>
              <w:top w:val="single" w:sz="4" w:space="0" w:color="17365D"/>
              <w:left w:val="nil"/>
              <w:bottom w:val="single" w:sz="4" w:space="0" w:color="auto"/>
              <w:right w:val="nil"/>
            </w:tcBorders>
            <w:vAlign w:val="center"/>
            <w:hideMark/>
          </w:tcPr>
          <w:p w14:paraId="3EC80E8D"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134" w:type="dxa"/>
            <w:gridSpan w:val="2"/>
            <w:vMerge/>
            <w:tcBorders>
              <w:top w:val="single" w:sz="4" w:space="0" w:color="17365D"/>
              <w:left w:val="nil"/>
              <w:bottom w:val="single" w:sz="4" w:space="0" w:color="auto"/>
              <w:right w:val="nil"/>
            </w:tcBorders>
            <w:vAlign w:val="center"/>
            <w:hideMark/>
          </w:tcPr>
          <w:p w14:paraId="1BE305AD"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134" w:type="dxa"/>
            <w:vMerge/>
            <w:tcBorders>
              <w:top w:val="single" w:sz="4" w:space="0" w:color="17365D"/>
              <w:left w:val="nil"/>
              <w:bottom w:val="single" w:sz="4" w:space="0" w:color="auto"/>
              <w:right w:val="nil"/>
            </w:tcBorders>
            <w:vAlign w:val="center"/>
            <w:hideMark/>
          </w:tcPr>
          <w:p w14:paraId="6F5D7824"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139" w:type="dxa"/>
            <w:gridSpan w:val="3"/>
            <w:vMerge/>
            <w:tcBorders>
              <w:top w:val="single" w:sz="4" w:space="0" w:color="17365D"/>
              <w:left w:val="nil"/>
              <w:bottom w:val="single" w:sz="4" w:space="0" w:color="auto"/>
              <w:right w:val="nil"/>
            </w:tcBorders>
            <w:vAlign w:val="center"/>
            <w:hideMark/>
          </w:tcPr>
          <w:p w14:paraId="6FD6E30E"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987" w:type="dxa"/>
            <w:gridSpan w:val="2"/>
            <w:vMerge/>
            <w:tcBorders>
              <w:top w:val="single" w:sz="4" w:space="0" w:color="17365D"/>
              <w:left w:val="nil"/>
              <w:bottom w:val="single" w:sz="4" w:space="0" w:color="auto"/>
              <w:right w:val="nil"/>
            </w:tcBorders>
            <w:vAlign w:val="center"/>
            <w:hideMark/>
          </w:tcPr>
          <w:p w14:paraId="21D1722B"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128" w:type="dxa"/>
            <w:gridSpan w:val="3"/>
            <w:vMerge/>
            <w:tcBorders>
              <w:top w:val="single" w:sz="4" w:space="0" w:color="17365D"/>
              <w:left w:val="nil"/>
              <w:bottom w:val="single" w:sz="4" w:space="0" w:color="auto"/>
              <w:right w:val="nil"/>
            </w:tcBorders>
            <w:vAlign w:val="center"/>
            <w:hideMark/>
          </w:tcPr>
          <w:p w14:paraId="7B15AC9E"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998" w:type="dxa"/>
            <w:gridSpan w:val="2"/>
            <w:vMerge/>
            <w:tcBorders>
              <w:top w:val="single" w:sz="4" w:space="0" w:color="17365D"/>
              <w:left w:val="nil"/>
              <w:bottom w:val="single" w:sz="4" w:space="0" w:color="auto"/>
              <w:right w:val="nil"/>
            </w:tcBorders>
            <w:vAlign w:val="center"/>
            <w:hideMark/>
          </w:tcPr>
          <w:p w14:paraId="098C10CE"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274" w:type="dxa"/>
            <w:gridSpan w:val="2"/>
            <w:vMerge/>
            <w:tcBorders>
              <w:top w:val="single" w:sz="4" w:space="0" w:color="17365D"/>
              <w:left w:val="nil"/>
              <w:bottom w:val="single" w:sz="4" w:space="0" w:color="auto"/>
              <w:right w:val="nil"/>
            </w:tcBorders>
            <w:vAlign w:val="center"/>
            <w:hideMark/>
          </w:tcPr>
          <w:p w14:paraId="5D6D556C"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r>
      <w:tr w:rsidR="007C5185" w:rsidRPr="00D921E0" w14:paraId="043D5E2A" w14:textId="77777777" w:rsidTr="008B42E4">
        <w:trPr>
          <w:trHeight w:val="270"/>
        </w:trPr>
        <w:tc>
          <w:tcPr>
            <w:tcW w:w="1174" w:type="dxa"/>
            <w:tcBorders>
              <w:top w:val="single" w:sz="4" w:space="0" w:color="auto"/>
              <w:left w:val="nil"/>
              <w:bottom w:val="single" w:sz="4" w:space="0" w:color="auto"/>
              <w:right w:val="nil"/>
            </w:tcBorders>
            <w:shd w:val="clear" w:color="auto" w:fill="auto"/>
            <w:vAlign w:val="center"/>
          </w:tcPr>
          <w:p w14:paraId="6C13F444" w14:textId="5EBC023F" w:rsidR="007C5185" w:rsidRPr="00D921E0" w:rsidRDefault="006B58FB" w:rsidP="006B58FB">
            <w:pPr>
              <w:spacing w:after="0" w:line="240" w:lineRule="auto"/>
              <w:ind w:left="-57" w:right="-57"/>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A</w:t>
            </w:r>
          </w:p>
        </w:tc>
        <w:tc>
          <w:tcPr>
            <w:tcW w:w="953" w:type="dxa"/>
            <w:tcBorders>
              <w:top w:val="single" w:sz="4" w:space="0" w:color="auto"/>
              <w:left w:val="nil"/>
              <w:bottom w:val="single" w:sz="4" w:space="0" w:color="auto"/>
              <w:right w:val="nil"/>
            </w:tcBorders>
            <w:shd w:val="clear" w:color="auto" w:fill="auto"/>
            <w:vAlign w:val="center"/>
          </w:tcPr>
          <w:p w14:paraId="548EB895" w14:textId="0D03AB8D" w:rsidR="007C5185" w:rsidRPr="00D921E0" w:rsidRDefault="006B58FB" w:rsidP="006B58FB">
            <w:pPr>
              <w:spacing w:after="0" w:line="240" w:lineRule="auto"/>
              <w:ind w:left="-113" w:right="-113"/>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1</w:t>
            </w:r>
          </w:p>
        </w:tc>
        <w:tc>
          <w:tcPr>
            <w:tcW w:w="1134" w:type="dxa"/>
            <w:gridSpan w:val="2"/>
            <w:tcBorders>
              <w:top w:val="single" w:sz="4" w:space="0" w:color="auto"/>
              <w:left w:val="nil"/>
              <w:bottom w:val="single" w:sz="4" w:space="0" w:color="auto"/>
              <w:right w:val="nil"/>
            </w:tcBorders>
            <w:shd w:val="clear" w:color="auto" w:fill="auto"/>
            <w:vAlign w:val="center"/>
          </w:tcPr>
          <w:p w14:paraId="024C0AEB" w14:textId="14FE51DC" w:rsidR="007C5185" w:rsidRPr="00D921E0" w:rsidRDefault="006B58FB" w:rsidP="006B58FB">
            <w:pPr>
              <w:spacing w:after="0" w:line="240" w:lineRule="auto"/>
              <w:ind w:left="-113" w:right="-113"/>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2</w:t>
            </w:r>
          </w:p>
        </w:tc>
        <w:tc>
          <w:tcPr>
            <w:tcW w:w="1134" w:type="dxa"/>
            <w:tcBorders>
              <w:top w:val="single" w:sz="4" w:space="0" w:color="auto"/>
              <w:left w:val="nil"/>
              <w:bottom w:val="single" w:sz="4" w:space="0" w:color="auto"/>
              <w:right w:val="nil"/>
            </w:tcBorders>
            <w:shd w:val="clear" w:color="auto" w:fill="auto"/>
            <w:vAlign w:val="center"/>
          </w:tcPr>
          <w:p w14:paraId="3A4B843B" w14:textId="0798613F" w:rsidR="007C5185" w:rsidRPr="00D921E0" w:rsidRDefault="006B58FB" w:rsidP="006B58FB">
            <w:pPr>
              <w:spacing w:after="0" w:line="240" w:lineRule="auto"/>
              <w:ind w:left="-57" w:right="-113"/>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3</w:t>
            </w:r>
          </w:p>
        </w:tc>
        <w:tc>
          <w:tcPr>
            <w:tcW w:w="1139" w:type="dxa"/>
            <w:gridSpan w:val="3"/>
            <w:tcBorders>
              <w:top w:val="single" w:sz="4" w:space="0" w:color="auto"/>
              <w:left w:val="nil"/>
              <w:bottom w:val="single" w:sz="4" w:space="0" w:color="auto"/>
              <w:right w:val="nil"/>
            </w:tcBorders>
            <w:shd w:val="clear" w:color="auto" w:fill="auto"/>
            <w:vAlign w:val="center"/>
          </w:tcPr>
          <w:p w14:paraId="7E1CA160" w14:textId="2EEC1283" w:rsidR="007C5185" w:rsidRPr="00D921E0" w:rsidRDefault="006B58FB" w:rsidP="006B58FB">
            <w:pPr>
              <w:spacing w:after="0" w:line="240" w:lineRule="auto"/>
              <w:ind w:left="-57" w:right="-57"/>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4</w:t>
            </w:r>
          </w:p>
        </w:tc>
        <w:tc>
          <w:tcPr>
            <w:tcW w:w="987" w:type="dxa"/>
            <w:gridSpan w:val="2"/>
            <w:tcBorders>
              <w:top w:val="single" w:sz="4" w:space="0" w:color="auto"/>
              <w:left w:val="nil"/>
              <w:bottom w:val="single" w:sz="4" w:space="0" w:color="auto"/>
              <w:right w:val="nil"/>
            </w:tcBorders>
            <w:shd w:val="clear" w:color="auto" w:fill="auto"/>
            <w:vAlign w:val="center"/>
          </w:tcPr>
          <w:p w14:paraId="2B67DDD5" w14:textId="3E81F9C4" w:rsidR="007C5185" w:rsidRPr="00D921E0" w:rsidRDefault="006B58FB" w:rsidP="006B58FB">
            <w:pPr>
              <w:spacing w:after="0" w:line="240" w:lineRule="auto"/>
              <w:ind w:left="-57" w:right="-57"/>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5</w:t>
            </w:r>
          </w:p>
        </w:tc>
        <w:tc>
          <w:tcPr>
            <w:tcW w:w="1128" w:type="dxa"/>
            <w:gridSpan w:val="3"/>
            <w:tcBorders>
              <w:top w:val="single" w:sz="4" w:space="0" w:color="auto"/>
              <w:left w:val="nil"/>
              <w:bottom w:val="single" w:sz="4" w:space="0" w:color="auto"/>
              <w:right w:val="nil"/>
            </w:tcBorders>
            <w:shd w:val="clear" w:color="auto" w:fill="auto"/>
            <w:vAlign w:val="center"/>
          </w:tcPr>
          <w:p w14:paraId="4AB5F4E4" w14:textId="135558BD" w:rsidR="007C5185" w:rsidRPr="00D921E0" w:rsidRDefault="006B58FB" w:rsidP="006B58FB">
            <w:pPr>
              <w:spacing w:after="0" w:line="240" w:lineRule="auto"/>
              <w:ind w:left="-57" w:right="-57"/>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6</w:t>
            </w:r>
          </w:p>
        </w:tc>
        <w:tc>
          <w:tcPr>
            <w:tcW w:w="998" w:type="dxa"/>
            <w:gridSpan w:val="2"/>
            <w:tcBorders>
              <w:top w:val="single" w:sz="4" w:space="0" w:color="auto"/>
              <w:left w:val="nil"/>
              <w:bottom w:val="single" w:sz="4" w:space="0" w:color="auto"/>
              <w:right w:val="nil"/>
            </w:tcBorders>
            <w:shd w:val="clear" w:color="auto" w:fill="auto"/>
            <w:vAlign w:val="center"/>
          </w:tcPr>
          <w:p w14:paraId="4180B7BA" w14:textId="0AF756CB" w:rsidR="007C5185" w:rsidRPr="00D921E0" w:rsidRDefault="006B58FB" w:rsidP="006B58FB">
            <w:pPr>
              <w:spacing w:after="0" w:line="240" w:lineRule="auto"/>
              <w:ind w:left="-57" w:right="-57"/>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7</w:t>
            </w:r>
          </w:p>
        </w:tc>
        <w:tc>
          <w:tcPr>
            <w:tcW w:w="1274" w:type="dxa"/>
            <w:gridSpan w:val="2"/>
            <w:tcBorders>
              <w:top w:val="single" w:sz="4" w:space="0" w:color="auto"/>
              <w:left w:val="nil"/>
              <w:bottom w:val="single" w:sz="4" w:space="0" w:color="auto"/>
              <w:right w:val="nil"/>
            </w:tcBorders>
            <w:shd w:val="clear" w:color="auto" w:fill="auto"/>
            <w:vAlign w:val="center"/>
          </w:tcPr>
          <w:p w14:paraId="02153FCD" w14:textId="686C0E10" w:rsidR="007C5185" w:rsidRPr="00D921E0" w:rsidRDefault="006B58FB" w:rsidP="006B58FB">
            <w:pPr>
              <w:spacing w:after="0" w:line="240" w:lineRule="auto"/>
              <w:ind w:left="-57" w:right="-57" w:hanging="16"/>
              <w:jc w:val="center"/>
              <w:rPr>
                <w:rFonts w:eastAsia="Times New Roman" w:cs="Times New Roman"/>
                <w:b/>
                <w:color w:val="17365D"/>
                <w:sz w:val="17"/>
                <w:szCs w:val="17"/>
                <w:lang w:eastAsia="lv-LV"/>
              </w:rPr>
            </w:pPr>
            <w:r>
              <w:rPr>
                <w:rFonts w:eastAsia="Times New Roman" w:cs="Times New Roman"/>
                <w:b/>
                <w:color w:val="17365D"/>
                <w:sz w:val="17"/>
                <w:szCs w:val="17"/>
                <w:lang w:eastAsia="lv-LV"/>
              </w:rPr>
              <w:t>8</w:t>
            </w:r>
          </w:p>
        </w:tc>
      </w:tr>
      <w:tr w:rsidR="006B58FB" w:rsidRPr="00D921E0" w14:paraId="07BA5E27" w14:textId="77777777" w:rsidTr="008B42E4">
        <w:trPr>
          <w:trHeight w:val="270"/>
        </w:trPr>
        <w:tc>
          <w:tcPr>
            <w:tcW w:w="1174" w:type="dxa"/>
            <w:tcBorders>
              <w:top w:val="single" w:sz="4" w:space="0" w:color="auto"/>
              <w:left w:val="nil"/>
              <w:bottom w:val="single" w:sz="4" w:space="0" w:color="auto"/>
              <w:right w:val="nil"/>
            </w:tcBorders>
            <w:shd w:val="clear" w:color="auto" w:fill="auto"/>
            <w:vAlign w:val="center"/>
          </w:tcPr>
          <w:p w14:paraId="7A0844CA" w14:textId="4923E44E" w:rsidR="006B58FB" w:rsidRPr="00EC7F5A" w:rsidRDefault="006B58FB" w:rsidP="006B58FB">
            <w:pPr>
              <w:spacing w:after="0" w:line="240" w:lineRule="auto"/>
              <w:ind w:left="-57" w:right="-57"/>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Finanšu saistības</w:t>
            </w:r>
          </w:p>
        </w:tc>
        <w:tc>
          <w:tcPr>
            <w:tcW w:w="953" w:type="dxa"/>
            <w:tcBorders>
              <w:top w:val="single" w:sz="4" w:space="0" w:color="auto"/>
              <w:left w:val="nil"/>
              <w:bottom w:val="single" w:sz="4" w:space="0" w:color="auto"/>
              <w:right w:val="nil"/>
            </w:tcBorders>
            <w:shd w:val="clear" w:color="auto" w:fill="auto"/>
            <w:vAlign w:val="center"/>
          </w:tcPr>
          <w:p w14:paraId="2A4400DB" w14:textId="00FA69CB" w:rsidR="006B58FB" w:rsidRPr="00EC7F5A" w:rsidRDefault="006B58FB" w:rsidP="006B58FB">
            <w:pPr>
              <w:spacing w:after="0" w:line="240" w:lineRule="auto"/>
              <w:ind w:left="-113" w:right="-113"/>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2 814 003 505</w:t>
            </w:r>
          </w:p>
        </w:tc>
        <w:tc>
          <w:tcPr>
            <w:tcW w:w="1134" w:type="dxa"/>
            <w:gridSpan w:val="2"/>
            <w:tcBorders>
              <w:top w:val="single" w:sz="4" w:space="0" w:color="auto"/>
              <w:left w:val="nil"/>
              <w:bottom w:val="single" w:sz="4" w:space="0" w:color="auto"/>
              <w:right w:val="nil"/>
            </w:tcBorders>
            <w:shd w:val="clear" w:color="auto" w:fill="auto"/>
            <w:vAlign w:val="center"/>
          </w:tcPr>
          <w:p w14:paraId="0DE1949F" w14:textId="21B941FA" w:rsidR="006B58FB" w:rsidRPr="00EC7F5A" w:rsidRDefault="006B58FB" w:rsidP="006B58FB">
            <w:pPr>
              <w:spacing w:after="0" w:line="240" w:lineRule="auto"/>
              <w:ind w:left="-113" w:right="-113"/>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11 686 746 765</w:t>
            </w:r>
          </w:p>
        </w:tc>
        <w:tc>
          <w:tcPr>
            <w:tcW w:w="1134" w:type="dxa"/>
            <w:tcBorders>
              <w:top w:val="single" w:sz="4" w:space="0" w:color="auto"/>
              <w:left w:val="nil"/>
              <w:bottom w:val="single" w:sz="4" w:space="0" w:color="auto"/>
              <w:right w:val="nil"/>
            </w:tcBorders>
            <w:shd w:val="clear" w:color="auto" w:fill="auto"/>
            <w:vAlign w:val="center"/>
          </w:tcPr>
          <w:p w14:paraId="220F610B" w14:textId="5B24D442" w:rsidR="006B58FB" w:rsidRPr="00EC7F5A" w:rsidRDefault="006B58FB" w:rsidP="006B58FB">
            <w:pPr>
              <w:spacing w:after="0" w:line="240" w:lineRule="auto"/>
              <w:ind w:left="-57" w:right="-113"/>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11 308 743 697</w:t>
            </w:r>
          </w:p>
        </w:tc>
        <w:tc>
          <w:tcPr>
            <w:tcW w:w="1276" w:type="dxa"/>
            <w:gridSpan w:val="4"/>
            <w:tcBorders>
              <w:top w:val="single" w:sz="4" w:space="0" w:color="auto"/>
              <w:left w:val="nil"/>
              <w:bottom w:val="single" w:sz="4" w:space="0" w:color="auto"/>
              <w:right w:val="nil"/>
            </w:tcBorders>
            <w:shd w:val="clear" w:color="auto" w:fill="auto"/>
            <w:vAlign w:val="center"/>
          </w:tcPr>
          <w:p w14:paraId="430AAF33" w14:textId="2EEFD569" w:rsidR="006B58FB" w:rsidRPr="00EC7F5A" w:rsidRDefault="006B58FB" w:rsidP="00EC7F5A">
            <w:pPr>
              <w:spacing w:after="0" w:line="240" w:lineRule="auto"/>
              <w:ind w:left="-57" w:right="-113"/>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25 809 493 967</w:t>
            </w:r>
          </w:p>
        </w:tc>
        <w:tc>
          <w:tcPr>
            <w:tcW w:w="987" w:type="dxa"/>
            <w:gridSpan w:val="2"/>
            <w:tcBorders>
              <w:top w:val="single" w:sz="4" w:space="0" w:color="auto"/>
              <w:left w:val="nil"/>
              <w:bottom w:val="single" w:sz="4" w:space="0" w:color="auto"/>
              <w:right w:val="nil"/>
            </w:tcBorders>
            <w:shd w:val="clear" w:color="auto" w:fill="auto"/>
            <w:vAlign w:val="center"/>
          </w:tcPr>
          <w:p w14:paraId="0BF006F4" w14:textId="41DAEED1" w:rsidR="006B58FB" w:rsidRPr="00EC7F5A" w:rsidRDefault="006B58FB" w:rsidP="00EC7F5A">
            <w:pPr>
              <w:spacing w:after="0" w:line="240" w:lineRule="auto"/>
              <w:ind w:left="-57" w:right="-113"/>
              <w:jc w:val="right"/>
              <w:rPr>
                <w:rFonts w:cs="Times New Roman"/>
                <w:b/>
                <w:bCs/>
                <w:color w:val="17365D"/>
                <w:sz w:val="16"/>
                <w:szCs w:val="16"/>
              </w:rPr>
            </w:pPr>
            <w:r w:rsidRPr="00EC7F5A">
              <w:rPr>
                <w:rFonts w:cs="Times New Roman"/>
                <w:b/>
                <w:bCs/>
                <w:color w:val="17365D"/>
                <w:sz w:val="16"/>
                <w:szCs w:val="16"/>
              </w:rPr>
              <w:t>2 301 857 873</w:t>
            </w:r>
          </w:p>
        </w:tc>
        <w:tc>
          <w:tcPr>
            <w:tcW w:w="1128" w:type="dxa"/>
            <w:gridSpan w:val="3"/>
            <w:tcBorders>
              <w:top w:val="single" w:sz="4" w:space="0" w:color="auto"/>
              <w:left w:val="nil"/>
              <w:bottom w:val="single" w:sz="4" w:space="0" w:color="auto"/>
              <w:right w:val="nil"/>
            </w:tcBorders>
            <w:shd w:val="clear" w:color="auto" w:fill="auto"/>
            <w:vAlign w:val="center"/>
          </w:tcPr>
          <w:p w14:paraId="124786CD" w14:textId="0708A152" w:rsidR="006B58FB" w:rsidRPr="00EC7F5A" w:rsidRDefault="006B58FB" w:rsidP="00EC7F5A">
            <w:pPr>
              <w:spacing w:after="0" w:line="240" w:lineRule="auto"/>
              <w:ind w:left="-57" w:right="-113"/>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12 042 081 796</w:t>
            </w:r>
          </w:p>
        </w:tc>
        <w:tc>
          <w:tcPr>
            <w:tcW w:w="998" w:type="dxa"/>
            <w:gridSpan w:val="2"/>
            <w:tcBorders>
              <w:top w:val="single" w:sz="4" w:space="0" w:color="auto"/>
              <w:left w:val="nil"/>
              <w:bottom w:val="single" w:sz="4" w:space="0" w:color="auto"/>
              <w:right w:val="nil"/>
            </w:tcBorders>
            <w:shd w:val="clear" w:color="auto" w:fill="auto"/>
            <w:vAlign w:val="center"/>
          </w:tcPr>
          <w:p w14:paraId="5D0B16E0" w14:textId="71216EA6" w:rsidR="006B58FB" w:rsidRPr="00EC7F5A" w:rsidRDefault="006B58FB" w:rsidP="00EC7F5A">
            <w:pPr>
              <w:spacing w:after="0" w:line="240" w:lineRule="auto"/>
              <w:ind w:left="-57" w:right="-113"/>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9 669 241 985</w:t>
            </w:r>
          </w:p>
        </w:tc>
        <w:tc>
          <w:tcPr>
            <w:tcW w:w="1137" w:type="dxa"/>
            <w:tcBorders>
              <w:top w:val="single" w:sz="4" w:space="0" w:color="auto"/>
              <w:left w:val="nil"/>
              <w:bottom w:val="single" w:sz="4" w:space="0" w:color="auto"/>
              <w:right w:val="nil"/>
            </w:tcBorders>
            <w:shd w:val="clear" w:color="auto" w:fill="auto"/>
            <w:vAlign w:val="center"/>
          </w:tcPr>
          <w:p w14:paraId="0D797641" w14:textId="2A9EC86C" w:rsidR="006B58FB" w:rsidRPr="00EC7F5A" w:rsidRDefault="006B58FB" w:rsidP="00EC7F5A">
            <w:pPr>
              <w:spacing w:after="0" w:line="240" w:lineRule="auto"/>
              <w:ind w:left="-57" w:right="-113" w:hanging="16"/>
              <w:jc w:val="right"/>
              <w:rPr>
                <w:rFonts w:eastAsia="Times New Roman" w:cs="Times New Roman"/>
                <w:b/>
                <w:color w:val="17365D"/>
                <w:sz w:val="16"/>
                <w:szCs w:val="16"/>
                <w:lang w:eastAsia="lv-LV"/>
              </w:rPr>
            </w:pPr>
            <w:r w:rsidRPr="00EC7F5A">
              <w:rPr>
                <w:rFonts w:eastAsia="Times New Roman" w:cs="Times New Roman"/>
                <w:b/>
                <w:color w:val="17365D"/>
                <w:sz w:val="16"/>
                <w:szCs w:val="16"/>
                <w:lang w:eastAsia="lv-LV"/>
              </w:rPr>
              <w:t>24 013 181 654</w:t>
            </w:r>
          </w:p>
        </w:tc>
      </w:tr>
      <w:tr w:rsidR="006B58FB" w:rsidRPr="00D921E0" w14:paraId="1EEF001E" w14:textId="77777777" w:rsidTr="008B42E4">
        <w:trPr>
          <w:trHeight w:val="395"/>
        </w:trPr>
        <w:tc>
          <w:tcPr>
            <w:tcW w:w="1174" w:type="dxa"/>
            <w:tcBorders>
              <w:top w:val="single" w:sz="4" w:space="0" w:color="auto"/>
              <w:left w:val="nil"/>
              <w:bottom w:val="single" w:sz="4" w:space="0" w:color="auto"/>
              <w:right w:val="nil"/>
            </w:tcBorders>
            <w:shd w:val="clear" w:color="auto" w:fill="auto"/>
            <w:vAlign w:val="center"/>
            <w:hideMark/>
          </w:tcPr>
          <w:p w14:paraId="415217B3" w14:textId="77777777" w:rsidR="006B58FB" w:rsidRPr="00EC7F5A" w:rsidRDefault="006B58FB" w:rsidP="006B58FB">
            <w:pPr>
              <w:spacing w:after="0" w:line="240" w:lineRule="auto"/>
              <w:ind w:left="-57"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Neatvasinātās finanšu saistības</w:t>
            </w:r>
          </w:p>
        </w:tc>
        <w:tc>
          <w:tcPr>
            <w:tcW w:w="953" w:type="dxa"/>
            <w:tcBorders>
              <w:top w:val="single" w:sz="4" w:space="0" w:color="auto"/>
              <w:left w:val="nil"/>
              <w:bottom w:val="single" w:sz="4" w:space="0" w:color="auto"/>
              <w:right w:val="nil"/>
            </w:tcBorders>
            <w:shd w:val="clear" w:color="auto" w:fill="auto"/>
            <w:vAlign w:val="center"/>
            <w:hideMark/>
          </w:tcPr>
          <w:p w14:paraId="0563FF78" w14:textId="634D9185"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2 798 043 505</w:t>
            </w:r>
          </w:p>
        </w:tc>
        <w:tc>
          <w:tcPr>
            <w:tcW w:w="1134" w:type="dxa"/>
            <w:gridSpan w:val="2"/>
            <w:tcBorders>
              <w:top w:val="single" w:sz="4" w:space="0" w:color="auto"/>
              <w:left w:val="nil"/>
              <w:bottom w:val="single" w:sz="4" w:space="0" w:color="auto"/>
              <w:right w:val="nil"/>
            </w:tcBorders>
            <w:shd w:val="clear" w:color="auto" w:fill="auto"/>
            <w:vAlign w:val="center"/>
            <w:hideMark/>
          </w:tcPr>
          <w:p w14:paraId="684C53CA" w14:textId="3F20AB62"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11 646 846 765</w:t>
            </w:r>
          </w:p>
        </w:tc>
        <w:tc>
          <w:tcPr>
            <w:tcW w:w="1134" w:type="dxa"/>
            <w:tcBorders>
              <w:top w:val="single" w:sz="4" w:space="0" w:color="auto"/>
              <w:left w:val="nil"/>
              <w:bottom w:val="single" w:sz="4" w:space="0" w:color="auto"/>
              <w:right w:val="nil"/>
            </w:tcBorders>
            <w:shd w:val="clear" w:color="auto" w:fill="auto"/>
            <w:vAlign w:val="center"/>
            <w:hideMark/>
          </w:tcPr>
          <w:p w14:paraId="53376B3C" w14:textId="4F3CDE81" w:rsidR="006B58FB" w:rsidRPr="00EC7F5A" w:rsidRDefault="006B58FB" w:rsidP="006B58FB">
            <w:pPr>
              <w:spacing w:after="0" w:line="240" w:lineRule="auto"/>
              <w:ind w:left="-57" w:right="-113"/>
              <w:jc w:val="right"/>
              <w:rPr>
                <w:rFonts w:cs="Times New Roman"/>
                <w:color w:val="17365D"/>
                <w:sz w:val="16"/>
                <w:szCs w:val="16"/>
              </w:rPr>
            </w:pPr>
            <w:r w:rsidRPr="00EC7F5A">
              <w:rPr>
                <w:rFonts w:cs="Times New Roman"/>
                <w:color w:val="17365D"/>
                <w:sz w:val="16"/>
                <w:szCs w:val="16"/>
              </w:rPr>
              <w:t>11 308 743 697</w:t>
            </w:r>
          </w:p>
        </w:tc>
        <w:tc>
          <w:tcPr>
            <w:tcW w:w="1276" w:type="dxa"/>
            <w:gridSpan w:val="4"/>
            <w:tcBorders>
              <w:top w:val="single" w:sz="4" w:space="0" w:color="auto"/>
              <w:left w:val="nil"/>
              <w:bottom w:val="single" w:sz="4" w:space="0" w:color="auto"/>
              <w:right w:val="nil"/>
            </w:tcBorders>
            <w:shd w:val="clear" w:color="auto" w:fill="auto"/>
            <w:vAlign w:val="center"/>
            <w:hideMark/>
          </w:tcPr>
          <w:p w14:paraId="1019CA7F" w14:textId="083F8DD4" w:rsidR="006B58FB" w:rsidRPr="00EC7F5A" w:rsidRDefault="006B58FB" w:rsidP="006B58FB">
            <w:pPr>
              <w:spacing w:after="0" w:line="240" w:lineRule="auto"/>
              <w:ind w:left="-57" w:right="-113"/>
              <w:jc w:val="right"/>
              <w:rPr>
                <w:rFonts w:cs="Times New Roman"/>
                <w:color w:val="17365D"/>
                <w:sz w:val="16"/>
                <w:szCs w:val="16"/>
              </w:rPr>
            </w:pPr>
            <w:r w:rsidRPr="00EC7F5A">
              <w:rPr>
                <w:rFonts w:cs="Times New Roman"/>
                <w:color w:val="17365D"/>
                <w:sz w:val="16"/>
                <w:szCs w:val="16"/>
              </w:rPr>
              <w:t>25 753 633 967</w:t>
            </w:r>
          </w:p>
        </w:tc>
        <w:tc>
          <w:tcPr>
            <w:tcW w:w="987" w:type="dxa"/>
            <w:gridSpan w:val="2"/>
            <w:tcBorders>
              <w:top w:val="single" w:sz="4" w:space="0" w:color="auto"/>
              <w:left w:val="nil"/>
              <w:bottom w:val="single" w:sz="4" w:space="0" w:color="auto"/>
              <w:right w:val="nil"/>
            </w:tcBorders>
            <w:shd w:val="clear" w:color="auto" w:fill="auto"/>
            <w:vAlign w:val="center"/>
            <w:hideMark/>
          </w:tcPr>
          <w:p w14:paraId="487A1A9D" w14:textId="2E496719" w:rsidR="006B58FB" w:rsidRPr="00EC7F5A" w:rsidRDefault="006B58FB" w:rsidP="006B58FB">
            <w:pPr>
              <w:spacing w:after="0" w:line="240" w:lineRule="auto"/>
              <w:ind w:left="-57" w:right="-113"/>
              <w:jc w:val="right"/>
              <w:rPr>
                <w:rFonts w:cs="Times New Roman"/>
                <w:color w:val="17365D"/>
                <w:sz w:val="16"/>
                <w:szCs w:val="16"/>
              </w:rPr>
            </w:pPr>
            <w:r w:rsidRPr="00EC7F5A">
              <w:rPr>
                <w:rFonts w:cs="Times New Roman"/>
                <w:color w:val="17365D"/>
                <w:sz w:val="16"/>
                <w:szCs w:val="16"/>
              </w:rPr>
              <w:t>2 285 897 873</w:t>
            </w:r>
          </w:p>
        </w:tc>
        <w:tc>
          <w:tcPr>
            <w:tcW w:w="1128" w:type="dxa"/>
            <w:gridSpan w:val="3"/>
            <w:tcBorders>
              <w:top w:val="single" w:sz="4" w:space="0" w:color="auto"/>
              <w:left w:val="nil"/>
              <w:bottom w:val="single" w:sz="4" w:space="0" w:color="auto"/>
              <w:right w:val="nil"/>
            </w:tcBorders>
            <w:shd w:val="clear" w:color="auto" w:fill="auto"/>
            <w:vAlign w:val="center"/>
            <w:hideMark/>
          </w:tcPr>
          <w:p w14:paraId="0F5BE6E2" w14:textId="48128ACE" w:rsidR="006B58FB" w:rsidRPr="00EC7F5A" w:rsidRDefault="006B58FB" w:rsidP="006B58FB">
            <w:pPr>
              <w:spacing w:after="0" w:line="240" w:lineRule="auto"/>
              <w:ind w:left="-57" w:right="-113"/>
              <w:jc w:val="right"/>
              <w:rPr>
                <w:rFonts w:cs="Times New Roman"/>
                <w:color w:val="17365D"/>
                <w:sz w:val="16"/>
                <w:szCs w:val="16"/>
              </w:rPr>
            </w:pPr>
            <w:r w:rsidRPr="00EC7F5A">
              <w:rPr>
                <w:rFonts w:cs="Times New Roman"/>
                <w:color w:val="17365D"/>
                <w:sz w:val="16"/>
                <w:szCs w:val="16"/>
              </w:rPr>
              <w:t>11 986 221 796</w:t>
            </w:r>
          </w:p>
        </w:tc>
        <w:tc>
          <w:tcPr>
            <w:tcW w:w="998" w:type="dxa"/>
            <w:gridSpan w:val="2"/>
            <w:tcBorders>
              <w:top w:val="single" w:sz="4" w:space="0" w:color="auto"/>
              <w:left w:val="nil"/>
              <w:bottom w:val="single" w:sz="4" w:space="0" w:color="auto"/>
              <w:right w:val="nil"/>
            </w:tcBorders>
            <w:shd w:val="clear" w:color="auto" w:fill="auto"/>
            <w:vAlign w:val="center"/>
            <w:hideMark/>
          </w:tcPr>
          <w:p w14:paraId="53B52A84" w14:textId="31B80851" w:rsidR="006B58FB" w:rsidRPr="00EC7F5A" w:rsidRDefault="006B58FB" w:rsidP="006B58FB">
            <w:pPr>
              <w:spacing w:after="0" w:line="240" w:lineRule="auto"/>
              <w:ind w:left="-57" w:right="-113"/>
              <w:jc w:val="right"/>
              <w:rPr>
                <w:rFonts w:cs="Times New Roman"/>
                <w:color w:val="17365D"/>
                <w:sz w:val="16"/>
                <w:szCs w:val="16"/>
              </w:rPr>
            </w:pPr>
            <w:r w:rsidRPr="00EC7F5A">
              <w:rPr>
                <w:rFonts w:cs="Times New Roman"/>
                <w:color w:val="17365D"/>
                <w:sz w:val="16"/>
                <w:szCs w:val="16"/>
              </w:rPr>
              <w:t>9 669 241 985</w:t>
            </w:r>
          </w:p>
        </w:tc>
        <w:tc>
          <w:tcPr>
            <w:tcW w:w="1137" w:type="dxa"/>
            <w:tcBorders>
              <w:top w:val="single" w:sz="4" w:space="0" w:color="auto"/>
              <w:left w:val="nil"/>
              <w:bottom w:val="single" w:sz="4" w:space="0" w:color="auto"/>
              <w:right w:val="nil"/>
            </w:tcBorders>
            <w:shd w:val="clear" w:color="auto" w:fill="auto"/>
            <w:vAlign w:val="center"/>
            <w:hideMark/>
          </w:tcPr>
          <w:p w14:paraId="682CEF8E" w14:textId="06B503AD" w:rsidR="006B58FB" w:rsidRPr="00EC7F5A" w:rsidRDefault="006B58FB" w:rsidP="006B58FB">
            <w:pPr>
              <w:spacing w:after="0" w:line="240" w:lineRule="auto"/>
              <w:ind w:left="-113" w:right="-102"/>
              <w:jc w:val="right"/>
              <w:rPr>
                <w:rFonts w:cs="Times New Roman"/>
                <w:color w:val="17365D"/>
                <w:sz w:val="16"/>
                <w:szCs w:val="16"/>
              </w:rPr>
            </w:pPr>
            <w:r w:rsidRPr="00EC7F5A">
              <w:rPr>
                <w:rFonts w:cs="Times New Roman"/>
                <w:color w:val="17365D"/>
                <w:sz w:val="16"/>
                <w:szCs w:val="16"/>
              </w:rPr>
              <w:t>23 941 361 654</w:t>
            </w:r>
          </w:p>
        </w:tc>
      </w:tr>
      <w:tr w:rsidR="006B58FB" w:rsidRPr="00D921E0" w14:paraId="1BA96192" w14:textId="77777777" w:rsidTr="008B42E4">
        <w:trPr>
          <w:trHeight w:val="270"/>
        </w:trPr>
        <w:tc>
          <w:tcPr>
            <w:tcW w:w="1174" w:type="dxa"/>
            <w:tcBorders>
              <w:top w:val="single" w:sz="4" w:space="0" w:color="auto"/>
              <w:left w:val="nil"/>
              <w:bottom w:val="single" w:sz="4" w:space="0" w:color="auto"/>
              <w:right w:val="nil"/>
            </w:tcBorders>
            <w:shd w:val="clear" w:color="auto" w:fill="auto"/>
            <w:vAlign w:val="center"/>
          </w:tcPr>
          <w:p w14:paraId="4D883CD0" w14:textId="7EB29AB9" w:rsidR="006B58FB" w:rsidRPr="00EC7F5A" w:rsidRDefault="006B58FB" w:rsidP="006B58FB">
            <w:pPr>
              <w:spacing w:after="0" w:line="240" w:lineRule="auto"/>
              <w:ind w:left="33"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Emitētie vērtspapīri</w:t>
            </w:r>
          </w:p>
        </w:tc>
        <w:tc>
          <w:tcPr>
            <w:tcW w:w="953" w:type="dxa"/>
            <w:tcBorders>
              <w:top w:val="single" w:sz="4" w:space="0" w:color="auto"/>
              <w:left w:val="nil"/>
              <w:bottom w:val="single" w:sz="4" w:space="0" w:color="auto"/>
              <w:right w:val="nil"/>
            </w:tcBorders>
            <w:shd w:val="clear" w:color="auto" w:fill="auto"/>
            <w:vAlign w:val="center"/>
          </w:tcPr>
          <w:p w14:paraId="7E91E5B4" w14:textId="557A5C61"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1 613 235 147</w:t>
            </w:r>
          </w:p>
        </w:tc>
        <w:tc>
          <w:tcPr>
            <w:tcW w:w="1134" w:type="dxa"/>
            <w:gridSpan w:val="2"/>
            <w:tcBorders>
              <w:top w:val="single" w:sz="4" w:space="0" w:color="auto"/>
              <w:left w:val="nil"/>
              <w:bottom w:val="single" w:sz="4" w:space="0" w:color="auto"/>
              <w:right w:val="nil"/>
            </w:tcBorders>
            <w:shd w:val="clear" w:color="auto" w:fill="auto"/>
            <w:vAlign w:val="center"/>
          </w:tcPr>
          <w:p w14:paraId="3E262B0B" w14:textId="1CD836C0"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9 429 080 680</w:t>
            </w:r>
          </w:p>
        </w:tc>
        <w:tc>
          <w:tcPr>
            <w:tcW w:w="1134" w:type="dxa"/>
            <w:tcBorders>
              <w:top w:val="single" w:sz="4" w:space="0" w:color="auto"/>
              <w:left w:val="nil"/>
              <w:bottom w:val="single" w:sz="4" w:space="0" w:color="auto"/>
              <w:right w:val="nil"/>
            </w:tcBorders>
            <w:shd w:val="clear" w:color="auto" w:fill="auto"/>
            <w:vAlign w:val="center"/>
          </w:tcPr>
          <w:p w14:paraId="594E1A30" w14:textId="30EADBAD"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8 433 289 868</w:t>
            </w:r>
          </w:p>
        </w:tc>
        <w:tc>
          <w:tcPr>
            <w:tcW w:w="1276" w:type="dxa"/>
            <w:gridSpan w:val="4"/>
            <w:tcBorders>
              <w:top w:val="single" w:sz="4" w:space="0" w:color="auto"/>
              <w:left w:val="nil"/>
              <w:bottom w:val="single" w:sz="4" w:space="0" w:color="auto"/>
              <w:right w:val="nil"/>
            </w:tcBorders>
            <w:shd w:val="clear" w:color="auto" w:fill="auto"/>
            <w:vAlign w:val="center"/>
          </w:tcPr>
          <w:p w14:paraId="244F916F" w14:textId="668302FA"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19 475 605 695</w:t>
            </w:r>
          </w:p>
        </w:tc>
        <w:tc>
          <w:tcPr>
            <w:tcW w:w="987" w:type="dxa"/>
            <w:gridSpan w:val="2"/>
            <w:tcBorders>
              <w:top w:val="single" w:sz="4" w:space="0" w:color="auto"/>
              <w:left w:val="nil"/>
              <w:bottom w:val="single" w:sz="4" w:space="0" w:color="auto"/>
              <w:right w:val="nil"/>
            </w:tcBorders>
            <w:shd w:val="clear" w:color="auto" w:fill="auto"/>
            <w:vAlign w:val="center"/>
          </w:tcPr>
          <w:p w14:paraId="1B8B1BAE" w14:textId="28953C34"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1 779 482 451</w:t>
            </w:r>
          </w:p>
        </w:tc>
        <w:tc>
          <w:tcPr>
            <w:tcW w:w="1128" w:type="dxa"/>
            <w:gridSpan w:val="3"/>
            <w:tcBorders>
              <w:top w:val="single" w:sz="4" w:space="0" w:color="auto"/>
              <w:left w:val="nil"/>
              <w:bottom w:val="single" w:sz="4" w:space="0" w:color="auto"/>
              <w:right w:val="nil"/>
            </w:tcBorders>
            <w:shd w:val="clear" w:color="auto" w:fill="auto"/>
            <w:vAlign w:val="center"/>
          </w:tcPr>
          <w:p w14:paraId="42B19935" w14:textId="5044C9EF"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9 310 154 849</w:t>
            </w:r>
          </w:p>
        </w:tc>
        <w:tc>
          <w:tcPr>
            <w:tcW w:w="998" w:type="dxa"/>
            <w:gridSpan w:val="2"/>
            <w:tcBorders>
              <w:top w:val="single" w:sz="4" w:space="0" w:color="auto"/>
              <w:left w:val="nil"/>
              <w:bottom w:val="single" w:sz="4" w:space="0" w:color="auto"/>
              <w:right w:val="nil"/>
            </w:tcBorders>
            <w:shd w:val="clear" w:color="auto" w:fill="auto"/>
            <w:vAlign w:val="center"/>
          </w:tcPr>
          <w:p w14:paraId="324F6C88" w14:textId="7A03F1FC"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6 740 343 346</w:t>
            </w:r>
          </w:p>
        </w:tc>
        <w:tc>
          <w:tcPr>
            <w:tcW w:w="1137" w:type="dxa"/>
            <w:tcBorders>
              <w:top w:val="single" w:sz="4" w:space="0" w:color="auto"/>
              <w:left w:val="nil"/>
              <w:bottom w:val="single" w:sz="4" w:space="0" w:color="auto"/>
              <w:right w:val="nil"/>
            </w:tcBorders>
            <w:shd w:val="clear" w:color="auto" w:fill="auto"/>
            <w:vAlign w:val="center"/>
          </w:tcPr>
          <w:p w14:paraId="2C0374ED" w14:textId="0B831CA3" w:rsidR="006B58FB" w:rsidRPr="00EC7F5A" w:rsidRDefault="006B58FB" w:rsidP="006B58FB">
            <w:pPr>
              <w:spacing w:after="0" w:line="240" w:lineRule="auto"/>
              <w:ind w:left="-113" w:right="-102"/>
              <w:jc w:val="right"/>
              <w:rPr>
                <w:rFonts w:cs="Times New Roman"/>
                <w:color w:val="17365D"/>
                <w:sz w:val="16"/>
                <w:szCs w:val="16"/>
              </w:rPr>
            </w:pPr>
            <w:r w:rsidRPr="00EC7F5A">
              <w:rPr>
                <w:rFonts w:cs="Times New Roman"/>
                <w:color w:val="17365D"/>
                <w:sz w:val="16"/>
                <w:szCs w:val="16"/>
              </w:rPr>
              <w:t>17 829 980 646</w:t>
            </w:r>
          </w:p>
        </w:tc>
      </w:tr>
      <w:tr w:rsidR="006B58FB" w:rsidRPr="00D921E0" w14:paraId="4DAB3F80" w14:textId="77777777" w:rsidTr="008B42E4">
        <w:trPr>
          <w:trHeight w:val="270"/>
        </w:trPr>
        <w:tc>
          <w:tcPr>
            <w:tcW w:w="1174" w:type="dxa"/>
            <w:tcBorders>
              <w:top w:val="single" w:sz="4" w:space="0" w:color="auto"/>
              <w:left w:val="nil"/>
              <w:bottom w:val="single" w:sz="4" w:space="0" w:color="auto"/>
              <w:right w:val="nil"/>
            </w:tcBorders>
            <w:shd w:val="clear" w:color="auto" w:fill="auto"/>
            <w:vAlign w:val="center"/>
            <w:hideMark/>
          </w:tcPr>
          <w:p w14:paraId="51E43718" w14:textId="77777777" w:rsidR="006B58FB" w:rsidRPr="00EC7F5A" w:rsidRDefault="006B58FB" w:rsidP="006B58FB">
            <w:pPr>
              <w:spacing w:after="0" w:line="240" w:lineRule="auto"/>
              <w:ind w:left="33"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Aizņēmumi</w:t>
            </w:r>
          </w:p>
        </w:tc>
        <w:tc>
          <w:tcPr>
            <w:tcW w:w="953" w:type="dxa"/>
            <w:tcBorders>
              <w:top w:val="single" w:sz="4" w:space="0" w:color="auto"/>
              <w:left w:val="nil"/>
              <w:bottom w:val="single" w:sz="4" w:space="0" w:color="auto"/>
              <w:right w:val="nil"/>
            </w:tcBorders>
            <w:shd w:val="clear" w:color="auto" w:fill="auto"/>
            <w:vAlign w:val="center"/>
            <w:hideMark/>
          </w:tcPr>
          <w:p w14:paraId="3B227666" w14:textId="34D88A46"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620 860 794</w:t>
            </w:r>
          </w:p>
        </w:tc>
        <w:tc>
          <w:tcPr>
            <w:tcW w:w="1134" w:type="dxa"/>
            <w:gridSpan w:val="2"/>
            <w:tcBorders>
              <w:top w:val="single" w:sz="4" w:space="0" w:color="auto"/>
              <w:left w:val="nil"/>
              <w:bottom w:val="single" w:sz="4" w:space="0" w:color="auto"/>
              <w:right w:val="nil"/>
            </w:tcBorders>
            <w:shd w:val="clear" w:color="auto" w:fill="auto"/>
            <w:vAlign w:val="center"/>
            <w:hideMark/>
          </w:tcPr>
          <w:p w14:paraId="3425095D" w14:textId="3AFD8244"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1 090 154 867</w:t>
            </w:r>
          </w:p>
        </w:tc>
        <w:tc>
          <w:tcPr>
            <w:tcW w:w="1134" w:type="dxa"/>
            <w:tcBorders>
              <w:top w:val="single" w:sz="4" w:space="0" w:color="auto"/>
              <w:left w:val="nil"/>
              <w:bottom w:val="single" w:sz="4" w:space="0" w:color="auto"/>
              <w:right w:val="nil"/>
            </w:tcBorders>
            <w:shd w:val="clear" w:color="auto" w:fill="auto"/>
            <w:vAlign w:val="center"/>
            <w:hideMark/>
          </w:tcPr>
          <w:p w14:paraId="0BE4F441" w14:textId="54916AB9"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1 954 361 444</w:t>
            </w:r>
          </w:p>
        </w:tc>
        <w:tc>
          <w:tcPr>
            <w:tcW w:w="1276" w:type="dxa"/>
            <w:gridSpan w:val="4"/>
            <w:tcBorders>
              <w:top w:val="single" w:sz="4" w:space="0" w:color="auto"/>
              <w:left w:val="nil"/>
              <w:bottom w:val="single" w:sz="4" w:space="0" w:color="auto"/>
              <w:right w:val="nil"/>
            </w:tcBorders>
            <w:shd w:val="clear" w:color="auto" w:fill="auto"/>
            <w:vAlign w:val="center"/>
            <w:hideMark/>
          </w:tcPr>
          <w:p w14:paraId="697B0F51" w14:textId="548B105C"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3 665 377 105</w:t>
            </w:r>
          </w:p>
        </w:tc>
        <w:tc>
          <w:tcPr>
            <w:tcW w:w="987" w:type="dxa"/>
            <w:gridSpan w:val="2"/>
            <w:tcBorders>
              <w:top w:val="single" w:sz="4" w:space="0" w:color="auto"/>
              <w:left w:val="nil"/>
              <w:bottom w:val="single" w:sz="4" w:space="0" w:color="auto"/>
              <w:right w:val="nil"/>
            </w:tcBorders>
            <w:shd w:val="clear" w:color="auto" w:fill="auto"/>
            <w:vAlign w:val="center"/>
            <w:hideMark/>
          </w:tcPr>
          <w:p w14:paraId="31078EFD" w14:textId="662909A9"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427 612 531</w:t>
            </w:r>
          </w:p>
        </w:tc>
        <w:tc>
          <w:tcPr>
            <w:tcW w:w="1128" w:type="dxa"/>
            <w:gridSpan w:val="3"/>
            <w:tcBorders>
              <w:top w:val="single" w:sz="4" w:space="0" w:color="auto"/>
              <w:left w:val="nil"/>
              <w:bottom w:val="single" w:sz="4" w:space="0" w:color="auto"/>
              <w:right w:val="nil"/>
            </w:tcBorders>
            <w:shd w:val="clear" w:color="auto" w:fill="auto"/>
            <w:vAlign w:val="center"/>
            <w:hideMark/>
          </w:tcPr>
          <w:p w14:paraId="0A053D5B" w14:textId="60E2FB64"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1 499 817 469</w:t>
            </w:r>
          </w:p>
        </w:tc>
        <w:tc>
          <w:tcPr>
            <w:tcW w:w="998" w:type="dxa"/>
            <w:gridSpan w:val="2"/>
            <w:tcBorders>
              <w:top w:val="single" w:sz="4" w:space="0" w:color="auto"/>
              <w:left w:val="nil"/>
              <w:bottom w:val="single" w:sz="4" w:space="0" w:color="auto"/>
              <w:right w:val="nil"/>
            </w:tcBorders>
            <w:shd w:val="clear" w:color="auto" w:fill="auto"/>
            <w:vAlign w:val="center"/>
            <w:hideMark/>
          </w:tcPr>
          <w:p w14:paraId="060F7D71" w14:textId="02ECB81B"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2 015 693 446</w:t>
            </w:r>
          </w:p>
        </w:tc>
        <w:tc>
          <w:tcPr>
            <w:tcW w:w="1137" w:type="dxa"/>
            <w:tcBorders>
              <w:top w:val="single" w:sz="4" w:space="0" w:color="auto"/>
              <w:left w:val="nil"/>
              <w:bottom w:val="single" w:sz="4" w:space="0" w:color="auto"/>
              <w:right w:val="nil"/>
            </w:tcBorders>
            <w:shd w:val="clear" w:color="auto" w:fill="auto"/>
            <w:vAlign w:val="center"/>
            <w:hideMark/>
          </w:tcPr>
          <w:p w14:paraId="1B4C0011" w14:textId="41C339A5" w:rsidR="006B58FB" w:rsidRPr="00EC7F5A" w:rsidRDefault="006B58FB" w:rsidP="006B58FB">
            <w:pPr>
              <w:spacing w:after="0" w:line="240" w:lineRule="auto"/>
              <w:ind w:left="-113" w:right="-102"/>
              <w:jc w:val="right"/>
              <w:rPr>
                <w:rFonts w:cs="Times New Roman"/>
                <w:color w:val="17365D"/>
                <w:sz w:val="16"/>
                <w:szCs w:val="16"/>
              </w:rPr>
            </w:pPr>
            <w:r w:rsidRPr="00EC7F5A">
              <w:rPr>
                <w:rFonts w:cs="Times New Roman"/>
                <w:color w:val="17365D"/>
                <w:sz w:val="16"/>
                <w:szCs w:val="16"/>
              </w:rPr>
              <w:t>3 943 123 446</w:t>
            </w:r>
          </w:p>
        </w:tc>
      </w:tr>
      <w:tr w:rsidR="006B58FB" w:rsidRPr="00D921E0" w14:paraId="778F7948" w14:textId="77777777" w:rsidTr="008B42E4">
        <w:trPr>
          <w:trHeight w:val="355"/>
        </w:trPr>
        <w:tc>
          <w:tcPr>
            <w:tcW w:w="1174" w:type="dxa"/>
            <w:tcBorders>
              <w:top w:val="single" w:sz="4" w:space="0" w:color="auto"/>
              <w:left w:val="nil"/>
              <w:bottom w:val="single" w:sz="4" w:space="0" w:color="auto"/>
              <w:right w:val="nil"/>
            </w:tcBorders>
            <w:shd w:val="clear" w:color="auto" w:fill="auto"/>
            <w:vAlign w:val="center"/>
          </w:tcPr>
          <w:p w14:paraId="5662DF71" w14:textId="685F03A6" w:rsidR="006B58FB" w:rsidRPr="00EC7F5A" w:rsidRDefault="006B58FB" w:rsidP="006B58FB">
            <w:pPr>
              <w:spacing w:after="0" w:line="240" w:lineRule="auto"/>
              <w:ind w:left="33"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Pieņemtie noguldījumi</w:t>
            </w:r>
          </w:p>
        </w:tc>
        <w:tc>
          <w:tcPr>
            <w:tcW w:w="953" w:type="dxa"/>
            <w:tcBorders>
              <w:top w:val="single" w:sz="4" w:space="0" w:color="auto"/>
              <w:left w:val="nil"/>
              <w:bottom w:val="single" w:sz="4" w:space="0" w:color="auto"/>
              <w:right w:val="nil"/>
            </w:tcBorders>
            <w:shd w:val="clear" w:color="auto" w:fill="auto"/>
            <w:vAlign w:val="center"/>
          </w:tcPr>
          <w:p w14:paraId="2A22D4BC" w14:textId="5744C3B7"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545 214 782</w:t>
            </w:r>
          </w:p>
        </w:tc>
        <w:tc>
          <w:tcPr>
            <w:tcW w:w="1134" w:type="dxa"/>
            <w:gridSpan w:val="2"/>
            <w:tcBorders>
              <w:top w:val="single" w:sz="4" w:space="0" w:color="auto"/>
              <w:left w:val="nil"/>
              <w:bottom w:val="single" w:sz="4" w:space="0" w:color="auto"/>
              <w:right w:val="nil"/>
            </w:tcBorders>
            <w:shd w:val="clear" w:color="auto" w:fill="auto"/>
            <w:vAlign w:val="center"/>
          </w:tcPr>
          <w:p w14:paraId="1547EC3E" w14:textId="38382E4A"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1 104 631 267</w:t>
            </w:r>
          </w:p>
        </w:tc>
        <w:tc>
          <w:tcPr>
            <w:tcW w:w="1134" w:type="dxa"/>
            <w:tcBorders>
              <w:top w:val="single" w:sz="4" w:space="0" w:color="auto"/>
              <w:left w:val="nil"/>
              <w:bottom w:val="single" w:sz="4" w:space="0" w:color="auto"/>
              <w:right w:val="nil"/>
            </w:tcBorders>
            <w:shd w:val="clear" w:color="auto" w:fill="auto"/>
            <w:vAlign w:val="center"/>
          </w:tcPr>
          <w:p w14:paraId="033EC5FE" w14:textId="716D0ECA"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0</w:t>
            </w:r>
          </w:p>
        </w:tc>
        <w:tc>
          <w:tcPr>
            <w:tcW w:w="1276" w:type="dxa"/>
            <w:gridSpan w:val="4"/>
            <w:tcBorders>
              <w:top w:val="single" w:sz="4" w:space="0" w:color="auto"/>
              <w:left w:val="nil"/>
              <w:bottom w:val="single" w:sz="4" w:space="0" w:color="auto"/>
              <w:right w:val="nil"/>
            </w:tcBorders>
            <w:shd w:val="clear" w:color="auto" w:fill="auto"/>
            <w:vAlign w:val="center"/>
          </w:tcPr>
          <w:p w14:paraId="1A3E4EFB" w14:textId="67D0751A"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1 649 846 049</w:t>
            </w:r>
          </w:p>
        </w:tc>
        <w:tc>
          <w:tcPr>
            <w:tcW w:w="987" w:type="dxa"/>
            <w:gridSpan w:val="2"/>
            <w:tcBorders>
              <w:top w:val="single" w:sz="4" w:space="0" w:color="auto"/>
              <w:left w:val="nil"/>
              <w:bottom w:val="single" w:sz="4" w:space="0" w:color="auto"/>
              <w:right w:val="nil"/>
            </w:tcBorders>
            <w:shd w:val="clear" w:color="auto" w:fill="auto"/>
            <w:vAlign w:val="center"/>
          </w:tcPr>
          <w:p w14:paraId="6368C561" w14:textId="2459D6BD"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50 645 199</w:t>
            </w:r>
          </w:p>
        </w:tc>
        <w:tc>
          <w:tcPr>
            <w:tcW w:w="1128" w:type="dxa"/>
            <w:gridSpan w:val="3"/>
            <w:tcBorders>
              <w:top w:val="single" w:sz="4" w:space="0" w:color="auto"/>
              <w:left w:val="nil"/>
              <w:bottom w:val="single" w:sz="4" w:space="0" w:color="auto"/>
              <w:right w:val="nil"/>
            </w:tcBorders>
            <w:shd w:val="clear" w:color="auto" w:fill="auto"/>
            <w:vAlign w:val="center"/>
          </w:tcPr>
          <w:p w14:paraId="4569150C" w14:textId="1C88C928"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1 127 755 067</w:t>
            </w:r>
          </w:p>
        </w:tc>
        <w:tc>
          <w:tcPr>
            <w:tcW w:w="998" w:type="dxa"/>
            <w:gridSpan w:val="2"/>
            <w:tcBorders>
              <w:top w:val="single" w:sz="4" w:space="0" w:color="auto"/>
              <w:left w:val="nil"/>
              <w:bottom w:val="single" w:sz="4" w:space="0" w:color="auto"/>
              <w:right w:val="nil"/>
            </w:tcBorders>
            <w:shd w:val="clear" w:color="auto" w:fill="auto"/>
            <w:vAlign w:val="center"/>
          </w:tcPr>
          <w:p w14:paraId="6B593C08" w14:textId="1697E527"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0</w:t>
            </w:r>
          </w:p>
        </w:tc>
        <w:tc>
          <w:tcPr>
            <w:tcW w:w="1137" w:type="dxa"/>
            <w:tcBorders>
              <w:top w:val="single" w:sz="4" w:space="0" w:color="auto"/>
              <w:left w:val="nil"/>
              <w:bottom w:val="single" w:sz="4" w:space="0" w:color="auto"/>
              <w:right w:val="nil"/>
            </w:tcBorders>
            <w:shd w:val="clear" w:color="auto" w:fill="auto"/>
            <w:vAlign w:val="center"/>
          </w:tcPr>
          <w:p w14:paraId="5960F478" w14:textId="713BF08E" w:rsidR="006B58FB" w:rsidRPr="00EC7F5A" w:rsidRDefault="006B58FB" w:rsidP="006B58FB">
            <w:pPr>
              <w:spacing w:after="0" w:line="240" w:lineRule="auto"/>
              <w:ind w:left="-113" w:right="-102"/>
              <w:jc w:val="right"/>
              <w:rPr>
                <w:rFonts w:cs="Times New Roman"/>
                <w:color w:val="17365D"/>
                <w:sz w:val="16"/>
                <w:szCs w:val="16"/>
              </w:rPr>
            </w:pPr>
            <w:r w:rsidRPr="00EC7F5A">
              <w:rPr>
                <w:rFonts w:cs="Times New Roman"/>
                <w:color w:val="17365D"/>
                <w:sz w:val="16"/>
                <w:szCs w:val="16"/>
              </w:rPr>
              <w:t>1 178 400 266</w:t>
            </w:r>
          </w:p>
        </w:tc>
      </w:tr>
      <w:tr w:rsidR="006B58FB" w:rsidRPr="00D921E0" w14:paraId="230D3953" w14:textId="77777777" w:rsidTr="008B42E4">
        <w:trPr>
          <w:trHeight w:val="262"/>
        </w:trPr>
        <w:tc>
          <w:tcPr>
            <w:tcW w:w="1174" w:type="dxa"/>
            <w:tcBorders>
              <w:top w:val="single" w:sz="4" w:space="0" w:color="auto"/>
              <w:left w:val="nil"/>
              <w:bottom w:val="single" w:sz="4" w:space="0" w:color="auto"/>
              <w:right w:val="nil"/>
            </w:tcBorders>
            <w:shd w:val="clear" w:color="auto" w:fill="auto"/>
            <w:vAlign w:val="center"/>
            <w:hideMark/>
          </w:tcPr>
          <w:p w14:paraId="3DAFFB99" w14:textId="77777777" w:rsidR="006B58FB" w:rsidRPr="00EC7F5A" w:rsidRDefault="006B58FB" w:rsidP="006B58FB">
            <w:pPr>
              <w:spacing w:after="0" w:line="240" w:lineRule="auto"/>
              <w:ind w:left="33"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Pārējie finanšu instrumenti</w:t>
            </w:r>
          </w:p>
        </w:tc>
        <w:tc>
          <w:tcPr>
            <w:tcW w:w="953" w:type="dxa"/>
            <w:tcBorders>
              <w:top w:val="single" w:sz="4" w:space="0" w:color="auto"/>
              <w:left w:val="nil"/>
              <w:bottom w:val="single" w:sz="4" w:space="0" w:color="auto"/>
              <w:right w:val="nil"/>
            </w:tcBorders>
            <w:shd w:val="clear" w:color="auto" w:fill="auto"/>
            <w:vAlign w:val="center"/>
            <w:hideMark/>
          </w:tcPr>
          <w:p w14:paraId="2353FE37" w14:textId="42CD7022"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18 732 782</w:t>
            </w:r>
          </w:p>
        </w:tc>
        <w:tc>
          <w:tcPr>
            <w:tcW w:w="1134" w:type="dxa"/>
            <w:gridSpan w:val="2"/>
            <w:tcBorders>
              <w:top w:val="single" w:sz="4" w:space="0" w:color="auto"/>
              <w:left w:val="nil"/>
              <w:bottom w:val="single" w:sz="4" w:space="0" w:color="auto"/>
              <w:right w:val="nil"/>
            </w:tcBorders>
            <w:shd w:val="clear" w:color="auto" w:fill="auto"/>
            <w:vAlign w:val="center"/>
            <w:hideMark/>
          </w:tcPr>
          <w:p w14:paraId="684C5174" w14:textId="4A091D65"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22 979 951</w:t>
            </w:r>
          </w:p>
        </w:tc>
        <w:tc>
          <w:tcPr>
            <w:tcW w:w="1134" w:type="dxa"/>
            <w:tcBorders>
              <w:top w:val="single" w:sz="4" w:space="0" w:color="auto"/>
              <w:left w:val="nil"/>
              <w:bottom w:val="single" w:sz="4" w:space="0" w:color="auto"/>
              <w:right w:val="nil"/>
            </w:tcBorders>
            <w:shd w:val="clear" w:color="auto" w:fill="auto"/>
            <w:vAlign w:val="center"/>
            <w:hideMark/>
          </w:tcPr>
          <w:p w14:paraId="52DDC84D" w14:textId="19EB6817"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921 092 385</w:t>
            </w:r>
          </w:p>
        </w:tc>
        <w:tc>
          <w:tcPr>
            <w:tcW w:w="1276" w:type="dxa"/>
            <w:gridSpan w:val="4"/>
            <w:tcBorders>
              <w:top w:val="single" w:sz="4" w:space="0" w:color="auto"/>
              <w:left w:val="nil"/>
              <w:bottom w:val="single" w:sz="4" w:space="0" w:color="auto"/>
              <w:right w:val="nil"/>
            </w:tcBorders>
            <w:shd w:val="clear" w:color="auto" w:fill="auto"/>
            <w:vAlign w:val="center"/>
            <w:hideMark/>
          </w:tcPr>
          <w:p w14:paraId="215A00CD" w14:textId="14F960F9"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962 805 118</w:t>
            </w:r>
          </w:p>
        </w:tc>
        <w:tc>
          <w:tcPr>
            <w:tcW w:w="987" w:type="dxa"/>
            <w:gridSpan w:val="2"/>
            <w:tcBorders>
              <w:top w:val="single" w:sz="4" w:space="0" w:color="auto"/>
              <w:left w:val="nil"/>
              <w:bottom w:val="single" w:sz="4" w:space="0" w:color="auto"/>
              <w:right w:val="nil"/>
            </w:tcBorders>
            <w:shd w:val="clear" w:color="auto" w:fill="auto"/>
            <w:vAlign w:val="center"/>
            <w:hideMark/>
          </w:tcPr>
          <w:p w14:paraId="14DD6F40" w14:textId="1F3D39AF"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28 157 692</w:t>
            </w:r>
          </w:p>
        </w:tc>
        <w:tc>
          <w:tcPr>
            <w:tcW w:w="1128" w:type="dxa"/>
            <w:gridSpan w:val="3"/>
            <w:tcBorders>
              <w:top w:val="single" w:sz="4" w:space="0" w:color="auto"/>
              <w:left w:val="nil"/>
              <w:bottom w:val="single" w:sz="4" w:space="0" w:color="auto"/>
              <w:right w:val="nil"/>
            </w:tcBorders>
            <w:shd w:val="clear" w:color="auto" w:fill="auto"/>
            <w:vAlign w:val="center"/>
            <w:hideMark/>
          </w:tcPr>
          <w:p w14:paraId="0E019543" w14:textId="03C37927"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48 494 411</w:t>
            </w:r>
          </w:p>
        </w:tc>
        <w:tc>
          <w:tcPr>
            <w:tcW w:w="998" w:type="dxa"/>
            <w:gridSpan w:val="2"/>
            <w:tcBorders>
              <w:top w:val="single" w:sz="4" w:space="0" w:color="auto"/>
              <w:left w:val="nil"/>
              <w:bottom w:val="single" w:sz="4" w:space="0" w:color="auto"/>
              <w:right w:val="nil"/>
            </w:tcBorders>
            <w:shd w:val="clear" w:color="auto" w:fill="auto"/>
            <w:vAlign w:val="center"/>
            <w:hideMark/>
          </w:tcPr>
          <w:p w14:paraId="6DC7E8DA" w14:textId="3D9DC840"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913 205 193</w:t>
            </w:r>
          </w:p>
        </w:tc>
        <w:tc>
          <w:tcPr>
            <w:tcW w:w="1137" w:type="dxa"/>
            <w:tcBorders>
              <w:top w:val="single" w:sz="4" w:space="0" w:color="auto"/>
              <w:left w:val="nil"/>
              <w:bottom w:val="single" w:sz="4" w:space="0" w:color="auto"/>
              <w:right w:val="nil"/>
            </w:tcBorders>
            <w:shd w:val="clear" w:color="auto" w:fill="auto"/>
            <w:vAlign w:val="center"/>
            <w:hideMark/>
          </w:tcPr>
          <w:p w14:paraId="293CF845" w14:textId="5DA6CC18" w:rsidR="006B58FB" w:rsidRPr="00EC7F5A" w:rsidRDefault="006B58FB" w:rsidP="006B58FB">
            <w:pPr>
              <w:spacing w:after="0" w:line="240" w:lineRule="auto"/>
              <w:ind w:left="-113" w:right="-102"/>
              <w:jc w:val="right"/>
              <w:rPr>
                <w:rFonts w:cs="Times New Roman"/>
                <w:color w:val="17365D"/>
                <w:sz w:val="16"/>
                <w:szCs w:val="16"/>
              </w:rPr>
            </w:pPr>
            <w:r w:rsidRPr="00EC7F5A">
              <w:rPr>
                <w:rFonts w:cs="Times New Roman"/>
                <w:color w:val="17365D"/>
                <w:sz w:val="16"/>
                <w:szCs w:val="16"/>
              </w:rPr>
              <w:t>989 857 296</w:t>
            </w:r>
          </w:p>
        </w:tc>
      </w:tr>
      <w:tr w:rsidR="006B58FB" w:rsidRPr="00D921E0" w14:paraId="2154F897" w14:textId="77777777" w:rsidTr="008B42E4">
        <w:trPr>
          <w:trHeight w:val="323"/>
        </w:trPr>
        <w:tc>
          <w:tcPr>
            <w:tcW w:w="1174" w:type="dxa"/>
            <w:tcBorders>
              <w:top w:val="single" w:sz="4" w:space="0" w:color="auto"/>
              <w:left w:val="nil"/>
              <w:bottom w:val="single" w:sz="4" w:space="0" w:color="auto"/>
              <w:right w:val="nil"/>
            </w:tcBorders>
            <w:shd w:val="clear" w:color="auto" w:fill="auto"/>
            <w:vAlign w:val="center"/>
            <w:hideMark/>
          </w:tcPr>
          <w:p w14:paraId="4D5CD8DA" w14:textId="77777777" w:rsidR="006B58FB" w:rsidRPr="00EC7F5A" w:rsidRDefault="006B58FB" w:rsidP="006B58FB">
            <w:pPr>
              <w:spacing w:after="0" w:line="240" w:lineRule="auto"/>
              <w:ind w:left="-57"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Atvasinātās finanšu saistības</w:t>
            </w:r>
          </w:p>
        </w:tc>
        <w:tc>
          <w:tcPr>
            <w:tcW w:w="953" w:type="dxa"/>
            <w:tcBorders>
              <w:top w:val="single" w:sz="4" w:space="0" w:color="auto"/>
              <w:left w:val="nil"/>
              <w:bottom w:val="single" w:sz="4" w:space="0" w:color="auto"/>
              <w:right w:val="nil"/>
            </w:tcBorders>
            <w:shd w:val="clear" w:color="auto" w:fill="auto"/>
            <w:vAlign w:val="center"/>
            <w:hideMark/>
          </w:tcPr>
          <w:p w14:paraId="7DF809C5" w14:textId="43040553"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15 960 000</w:t>
            </w:r>
          </w:p>
        </w:tc>
        <w:tc>
          <w:tcPr>
            <w:tcW w:w="1134" w:type="dxa"/>
            <w:gridSpan w:val="2"/>
            <w:tcBorders>
              <w:top w:val="single" w:sz="4" w:space="0" w:color="auto"/>
              <w:left w:val="nil"/>
              <w:bottom w:val="single" w:sz="4" w:space="0" w:color="auto"/>
              <w:right w:val="nil"/>
            </w:tcBorders>
            <w:shd w:val="clear" w:color="auto" w:fill="auto"/>
            <w:vAlign w:val="center"/>
            <w:hideMark/>
          </w:tcPr>
          <w:p w14:paraId="2F9BBDF5" w14:textId="07AC35F2"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39 900 000</w:t>
            </w:r>
          </w:p>
        </w:tc>
        <w:tc>
          <w:tcPr>
            <w:tcW w:w="1134" w:type="dxa"/>
            <w:tcBorders>
              <w:top w:val="single" w:sz="4" w:space="0" w:color="auto"/>
              <w:left w:val="nil"/>
              <w:bottom w:val="single" w:sz="4" w:space="0" w:color="auto"/>
              <w:right w:val="nil"/>
            </w:tcBorders>
            <w:shd w:val="clear" w:color="auto" w:fill="auto"/>
            <w:vAlign w:val="center"/>
            <w:hideMark/>
          </w:tcPr>
          <w:p w14:paraId="04D32F5B" w14:textId="7547E19A"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0</w:t>
            </w:r>
          </w:p>
        </w:tc>
        <w:tc>
          <w:tcPr>
            <w:tcW w:w="1276" w:type="dxa"/>
            <w:gridSpan w:val="4"/>
            <w:tcBorders>
              <w:top w:val="single" w:sz="4" w:space="0" w:color="auto"/>
              <w:left w:val="nil"/>
              <w:bottom w:val="single" w:sz="4" w:space="0" w:color="auto"/>
              <w:right w:val="nil"/>
            </w:tcBorders>
            <w:shd w:val="clear" w:color="auto" w:fill="auto"/>
            <w:vAlign w:val="center"/>
            <w:hideMark/>
          </w:tcPr>
          <w:p w14:paraId="34CC773F" w14:textId="53E11C85"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55 860 000</w:t>
            </w:r>
          </w:p>
        </w:tc>
        <w:tc>
          <w:tcPr>
            <w:tcW w:w="987" w:type="dxa"/>
            <w:gridSpan w:val="2"/>
            <w:tcBorders>
              <w:top w:val="single" w:sz="4" w:space="0" w:color="auto"/>
              <w:left w:val="nil"/>
              <w:bottom w:val="single" w:sz="4" w:space="0" w:color="auto"/>
              <w:right w:val="nil"/>
            </w:tcBorders>
            <w:shd w:val="clear" w:color="auto" w:fill="auto"/>
            <w:vAlign w:val="center"/>
            <w:hideMark/>
          </w:tcPr>
          <w:p w14:paraId="230786C7" w14:textId="4912E64B"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15 960 000</w:t>
            </w:r>
          </w:p>
        </w:tc>
        <w:tc>
          <w:tcPr>
            <w:tcW w:w="1128" w:type="dxa"/>
            <w:gridSpan w:val="3"/>
            <w:tcBorders>
              <w:top w:val="single" w:sz="4" w:space="0" w:color="auto"/>
              <w:left w:val="nil"/>
              <w:bottom w:val="single" w:sz="4" w:space="0" w:color="auto"/>
              <w:right w:val="nil"/>
            </w:tcBorders>
            <w:shd w:val="clear" w:color="auto" w:fill="auto"/>
            <w:vAlign w:val="center"/>
            <w:hideMark/>
          </w:tcPr>
          <w:p w14:paraId="72CA406E" w14:textId="730A583B"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55 860 000</w:t>
            </w:r>
          </w:p>
        </w:tc>
        <w:tc>
          <w:tcPr>
            <w:tcW w:w="998" w:type="dxa"/>
            <w:gridSpan w:val="2"/>
            <w:tcBorders>
              <w:top w:val="single" w:sz="4" w:space="0" w:color="auto"/>
              <w:left w:val="nil"/>
              <w:bottom w:val="single" w:sz="4" w:space="0" w:color="auto"/>
              <w:right w:val="nil"/>
            </w:tcBorders>
            <w:shd w:val="clear" w:color="auto" w:fill="auto"/>
            <w:vAlign w:val="center"/>
            <w:hideMark/>
          </w:tcPr>
          <w:p w14:paraId="5416A862" w14:textId="4DB97619" w:rsidR="006B58FB" w:rsidRPr="00EC7F5A" w:rsidRDefault="006B58FB" w:rsidP="006B58FB">
            <w:pPr>
              <w:spacing w:after="0" w:line="240" w:lineRule="auto"/>
              <w:ind w:left="-113" w:right="-113"/>
              <w:jc w:val="right"/>
              <w:rPr>
                <w:rFonts w:cs="Times New Roman"/>
                <w:color w:val="17365D"/>
                <w:sz w:val="16"/>
                <w:szCs w:val="16"/>
              </w:rPr>
            </w:pPr>
            <w:r w:rsidRPr="00EC7F5A">
              <w:rPr>
                <w:rFonts w:cs="Times New Roman"/>
                <w:color w:val="17365D"/>
                <w:sz w:val="16"/>
                <w:szCs w:val="16"/>
              </w:rPr>
              <w:t>0</w:t>
            </w:r>
          </w:p>
        </w:tc>
        <w:tc>
          <w:tcPr>
            <w:tcW w:w="1137" w:type="dxa"/>
            <w:tcBorders>
              <w:top w:val="single" w:sz="4" w:space="0" w:color="auto"/>
              <w:left w:val="nil"/>
              <w:bottom w:val="single" w:sz="4" w:space="0" w:color="auto"/>
              <w:right w:val="nil"/>
            </w:tcBorders>
            <w:shd w:val="clear" w:color="auto" w:fill="auto"/>
            <w:vAlign w:val="center"/>
            <w:hideMark/>
          </w:tcPr>
          <w:p w14:paraId="04468B27" w14:textId="6703E50E" w:rsidR="006B58FB" w:rsidRPr="00EC7F5A" w:rsidRDefault="006B58FB" w:rsidP="006B58FB">
            <w:pPr>
              <w:spacing w:after="0" w:line="240" w:lineRule="auto"/>
              <w:ind w:left="-113" w:right="-102"/>
              <w:jc w:val="right"/>
              <w:rPr>
                <w:rFonts w:cs="Times New Roman"/>
                <w:color w:val="17365D"/>
                <w:sz w:val="16"/>
                <w:szCs w:val="16"/>
              </w:rPr>
            </w:pPr>
            <w:r w:rsidRPr="00EC7F5A">
              <w:rPr>
                <w:rFonts w:cs="Times New Roman"/>
                <w:color w:val="17365D"/>
                <w:sz w:val="16"/>
                <w:szCs w:val="16"/>
              </w:rPr>
              <w:t>71 820 000</w:t>
            </w:r>
          </w:p>
        </w:tc>
      </w:tr>
      <w:tr w:rsidR="006B58FB" w:rsidRPr="00D921E0" w14:paraId="25E15467" w14:textId="77777777" w:rsidTr="008B42E4">
        <w:trPr>
          <w:trHeight w:val="495"/>
        </w:trPr>
        <w:tc>
          <w:tcPr>
            <w:tcW w:w="1174" w:type="dxa"/>
            <w:tcBorders>
              <w:top w:val="single" w:sz="4" w:space="0" w:color="auto"/>
              <w:left w:val="nil"/>
              <w:bottom w:val="single" w:sz="4" w:space="0" w:color="auto"/>
              <w:right w:val="nil"/>
            </w:tcBorders>
            <w:shd w:val="clear" w:color="auto" w:fill="auto"/>
            <w:vAlign w:val="center"/>
            <w:hideMark/>
          </w:tcPr>
          <w:p w14:paraId="53D16CC8" w14:textId="77777777" w:rsidR="006B58FB" w:rsidRPr="00EC7F5A" w:rsidRDefault="006B58FB" w:rsidP="006B58FB">
            <w:pPr>
              <w:spacing w:after="0" w:line="240" w:lineRule="auto"/>
              <w:ind w:left="33" w:right="-57"/>
              <w:rPr>
                <w:rFonts w:eastAsia="Times New Roman" w:cs="Times New Roman"/>
                <w:color w:val="17365D"/>
                <w:sz w:val="16"/>
                <w:szCs w:val="16"/>
                <w:lang w:eastAsia="lv-LV"/>
              </w:rPr>
            </w:pPr>
            <w:r w:rsidRPr="00EC7F5A">
              <w:rPr>
                <w:rFonts w:eastAsia="Times New Roman" w:cs="Times New Roman"/>
                <w:color w:val="17365D"/>
                <w:sz w:val="16"/>
                <w:szCs w:val="16"/>
                <w:lang w:eastAsia="lv-LV"/>
              </w:rPr>
              <w:t>Atvasinātie finanšu instrumenti</w:t>
            </w:r>
          </w:p>
        </w:tc>
        <w:tc>
          <w:tcPr>
            <w:tcW w:w="953" w:type="dxa"/>
            <w:tcBorders>
              <w:top w:val="single" w:sz="4" w:space="0" w:color="auto"/>
              <w:left w:val="nil"/>
              <w:bottom w:val="single" w:sz="4" w:space="0" w:color="auto"/>
              <w:right w:val="nil"/>
            </w:tcBorders>
            <w:shd w:val="clear" w:color="auto" w:fill="auto"/>
            <w:vAlign w:val="center"/>
            <w:hideMark/>
          </w:tcPr>
          <w:p w14:paraId="244709C7" w14:textId="4761AD79"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15 960 000</w:t>
            </w:r>
          </w:p>
        </w:tc>
        <w:tc>
          <w:tcPr>
            <w:tcW w:w="1134" w:type="dxa"/>
            <w:gridSpan w:val="2"/>
            <w:tcBorders>
              <w:top w:val="single" w:sz="4" w:space="0" w:color="auto"/>
              <w:left w:val="nil"/>
              <w:bottom w:val="single" w:sz="4" w:space="0" w:color="auto"/>
              <w:right w:val="nil"/>
            </w:tcBorders>
            <w:shd w:val="clear" w:color="auto" w:fill="auto"/>
            <w:vAlign w:val="center"/>
            <w:hideMark/>
          </w:tcPr>
          <w:p w14:paraId="544ED7F5" w14:textId="4A0CE84C"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39 900 000</w:t>
            </w:r>
          </w:p>
        </w:tc>
        <w:tc>
          <w:tcPr>
            <w:tcW w:w="1134" w:type="dxa"/>
            <w:tcBorders>
              <w:top w:val="single" w:sz="4" w:space="0" w:color="auto"/>
              <w:left w:val="nil"/>
              <w:bottom w:val="single" w:sz="4" w:space="0" w:color="auto"/>
              <w:right w:val="nil"/>
            </w:tcBorders>
            <w:shd w:val="clear" w:color="auto" w:fill="auto"/>
            <w:vAlign w:val="center"/>
            <w:hideMark/>
          </w:tcPr>
          <w:p w14:paraId="6FBFA279" w14:textId="51CB82C6"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0</w:t>
            </w:r>
          </w:p>
        </w:tc>
        <w:tc>
          <w:tcPr>
            <w:tcW w:w="1276" w:type="dxa"/>
            <w:gridSpan w:val="4"/>
            <w:tcBorders>
              <w:top w:val="single" w:sz="4" w:space="0" w:color="auto"/>
              <w:left w:val="nil"/>
              <w:bottom w:val="single" w:sz="4" w:space="0" w:color="auto"/>
              <w:right w:val="nil"/>
            </w:tcBorders>
            <w:shd w:val="clear" w:color="auto" w:fill="auto"/>
            <w:vAlign w:val="center"/>
            <w:hideMark/>
          </w:tcPr>
          <w:p w14:paraId="25C8FF4F" w14:textId="3F1DBA3D"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55 860 000</w:t>
            </w:r>
          </w:p>
        </w:tc>
        <w:tc>
          <w:tcPr>
            <w:tcW w:w="987" w:type="dxa"/>
            <w:gridSpan w:val="2"/>
            <w:tcBorders>
              <w:top w:val="single" w:sz="4" w:space="0" w:color="auto"/>
              <w:left w:val="nil"/>
              <w:bottom w:val="single" w:sz="4" w:space="0" w:color="auto"/>
              <w:right w:val="nil"/>
            </w:tcBorders>
            <w:shd w:val="clear" w:color="auto" w:fill="auto"/>
            <w:vAlign w:val="center"/>
            <w:hideMark/>
          </w:tcPr>
          <w:p w14:paraId="2AF73D36" w14:textId="7C55E272"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15 960 000</w:t>
            </w:r>
          </w:p>
        </w:tc>
        <w:tc>
          <w:tcPr>
            <w:tcW w:w="1128" w:type="dxa"/>
            <w:gridSpan w:val="3"/>
            <w:tcBorders>
              <w:top w:val="single" w:sz="4" w:space="0" w:color="auto"/>
              <w:left w:val="nil"/>
              <w:bottom w:val="single" w:sz="4" w:space="0" w:color="auto"/>
              <w:right w:val="nil"/>
            </w:tcBorders>
            <w:shd w:val="clear" w:color="auto" w:fill="auto"/>
            <w:vAlign w:val="center"/>
            <w:hideMark/>
          </w:tcPr>
          <w:p w14:paraId="69F40D57" w14:textId="0F5C2A76"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55 860 000</w:t>
            </w:r>
          </w:p>
        </w:tc>
        <w:tc>
          <w:tcPr>
            <w:tcW w:w="998" w:type="dxa"/>
            <w:gridSpan w:val="2"/>
            <w:tcBorders>
              <w:top w:val="single" w:sz="4" w:space="0" w:color="auto"/>
              <w:left w:val="nil"/>
              <w:bottom w:val="single" w:sz="4" w:space="0" w:color="auto"/>
              <w:right w:val="nil"/>
            </w:tcBorders>
            <w:shd w:val="clear" w:color="auto" w:fill="auto"/>
            <w:vAlign w:val="center"/>
            <w:hideMark/>
          </w:tcPr>
          <w:p w14:paraId="52B0C2CF" w14:textId="6A281D74"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0</w:t>
            </w:r>
          </w:p>
        </w:tc>
        <w:tc>
          <w:tcPr>
            <w:tcW w:w="1137" w:type="dxa"/>
            <w:tcBorders>
              <w:top w:val="single" w:sz="4" w:space="0" w:color="auto"/>
              <w:left w:val="nil"/>
              <w:bottom w:val="single" w:sz="4" w:space="0" w:color="auto"/>
              <w:right w:val="nil"/>
            </w:tcBorders>
            <w:shd w:val="clear" w:color="auto" w:fill="auto"/>
            <w:vAlign w:val="center"/>
            <w:hideMark/>
          </w:tcPr>
          <w:p w14:paraId="622E50DF" w14:textId="1104C73D" w:rsidR="006B58FB" w:rsidRPr="00EC7F5A" w:rsidRDefault="006B58FB" w:rsidP="00EC7F5A">
            <w:pPr>
              <w:spacing w:after="0" w:line="240" w:lineRule="auto"/>
              <w:ind w:left="-113" w:right="-113"/>
              <w:jc w:val="right"/>
              <w:rPr>
                <w:rFonts w:cs="Times New Roman"/>
                <w:color w:val="17365D"/>
                <w:sz w:val="16"/>
                <w:szCs w:val="16"/>
              </w:rPr>
            </w:pPr>
            <w:r w:rsidRPr="00EC7F5A">
              <w:rPr>
                <w:rFonts w:cs="Times New Roman"/>
                <w:color w:val="17365D"/>
                <w:sz w:val="16"/>
                <w:szCs w:val="16"/>
              </w:rPr>
              <w:t>71 820 000</w:t>
            </w:r>
          </w:p>
        </w:tc>
      </w:tr>
      <w:tr w:rsidR="006B58FB" w:rsidRPr="00A27896" w14:paraId="26958A32" w14:textId="77777777" w:rsidTr="008B42E4">
        <w:trPr>
          <w:trHeight w:val="130"/>
        </w:trPr>
        <w:tc>
          <w:tcPr>
            <w:tcW w:w="2365" w:type="dxa"/>
            <w:gridSpan w:val="3"/>
            <w:tcBorders>
              <w:top w:val="single" w:sz="4" w:space="0" w:color="auto"/>
              <w:left w:val="nil"/>
              <w:bottom w:val="nil"/>
              <w:right w:val="nil"/>
            </w:tcBorders>
            <w:shd w:val="clear" w:color="000000" w:fill="B9CDE5"/>
            <w:noWrap/>
            <w:vAlign w:val="center"/>
            <w:hideMark/>
          </w:tcPr>
          <w:p w14:paraId="51915E44" w14:textId="77777777" w:rsidR="006B58FB" w:rsidRPr="00A27896" w:rsidRDefault="006B58FB" w:rsidP="006B58FB">
            <w:pPr>
              <w:spacing w:after="0" w:line="240" w:lineRule="auto"/>
              <w:ind w:left="-57" w:right="-57"/>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4716" w:type="dxa"/>
            <w:gridSpan w:val="9"/>
            <w:tcBorders>
              <w:top w:val="single" w:sz="4" w:space="0" w:color="auto"/>
              <w:left w:val="nil"/>
              <w:bottom w:val="nil"/>
              <w:right w:val="nil"/>
            </w:tcBorders>
            <w:shd w:val="clear" w:color="000000" w:fill="B9CDE5"/>
            <w:noWrap/>
            <w:vAlign w:val="center"/>
            <w:hideMark/>
          </w:tcPr>
          <w:p w14:paraId="50DA2A3F" w14:textId="77777777" w:rsidR="006B58FB" w:rsidRPr="00A27896" w:rsidRDefault="006B58FB" w:rsidP="006B58FB">
            <w:pPr>
              <w:spacing w:after="0" w:line="240" w:lineRule="auto"/>
              <w:ind w:left="-57"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840" w:type="dxa"/>
            <w:gridSpan w:val="5"/>
            <w:tcBorders>
              <w:top w:val="single" w:sz="4" w:space="0" w:color="auto"/>
              <w:left w:val="nil"/>
              <w:bottom w:val="nil"/>
              <w:right w:val="nil"/>
            </w:tcBorders>
            <w:shd w:val="clear" w:color="000000" w:fill="B9CDE5"/>
            <w:vAlign w:val="center"/>
            <w:hideMark/>
          </w:tcPr>
          <w:p w14:paraId="5C93A108" w14:textId="77777777" w:rsidR="006B58FB" w:rsidRPr="00A27896" w:rsidRDefault="006B58FB" w:rsidP="006B58FB">
            <w:pPr>
              <w:spacing w:after="0" w:line="240" w:lineRule="auto"/>
              <w:ind w:left="-57"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1B118920" w14:textId="79CD2AC3" w:rsidR="00415130" w:rsidRPr="00A27896" w:rsidRDefault="00415130" w:rsidP="00F53AD9">
      <w:pPr>
        <w:pStyle w:val="Pamatteksts1"/>
      </w:pPr>
    </w:p>
    <w:p w14:paraId="722CAD8A" w14:textId="636E4FB8" w:rsidR="00844915" w:rsidRPr="00A27896" w:rsidRDefault="00844915" w:rsidP="009D40D6">
      <w:pPr>
        <w:pStyle w:val="Heading3"/>
      </w:pPr>
      <w:r w:rsidRPr="00A27896">
        <w:t>Atvasinātie finanšu instrumenti</w:t>
      </w:r>
    </w:p>
    <w:p w14:paraId="370A7BCC" w14:textId="01BE5E04" w:rsidR="007351E3" w:rsidRPr="00A27896" w:rsidRDefault="00844915" w:rsidP="003202B7">
      <w:pPr>
        <w:pStyle w:val="Pamatteksts1"/>
      </w:pPr>
      <w:r w:rsidRPr="00A27896">
        <w:t xml:space="preserve">Konsolidētajā bilancē uzrādīti Valsts kases un Rīgas </w:t>
      </w:r>
      <w:proofErr w:type="spellStart"/>
      <w:r w:rsidR="00EE7E0B" w:rsidRPr="00A27896">
        <w:t>valsts</w:t>
      </w:r>
      <w:r w:rsidRPr="00A27896">
        <w:t>pilsētas</w:t>
      </w:r>
      <w:proofErr w:type="spellEnd"/>
      <w:r w:rsidRPr="00A27896">
        <w:t xml:space="preserve"> pašvaldības izmantotie atvasinātie finanšu instrumenti.</w:t>
      </w:r>
      <w:r w:rsidR="007351E3" w:rsidRPr="00A27896">
        <w:t xml:space="preserve"> </w:t>
      </w:r>
    </w:p>
    <w:p w14:paraId="4D738448" w14:textId="314D9C03" w:rsidR="00D65E28" w:rsidRPr="00A27896" w:rsidRDefault="00D65E28" w:rsidP="003202B7">
      <w:pPr>
        <w:pStyle w:val="Pamatteksts1"/>
      </w:pPr>
      <w:r w:rsidRPr="00BB4ECF">
        <w:t>Rīgas pilsētas pašvaldības izmantotais atvasinātais finanšu instruments 202</w:t>
      </w:r>
      <w:r w:rsidR="00BB4ECF" w:rsidRPr="00BB4ECF">
        <w:t>4</w:t>
      </w:r>
      <w:r w:rsidRPr="00BB4ECF">
        <w:t>.</w:t>
      </w:r>
      <w:r w:rsidR="001F2CE1" w:rsidRPr="00BB4ECF">
        <w:t> </w:t>
      </w:r>
      <w:r w:rsidRPr="00BB4ECF">
        <w:t xml:space="preserve">gada pārskatā klasificēts finanšu instrumentu kategorijā “Patiesajā vērtībā novērtētas finanšu saistības” </w:t>
      </w:r>
      <w:r w:rsidR="00D1373A" w:rsidRPr="00BB4ECF">
        <w:t xml:space="preserve">(skatīt </w:t>
      </w:r>
      <w:r w:rsidR="009E4ABD" w:rsidRPr="00BB4ECF">
        <w:t>1.</w:t>
      </w:r>
      <w:r w:rsidR="00D1373A" w:rsidRPr="00BB4ECF">
        <w:t>3</w:t>
      </w:r>
      <w:r w:rsidR="00D447A9">
        <w:t>1</w:t>
      </w:r>
      <w:r w:rsidR="00D1373A" w:rsidRPr="00BB4ECF">
        <w:t xml:space="preserve">.tabulu) </w:t>
      </w:r>
      <w:r w:rsidRPr="00BB4ECF">
        <w:t xml:space="preserve">un uzrādīts </w:t>
      </w:r>
      <w:r w:rsidR="00814FB5" w:rsidRPr="00BB4ECF">
        <w:t>bilances postenī “Ilgtermiņa saistības</w:t>
      </w:r>
      <w:r w:rsidR="00BB4ECF">
        <w:t xml:space="preserve"> par atvasinātajiem finanšu instrumentiem</w:t>
      </w:r>
      <w:r w:rsidR="00814FB5" w:rsidRPr="00BB4ECF">
        <w:t xml:space="preserve">” </w:t>
      </w:r>
      <w:r w:rsidR="00C139CE" w:rsidRPr="00BB4ECF">
        <w:t>un “</w:t>
      </w:r>
      <w:r w:rsidR="00BB4ECF">
        <w:t>Pārējās ī</w:t>
      </w:r>
      <w:r w:rsidR="00C139CE" w:rsidRPr="00BB4ECF">
        <w:t xml:space="preserve">stermiņa saistības” </w:t>
      </w:r>
      <w:r w:rsidRPr="00BB4ECF">
        <w:t xml:space="preserve">tā patiesajā vērtībā </w:t>
      </w:r>
      <w:r w:rsidR="00BB4ECF" w:rsidRPr="00BB4ECF">
        <w:t>53</w:t>
      </w:r>
      <w:r w:rsidR="00BB4ECF">
        <w:t>,</w:t>
      </w:r>
      <w:r w:rsidR="00BB4ECF" w:rsidRPr="00BB4ECF">
        <w:t>8</w:t>
      </w:r>
      <w:r w:rsidR="00BB4ECF">
        <w:t xml:space="preserve"> milj.</w:t>
      </w:r>
      <w:r w:rsidRPr="00BB4ECF">
        <w:t xml:space="preserve"> </w:t>
      </w:r>
      <w:r w:rsidRPr="00BB4ECF">
        <w:rPr>
          <w:i/>
          <w:iCs/>
        </w:rPr>
        <w:t>euro</w:t>
      </w:r>
      <w:r w:rsidRPr="00BB4ECF">
        <w:t xml:space="preserve">, </w:t>
      </w:r>
      <w:r w:rsidR="006F4319" w:rsidRPr="00BB4ECF">
        <w:t xml:space="preserve">ņemot vērā tirgus cenu perioda beigu dienā un </w:t>
      </w:r>
      <w:r w:rsidRPr="00BB4ECF">
        <w:t>balstoties uz Rīgas pilsētas pašvaldības izstrādātu aprēķinu metodoloģiju un principiem</w:t>
      </w:r>
      <w:r w:rsidR="006F4319" w:rsidRPr="00BB4ECF">
        <w:t>,</w:t>
      </w:r>
      <w:r w:rsidRPr="00BB4ECF">
        <w:t xml:space="preserve"> </w:t>
      </w:r>
      <w:r w:rsidR="00BB06CE" w:rsidRPr="00BB4ECF">
        <w:t>un tas ietilpst patiesās vērtības hierarhijas 3. līmenī.</w:t>
      </w:r>
    </w:p>
    <w:p w14:paraId="1E9189BF" w14:textId="1F5E0A92" w:rsidR="00EF6AE1" w:rsidRPr="00A27896" w:rsidRDefault="00EF6AE1" w:rsidP="003202B7">
      <w:pPr>
        <w:pStyle w:val="Pamatteksts1"/>
      </w:pPr>
      <w:r w:rsidRPr="00EF6AE1">
        <w:t>Valsts kase pārskata gadā noslēgusi jaunu valūtu un procentu likmju mijmaiņas darījumu</w:t>
      </w:r>
      <w:r>
        <w:t xml:space="preserve"> </w:t>
      </w:r>
      <w:r>
        <w:softHyphen/>
        <w:t>–</w:t>
      </w:r>
      <w:r w:rsidRPr="00EF6AE1">
        <w:t xml:space="preserve"> CCIRS atvasināto finanšu instrumentu, kura ietvaros notiek apmaiņa ar naudas plūsmām dažādās valūtās (procentu un pamatsummas maksājumiem).</w:t>
      </w:r>
      <w:r w:rsidR="00BB4ECF">
        <w:t xml:space="preserve"> Atvasinātais finanšu instruments </w:t>
      </w:r>
      <w:r w:rsidR="00D11CF3">
        <w:t xml:space="preserve">ir klasificēts kā riska ierobežošanas instruments un tas </w:t>
      </w:r>
      <w:r w:rsidR="00BB4ECF">
        <w:t xml:space="preserve">2024.gada pārskatā uzrādīts bilances postenī “Ilgtermiņa prasības par atvasinātajiem finanšu instrumentiem” tā patiesajā vērtībā 40,9 milj. </w:t>
      </w:r>
      <w:r w:rsidR="00BB4ECF" w:rsidRPr="00BB4ECF">
        <w:rPr>
          <w:i/>
          <w:iCs/>
        </w:rPr>
        <w:t>euro</w:t>
      </w:r>
      <w:r w:rsidR="00271DD7" w:rsidRPr="00271DD7">
        <w:t xml:space="preserve">, kas tiek </w:t>
      </w:r>
      <w:r w:rsidR="00271DD7" w:rsidRPr="00D447A9">
        <w:t>aprēķināta kā diskontētā instrumenta naudas plūsma.</w:t>
      </w:r>
      <w:r w:rsidR="00D11CF3" w:rsidRPr="00D447A9">
        <w:t xml:space="preserve"> Valsts kases izmantotais atvasinātais finanšu instruments ietilpst patiesās vērtības hierarhijas 2. līmenī, jo tā patiesās vērtības novērtēšanas metode balstīta uz tirgus cenām.</w:t>
      </w:r>
    </w:p>
    <w:p w14:paraId="3539F173" w14:textId="77777777" w:rsidR="006B69DC" w:rsidRPr="00A27896" w:rsidRDefault="006B69DC" w:rsidP="009D40D6">
      <w:pPr>
        <w:pStyle w:val="Heading3"/>
        <w:rPr>
          <w:i/>
        </w:rPr>
      </w:pPr>
      <w:r w:rsidRPr="00A27896">
        <w:t>Riska ierobežošanas uzskaite</w:t>
      </w:r>
    </w:p>
    <w:p w14:paraId="0AF08D57" w14:textId="5E0FFD64" w:rsidR="006B69DC" w:rsidRPr="00A27896" w:rsidRDefault="006B69DC" w:rsidP="003202B7">
      <w:pPr>
        <w:pStyle w:val="Pamatteksts1"/>
      </w:pPr>
      <w:r w:rsidRPr="00A27896">
        <w:t>Valsts budžeta finanšu uzskaitē atvasinātam finanšu instrumentam –</w:t>
      </w:r>
      <w:r w:rsidR="00090D03" w:rsidRPr="00A27896">
        <w:t xml:space="preserve"> </w:t>
      </w:r>
      <w:r w:rsidR="00EF6AE1" w:rsidRPr="00EF6AE1">
        <w:t xml:space="preserve">valūtu un procentu likmju mijmaiņas </w:t>
      </w:r>
      <w:r w:rsidRPr="00A27896">
        <w:t>darījumam (</w:t>
      </w:r>
      <w:r w:rsidR="00EF6AE1">
        <w:t>CC</w:t>
      </w:r>
      <w:r w:rsidRPr="00A27896">
        <w:t>IRS) Valsts kase piemēro</w:t>
      </w:r>
      <w:r w:rsidR="001F2CE1">
        <w:t>ja</w:t>
      </w:r>
      <w:r w:rsidRPr="00A27896">
        <w:t xml:space="preserve"> naudas plūsmas riska ierobežošanu. </w:t>
      </w:r>
    </w:p>
    <w:p w14:paraId="3740F9B4" w14:textId="3CA56381" w:rsidR="00EF6AE1" w:rsidRPr="00EF6AE1" w:rsidRDefault="00EF6AE1" w:rsidP="003202B7">
      <w:pPr>
        <w:pStyle w:val="Pamatteksts1"/>
      </w:pPr>
      <w:r w:rsidRPr="00EF6AE1">
        <w:t>CCIRS darījums tika noslēgts, lai nodrošinātu tīrā parāda valūtu kompozīcijas ievērošanu pieļaujamās robežās, kā arī izslēgtu valūtu svārstību risku procentu maksājumiem par ne euro valūtā emitētām obligācijām. Slēdzot attiecīgo atvasināto finanšu instrumenta darījumu vērtspapīru emisijas brīdī ne euro valūtā, tiek fiksēts valūtas kurss, par kuru darījuma puses apmainās ar darījuma pamatsummām (attiecīgi emisijas brīdī un vēlāk emisijas dzēšanas brīdī), kā arī par kuru efektīvi tiek veikti un attiecīgi saņemti līdzekļi procentu maksājumu veikšanai – tādējādi izslēdzot valūtu svārstību risku procentu (kupona) maksājumiem.</w:t>
      </w:r>
    </w:p>
    <w:p w14:paraId="4277D300" w14:textId="77777777" w:rsidR="00CF1EA9" w:rsidRPr="00A27896" w:rsidRDefault="00CF1EA9" w:rsidP="00CF1EA9">
      <w:pPr>
        <w:pStyle w:val="Heading4"/>
        <w:rPr>
          <w:rFonts w:cs="Times New Roman"/>
        </w:rPr>
      </w:pPr>
      <w:r w:rsidRPr="00A27896">
        <w:rPr>
          <w:rFonts w:cs="Times New Roman"/>
        </w:rPr>
        <w:lastRenderedPageBreak/>
        <w:t>Piezīme Nr. V10. Nekoriģējošie notikumi pēc bilances datuma</w:t>
      </w:r>
    </w:p>
    <w:p w14:paraId="09E67D3F" w14:textId="54303ACC" w:rsidR="00CF1EA9" w:rsidRPr="00F03B90" w:rsidRDefault="00CF1EA9" w:rsidP="003202B7">
      <w:pPr>
        <w:pStyle w:val="Pamatteksts1"/>
      </w:pPr>
      <w:r w:rsidRPr="00F03B90">
        <w:t xml:space="preserve">Ministru kabineta gada pārskatā ir sniegta informācija par starptautisko tiesvedības procesu virzības gaitu, vienlaicīgi </w:t>
      </w:r>
      <w:r w:rsidR="00BC1098">
        <w:t xml:space="preserve">nav pietiekamas informācijas, lai ticami aplēstu </w:t>
      </w:r>
      <w:r w:rsidRPr="00F03B90">
        <w:t>finansiāl</w:t>
      </w:r>
      <w:r w:rsidR="00BC1098">
        <w:t>o</w:t>
      </w:r>
      <w:r w:rsidRPr="00F03B90">
        <w:t xml:space="preserve"> ietekm</w:t>
      </w:r>
      <w:r w:rsidR="00BC1098">
        <w:t>i</w:t>
      </w:r>
      <w:r w:rsidRPr="00F03B90">
        <w:t xml:space="preserve"> nākamajos pārskata gados.</w:t>
      </w:r>
    </w:p>
    <w:p w14:paraId="04E8BA47" w14:textId="0E50F59D" w:rsidR="00BC2401" w:rsidRPr="00A27896" w:rsidRDefault="00BC2401" w:rsidP="00CF1EA9">
      <w:pPr>
        <w:pStyle w:val="Heading4"/>
        <w:rPr>
          <w:rFonts w:cs="Times New Roman"/>
        </w:rPr>
      </w:pPr>
      <w:r w:rsidRPr="00A27896">
        <w:rPr>
          <w:rFonts w:cs="Times New Roman"/>
        </w:rPr>
        <w:t>Piezīme Nr. CITA. Cita informācija pārskatu lietotājiem</w:t>
      </w:r>
    </w:p>
    <w:p w14:paraId="7D36CC2D" w14:textId="016BC18D" w:rsidR="00330E30" w:rsidRDefault="00330E30" w:rsidP="003202B7">
      <w:pPr>
        <w:pStyle w:val="Pamatteksts1"/>
      </w:pPr>
      <w:r>
        <w:t>M</w:t>
      </w:r>
      <w:r w:rsidR="00BC2401" w:rsidRPr="00A27896">
        <w:t>inistriju un pašvaldību konsolidētajos gada pārskatos ir sniegta informācija par iepirkumu līgumiem</w:t>
      </w:r>
      <w:r w:rsidR="00CB62CF">
        <w:t xml:space="preserve"> </w:t>
      </w:r>
      <w:r w:rsidR="00DA294B">
        <w:t>449</w:t>
      </w:r>
      <w:r w:rsidR="00CB62CF">
        <w:t>,</w:t>
      </w:r>
      <w:r w:rsidR="00DA294B">
        <w:t>2</w:t>
      </w:r>
      <w:r w:rsidR="00CB62CF">
        <w:t xml:space="preserve"> milj. </w:t>
      </w:r>
      <w:r w:rsidR="00CB62CF" w:rsidRPr="00BA7DA7">
        <w:rPr>
          <w:i/>
        </w:rPr>
        <w:t>euro</w:t>
      </w:r>
      <w:r w:rsidR="00CB62CF">
        <w:t xml:space="preserve"> vērtībā</w:t>
      </w:r>
      <w:r w:rsidR="00BC2401" w:rsidRPr="00A27896">
        <w:t xml:space="preserve">, </w:t>
      </w:r>
      <w:r>
        <w:t>kuriem</w:t>
      </w:r>
      <w:r w:rsidRPr="00330E30">
        <w:t xml:space="preserve"> </w:t>
      </w:r>
      <w:r>
        <w:t xml:space="preserve">Konkurences padome konstatējusi konkurences pārkāpumus. </w:t>
      </w:r>
      <w:r w:rsidR="00E72B72">
        <w:t>I</w:t>
      </w:r>
      <w:r>
        <w:t xml:space="preserve">estādes pieņēmušas lēmumu </w:t>
      </w:r>
      <w:r w:rsidRPr="00330E30">
        <w:t xml:space="preserve">īstenot Konkurences likuma 21. pantā noteiktās tiesības prasīt un saņemt no pārkāpēja zaudējumu atlīdzību </w:t>
      </w:r>
      <w:r>
        <w:t>23,</w:t>
      </w:r>
      <w:r w:rsidR="00DA294B">
        <w:t>6</w:t>
      </w:r>
      <w:r>
        <w:t xml:space="preserve"> m</w:t>
      </w:r>
      <w:r w:rsidR="00AE4562">
        <w:t>i</w:t>
      </w:r>
      <w:r>
        <w:t>lj.</w:t>
      </w:r>
      <w:r w:rsidR="00E24982">
        <w:t xml:space="preserve"> </w:t>
      </w:r>
      <w:r w:rsidRPr="0072074A">
        <w:rPr>
          <w:i/>
        </w:rPr>
        <w:t>euro</w:t>
      </w:r>
      <w:r>
        <w:t xml:space="preserve"> apmērā</w:t>
      </w:r>
      <w:r w:rsidR="00E72B72">
        <w:t>, par darījumiem 29</w:t>
      </w:r>
      <w:r w:rsidR="00DA294B">
        <w:t>0</w:t>
      </w:r>
      <w:r w:rsidR="00E72B72">
        <w:t>,9 m</w:t>
      </w:r>
      <w:r w:rsidR="00AE4562">
        <w:t>i</w:t>
      </w:r>
      <w:r w:rsidR="00E72B72">
        <w:t>lj.</w:t>
      </w:r>
      <w:r w:rsidR="00D447A9">
        <w:t> </w:t>
      </w:r>
      <w:r w:rsidR="00E72B72" w:rsidRPr="00E72B72">
        <w:rPr>
          <w:i/>
        </w:rPr>
        <w:t>euro</w:t>
      </w:r>
      <w:r w:rsidR="00E72B72">
        <w:t xml:space="preserve"> apmērā iestādes pārskata gada beigās nebija veikušas </w:t>
      </w:r>
      <w:proofErr w:type="spellStart"/>
      <w:r w:rsidR="00E72B72">
        <w:t>izvērtējumu</w:t>
      </w:r>
      <w:proofErr w:type="spellEnd"/>
      <w:r w:rsidR="00E72B72">
        <w:t xml:space="preserve"> par zaudējumu piedziņu, bet par darījumiem 0,9 m</w:t>
      </w:r>
      <w:r w:rsidR="006E6B94">
        <w:t>i</w:t>
      </w:r>
      <w:r w:rsidR="00E72B72">
        <w:t>lj.</w:t>
      </w:r>
      <w:r w:rsidR="00D447A9">
        <w:t xml:space="preserve"> </w:t>
      </w:r>
      <w:r w:rsidR="00E72B72" w:rsidRPr="00E72B72">
        <w:rPr>
          <w:i/>
        </w:rPr>
        <w:t>euro</w:t>
      </w:r>
      <w:r w:rsidR="00E72B72">
        <w:t xml:space="preserve"> apmērā pieņemts lēmums zaudējumus nepiedzīt.</w:t>
      </w:r>
    </w:p>
    <w:p w14:paraId="1F9C9B48" w14:textId="24672EAE" w:rsidR="00AE4562" w:rsidRDefault="00AE4562" w:rsidP="002A2F6E">
      <w:pPr>
        <w:pStyle w:val="Pamatteksts1"/>
      </w:pPr>
      <w:r>
        <w:t>Lielākie zaudējumi 59,</w:t>
      </w:r>
      <w:r w:rsidR="00514FB2">
        <w:t>1</w:t>
      </w:r>
      <w:r>
        <w:t xml:space="preserve"> milj.</w:t>
      </w:r>
      <w:r w:rsidR="00D447A9">
        <w:t xml:space="preserve"> </w:t>
      </w:r>
      <w:r w:rsidRPr="00CB62CF">
        <w:rPr>
          <w:i/>
        </w:rPr>
        <w:t>euro</w:t>
      </w:r>
      <w:r>
        <w:t xml:space="preserve"> vērtībā, iespējams, radušies par noslēgtajiem būvniecības līgumiem, par </w:t>
      </w:r>
      <w:r w:rsidRPr="002A2F6E">
        <w:t>kuriem</w:t>
      </w:r>
      <w:r>
        <w:t xml:space="preserve"> pieņemts </w:t>
      </w:r>
      <w:r w:rsidRPr="00AE4562">
        <w:t>Konkurences padomes 2021.</w:t>
      </w:r>
      <w:r w:rsidR="00D447A9">
        <w:t> </w:t>
      </w:r>
      <w:r w:rsidRPr="00AE4562">
        <w:t>gada 30.</w:t>
      </w:r>
      <w:r w:rsidR="00D447A9">
        <w:t> </w:t>
      </w:r>
      <w:r w:rsidRPr="00AE4562">
        <w:t>jūlija lēmum</w:t>
      </w:r>
      <w:r>
        <w:t>s</w:t>
      </w:r>
      <w:r w:rsidRPr="00AE4562">
        <w:t xml:space="preserve"> Nr. 22 “Par pārkāpuma konstatēšanu un naudas soda uzlikšanu"</w:t>
      </w:r>
      <w:r>
        <w:t>. Minētais lēmums ir pārsūdzēts tiesā. 2024.</w:t>
      </w:r>
      <w:r w:rsidR="00D447A9">
        <w:t> </w:t>
      </w:r>
      <w:r>
        <w:t>gada</w:t>
      </w:r>
      <w:r w:rsidR="00D447A9">
        <w:t xml:space="preserve"> </w:t>
      </w:r>
      <w:r>
        <w:t>25.</w:t>
      </w:r>
      <w:r w:rsidR="00D447A9">
        <w:t> </w:t>
      </w:r>
      <w:r>
        <w:t>janvārī pieņemts Administratīvās apgabaltiesas lēmums noraidīt prasību atcelt Konkurences padomes lēmumu Nr.</w:t>
      </w:r>
      <w:r w:rsidR="00D447A9">
        <w:t> </w:t>
      </w:r>
      <w:r>
        <w:t xml:space="preserve">22. </w:t>
      </w:r>
    </w:p>
    <w:p w14:paraId="78273C9C" w14:textId="2CFAB133" w:rsidR="002D25D6" w:rsidRDefault="002D25D6" w:rsidP="00F71988">
      <w:pPr>
        <w:spacing w:after="120" w:line="240" w:lineRule="auto"/>
        <w:ind w:firstLine="284"/>
        <w:jc w:val="both"/>
        <w:rPr>
          <w:rFonts w:cs="Times New Roman"/>
          <w:color w:val="17365D"/>
          <w:szCs w:val="24"/>
        </w:rPr>
      </w:pPr>
    </w:p>
    <w:p w14:paraId="53166BD0" w14:textId="048288FD" w:rsidR="00686079" w:rsidRPr="00A27896" w:rsidRDefault="00B27512" w:rsidP="008515BB">
      <w:pPr>
        <w:pStyle w:val="Heading3"/>
      </w:pPr>
      <w:r>
        <w:t>S</w:t>
      </w:r>
      <w:r w:rsidR="00686079" w:rsidRPr="00A27896">
        <w:t xml:space="preserve">kaidrojumi bilances posteņu </w:t>
      </w:r>
      <w:proofErr w:type="spellStart"/>
      <w:r w:rsidR="00686079" w:rsidRPr="00A27896">
        <w:t>pārklasifikācijai</w:t>
      </w:r>
      <w:proofErr w:type="spellEnd"/>
      <w:r w:rsidR="00D5678E" w:rsidRPr="00A27896">
        <w:t>, konsolidācijai un korekcijām</w:t>
      </w:r>
    </w:p>
    <w:p w14:paraId="050288F1" w14:textId="069073A9" w:rsidR="00742076" w:rsidRPr="003202B7" w:rsidRDefault="00686079" w:rsidP="002A2F6E">
      <w:pPr>
        <w:pStyle w:val="Pamatteksts1"/>
        <w:rPr>
          <w:rStyle w:val="Pamatteksts1Char"/>
        </w:rPr>
      </w:pPr>
      <w:r w:rsidRPr="00A27896">
        <w:t xml:space="preserve">Lai </w:t>
      </w:r>
      <w:r w:rsidRPr="003202B7">
        <w:rPr>
          <w:rStyle w:val="Pamatteksts1Char"/>
        </w:rPr>
        <w:t xml:space="preserve">nodrošinātu bilances posteņu salīdzināmību, </w:t>
      </w:r>
      <w:r w:rsidR="00D5678E" w:rsidRPr="003202B7">
        <w:rPr>
          <w:rStyle w:val="Pamatteksts1Char"/>
        </w:rPr>
        <w:t xml:space="preserve">pārskata gadā </w:t>
      </w:r>
      <w:r w:rsidR="007A1AC4" w:rsidRPr="003202B7">
        <w:rPr>
          <w:rStyle w:val="Pamatteksts1Char"/>
        </w:rPr>
        <w:t xml:space="preserve">veikta </w:t>
      </w:r>
      <w:r w:rsidR="002B3A63" w:rsidRPr="003202B7">
        <w:rPr>
          <w:rStyle w:val="Pamatteksts1Char"/>
        </w:rPr>
        <w:t>salīdzinošās informācijas par ministriju, centrālo valsts iestāžu un pašvaldību bilances posteņu atlikumiem korekcija atbilstoši to iepriekšējos periodos konstatēto kļūdu labojumiem, norādīšanas un klasifikācijas maiņai</w:t>
      </w:r>
      <w:r w:rsidR="00D5678E" w:rsidRPr="003202B7">
        <w:rPr>
          <w:rStyle w:val="Pamatteksts1Char"/>
        </w:rPr>
        <w:t>, kā arī budžeta iestāžu</w:t>
      </w:r>
      <w:r w:rsidR="00A54F00" w:rsidRPr="003202B7">
        <w:rPr>
          <w:rStyle w:val="Pamatteksts1Char"/>
        </w:rPr>
        <w:t xml:space="preserve">, t.sk. valsts budžeta finanšu </w:t>
      </w:r>
      <w:r w:rsidR="00D5678E" w:rsidRPr="003202B7">
        <w:rPr>
          <w:rStyle w:val="Pamatteksts1Char"/>
        </w:rPr>
        <w:t>uzskaites</w:t>
      </w:r>
      <w:r w:rsidR="00A54F00" w:rsidRPr="003202B7">
        <w:rPr>
          <w:rStyle w:val="Pamatteksts1Char"/>
        </w:rPr>
        <w:t>,</w:t>
      </w:r>
      <w:r w:rsidR="00D5678E" w:rsidRPr="003202B7">
        <w:rPr>
          <w:rStyle w:val="Pamatteksts1Char"/>
        </w:rPr>
        <w:t xml:space="preserve"> savstarpējo darījumu un atlikumu konsolidācija un korekcijas vienotas metodikas pielietošanai un notikumu pē</w:t>
      </w:r>
      <w:r w:rsidR="00D76DAA" w:rsidRPr="003202B7">
        <w:rPr>
          <w:rStyle w:val="Pamatteksts1Char"/>
        </w:rPr>
        <w:t>c bilances datuma rezul</w:t>
      </w:r>
      <w:r w:rsidR="00F4182A" w:rsidRPr="003202B7">
        <w:rPr>
          <w:rStyle w:val="Pamatteksts1Char"/>
        </w:rPr>
        <w:t>t</w:t>
      </w:r>
      <w:r w:rsidR="00D76DAA" w:rsidRPr="003202B7">
        <w:rPr>
          <w:rStyle w:val="Pamatteksts1Char"/>
        </w:rPr>
        <w:t>ātā</w:t>
      </w:r>
      <w:r w:rsidR="0002004C" w:rsidRPr="003202B7">
        <w:rPr>
          <w:rStyle w:val="Pamatteksts1Char"/>
        </w:rPr>
        <w:t xml:space="preserve"> (sk.1.3</w:t>
      </w:r>
      <w:r w:rsidR="00CA0960">
        <w:rPr>
          <w:rStyle w:val="Pamatteksts1Char"/>
        </w:rPr>
        <w:t>7</w:t>
      </w:r>
      <w:r w:rsidR="0002004C" w:rsidRPr="003202B7">
        <w:rPr>
          <w:rStyle w:val="Pamatteksts1Char"/>
        </w:rPr>
        <w:t>.tabulu)</w:t>
      </w:r>
      <w:r w:rsidR="00D76DAA" w:rsidRPr="003202B7">
        <w:rPr>
          <w:rStyle w:val="Pamatteksts1Char"/>
        </w:rPr>
        <w:t>.</w:t>
      </w:r>
    </w:p>
    <w:p w14:paraId="5FA937A1" w14:textId="77777777" w:rsidR="00B3277B" w:rsidRPr="00C87349" w:rsidRDefault="00B3277B" w:rsidP="00B3277B">
      <w:pPr>
        <w:spacing w:after="120" w:line="240" w:lineRule="auto"/>
        <w:ind w:right="255"/>
        <w:jc w:val="both"/>
        <w:rPr>
          <w:rFonts w:cs="Times New Roman"/>
          <w:b/>
          <w:bCs/>
          <w:color w:val="17365D"/>
          <w:szCs w:val="24"/>
        </w:rPr>
      </w:pPr>
    </w:p>
    <w:p w14:paraId="0BABE376" w14:textId="1207DC65" w:rsidR="007C33E3" w:rsidRDefault="007C33E3" w:rsidP="007C33E3">
      <w:pPr>
        <w:spacing w:after="0" w:line="240" w:lineRule="auto"/>
        <w:rPr>
          <w:rFonts w:eastAsia="Times New Roman" w:cs="Times New Roman"/>
          <w:b/>
          <w:bCs/>
          <w:color w:val="17365D"/>
          <w:sz w:val="18"/>
          <w:szCs w:val="18"/>
          <w:lang w:eastAsia="lv-LV"/>
        </w:rPr>
        <w:sectPr w:rsidR="007C33E3" w:rsidSect="00381F40">
          <w:headerReference w:type="default" r:id="rId13"/>
          <w:footerReference w:type="default" r:id="rId14"/>
          <w:footerReference w:type="first" r:id="rId15"/>
          <w:pgSz w:w="11906" w:h="16838" w:code="9"/>
          <w:pgMar w:top="1134" w:right="851" w:bottom="1134" w:left="1701" w:header="567" w:footer="567" w:gutter="0"/>
          <w:pgNumType w:start="13"/>
          <w:cols w:space="708"/>
          <w:titlePg/>
          <w:docGrid w:linePitch="360"/>
        </w:sectPr>
      </w:pPr>
    </w:p>
    <w:p w14:paraId="3800290A" w14:textId="38E72F73" w:rsidR="00732F88" w:rsidRDefault="00492B58" w:rsidP="00324AC5">
      <w:pPr>
        <w:pStyle w:val="Tabnosauk"/>
      </w:pPr>
      <w:r w:rsidRPr="003202B7">
        <w:lastRenderedPageBreak/>
        <w:t>1.3</w:t>
      </w:r>
      <w:r w:rsidR="00CA0960">
        <w:t>7</w:t>
      </w:r>
      <w:r w:rsidR="00732F88" w:rsidRPr="003202B7">
        <w:t>. tabula. Konsolidētās bilances atlikumu korekcija, konsolidācija un salīdzinošās informācijas</w:t>
      </w:r>
      <w:r w:rsidR="00732F88">
        <w:t xml:space="preserve"> maiņa (euro)</w:t>
      </w:r>
    </w:p>
    <w:tbl>
      <w:tblPr>
        <w:tblW w:w="14617" w:type="dxa"/>
        <w:tblLook w:val="04A0" w:firstRow="1" w:lastRow="0" w:firstColumn="1" w:lastColumn="0" w:noHBand="0" w:noVBand="1"/>
      </w:tblPr>
      <w:tblGrid>
        <w:gridCol w:w="5529"/>
        <w:gridCol w:w="1300"/>
        <w:gridCol w:w="1109"/>
        <w:gridCol w:w="143"/>
        <w:gridCol w:w="141"/>
        <w:gridCol w:w="1276"/>
        <w:gridCol w:w="1275"/>
        <w:gridCol w:w="284"/>
        <w:gridCol w:w="960"/>
        <w:gridCol w:w="960"/>
        <w:gridCol w:w="1640"/>
      </w:tblGrid>
      <w:tr w:rsidR="00DB01CA" w:rsidRPr="007C33E3" w14:paraId="6BA8F60A" w14:textId="77777777" w:rsidTr="006A75CE">
        <w:trPr>
          <w:trHeight w:val="74"/>
          <w:tblHeader/>
        </w:trPr>
        <w:tc>
          <w:tcPr>
            <w:tcW w:w="5529" w:type="dxa"/>
            <w:vMerge w:val="restart"/>
            <w:tcBorders>
              <w:top w:val="nil"/>
              <w:left w:val="nil"/>
              <w:bottom w:val="single" w:sz="8" w:space="0" w:color="17365D"/>
              <w:right w:val="nil"/>
            </w:tcBorders>
            <w:shd w:val="clear" w:color="000000" w:fill="B8CCE4"/>
            <w:vAlign w:val="center"/>
            <w:hideMark/>
          </w:tcPr>
          <w:p w14:paraId="17678033" w14:textId="77777777" w:rsidR="00DB01CA" w:rsidRPr="007C33E3" w:rsidRDefault="00DB01CA"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Posteņa nosaukums</w:t>
            </w:r>
          </w:p>
        </w:tc>
        <w:tc>
          <w:tcPr>
            <w:tcW w:w="2409" w:type="dxa"/>
            <w:gridSpan w:val="2"/>
            <w:tcBorders>
              <w:top w:val="nil"/>
              <w:left w:val="nil"/>
              <w:bottom w:val="single" w:sz="4" w:space="0" w:color="17365D"/>
              <w:right w:val="nil"/>
            </w:tcBorders>
            <w:shd w:val="clear" w:color="000000" w:fill="B8CCE4"/>
            <w:vAlign w:val="center"/>
            <w:hideMark/>
          </w:tcPr>
          <w:p w14:paraId="5AFB8EDE" w14:textId="77777777" w:rsidR="00DB01CA" w:rsidRPr="007C33E3" w:rsidRDefault="00DB01CA"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Korekcija</w:t>
            </w:r>
          </w:p>
        </w:tc>
        <w:tc>
          <w:tcPr>
            <w:tcW w:w="284" w:type="dxa"/>
            <w:gridSpan w:val="2"/>
            <w:tcBorders>
              <w:top w:val="nil"/>
              <w:left w:val="nil"/>
              <w:right w:val="nil"/>
            </w:tcBorders>
            <w:shd w:val="clear" w:color="000000" w:fill="B8CCE4"/>
            <w:vAlign w:val="center"/>
          </w:tcPr>
          <w:p w14:paraId="78ADD1A2" w14:textId="087A682F" w:rsidR="00DB01CA" w:rsidRPr="007C33E3" w:rsidRDefault="00DB01CA" w:rsidP="007C33E3">
            <w:pPr>
              <w:spacing w:after="0" w:line="240" w:lineRule="auto"/>
              <w:jc w:val="center"/>
              <w:rPr>
                <w:rFonts w:eastAsia="Times New Roman" w:cs="Times New Roman"/>
                <w:b/>
                <w:bCs/>
                <w:color w:val="17365D"/>
                <w:sz w:val="18"/>
                <w:szCs w:val="18"/>
                <w:lang w:eastAsia="lv-LV"/>
              </w:rPr>
            </w:pPr>
          </w:p>
        </w:tc>
        <w:tc>
          <w:tcPr>
            <w:tcW w:w="2551" w:type="dxa"/>
            <w:gridSpan w:val="2"/>
            <w:tcBorders>
              <w:top w:val="nil"/>
              <w:left w:val="nil"/>
              <w:bottom w:val="single" w:sz="4" w:space="0" w:color="17365D"/>
              <w:right w:val="nil"/>
            </w:tcBorders>
            <w:shd w:val="clear" w:color="000000" w:fill="B8CCE4"/>
            <w:vAlign w:val="center"/>
            <w:hideMark/>
          </w:tcPr>
          <w:p w14:paraId="55C861EC" w14:textId="77777777" w:rsidR="00DB01CA" w:rsidRPr="007C33E3" w:rsidRDefault="00DB01CA"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Konsolidācija</w:t>
            </w:r>
          </w:p>
        </w:tc>
        <w:tc>
          <w:tcPr>
            <w:tcW w:w="284" w:type="dxa"/>
            <w:tcBorders>
              <w:top w:val="nil"/>
              <w:left w:val="nil"/>
              <w:right w:val="nil"/>
            </w:tcBorders>
            <w:shd w:val="clear" w:color="000000" w:fill="B8CCE4"/>
            <w:vAlign w:val="center"/>
          </w:tcPr>
          <w:p w14:paraId="3F501B07" w14:textId="08BD007D" w:rsidR="00DB01CA" w:rsidRPr="007C33E3" w:rsidRDefault="00DB01CA" w:rsidP="007C33E3">
            <w:pPr>
              <w:spacing w:after="0" w:line="240" w:lineRule="auto"/>
              <w:jc w:val="center"/>
              <w:rPr>
                <w:rFonts w:eastAsia="Times New Roman" w:cs="Times New Roman"/>
                <w:b/>
                <w:bCs/>
                <w:color w:val="17365D"/>
                <w:sz w:val="18"/>
                <w:szCs w:val="18"/>
                <w:lang w:eastAsia="lv-LV"/>
              </w:rPr>
            </w:pPr>
          </w:p>
        </w:tc>
        <w:tc>
          <w:tcPr>
            <w:tcW w:w="1920" w:type="dxa"/>
            <w:gridSpan w:val="2"/>
            <w:tcBorders>
              <w:top w:val="nil"/>
              <w:left w:val="nil"/>
              <w:bottom w:val="single" w:sz="4" w:space="0" w:color="17365D"/>
              <w:right w:val="nil"/>
            </w:tcBorders>
            <w:shd w:val="clear" w:color="000000" w:fill="B8CCE4"/>
            <w:vAlign w:val="center"/>
            <w:hideMark/>
          </w:tcPr>
          <w:p w14:paraId="7F29BA06" w14:textId="5653666A" w:rsidR="00DB01CA" w:rsidRPr="007C33E3" w:rsidRDefault="00DB01CA"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Notikumi pēc bilances datuma</w:t>
            </w:r>
          </w:p>
        </w:tc>
        <w:tc>
          <w:tcPr>
            <w:tcW w:w="1640" w:type="dxa"/>
            <w:vMerge w:val="restart"/>
            <w:tcBorders>
              <w:top w:val="nil"/>
              <w:left w:val="nil"/>
              <w:right w:val="nil"/>
            </w:tcBorders>
            <w:shd w:val="clear" w:color="000000" w:fill="B8CCE4"/>
            <w:vAlign w:val="center"/>
            <w:hideMark/>
          </w:tcPr>
          <w:p w14:paraId="7ED27A40" w14:textId="77777777" w:rsidR="00DB01CA" w:rsidRPr="007C33E3" w:rsidRDefault="00DB01CA"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Salīdzinošās informācijas maiņa</w:t>
            </w:r>
          </w:p>
        </w:tc>
      </w:tr>
      <w:tr w:rsidR="00492B58" w:rsidRPr="007C33E3" w14:paraId="68DBF4E7" w14:textId="77777777" w:rsidTr="009A4177">
        <w:trPr>
          <w:trHeight w:val="864"/>
          <w:tblHeader/>
        </w:trPr>
        <w:tc>
          <w:tcPr>
            <w:tcW w:w="5529" w:type="dxa"/>
            <w:vMerge/>
            <w:tcBorders>
              <w:top w:val="nil"/>
              <w:left w:val="nil"/>
              <w:bottom w:val="single" w:sz="4" w:space="0" w:color="17365D"/>
              <w:right w:val="nil"/>
            </w:tcBorders>
            <w:vAlign w:val="center"/>
            <w:hideMark/>
          </w:tcPr>
          <w:p w14:paraId="4BF3C329" w14:textId="77777777" w:rsidR="00492B58" w:rsidRPr="007C33E3" w:rsidRDefault="00492B58" w:rsidP="007C33E3">
            <w:pPr>
              <w:spacing w:after="0" w:line="240" w:lineRule="auto"/>
              <w:rPr>
                <w:rFonts w:eastAsia="Times New Roman" w:cs="Times New Roman"/>
                <w:b/>
                <w:bCs/>
                <w:color w:val="17365D"/>
                <w:sz w:val="18"/>
                <w:szCs w:val="18"/>
                <w:lang w:eastAsia="lv-LV"/>
              </w:rPr>
            </w:pPr>
          </w:p>
        </w:tc>
        <w:tc>
          <w:tcPr>
            <w:tcW w:w="1300" w:type="dxa"/>
            <w:tcBorders>
              <w:left w:val="nil"/>
              <w:bottom w:val="single" w:sz="4" w:space="0" w:color="17365D"/>
              <w:right w:val="nil"/>
            </w:tcBorders>
            <w:shd w:val="clear" w:color="000000" w:fill="B8CCE4"/>
            <w:vAlign w:val="center"/>
            <w:hideMark/>
          </w:tcPr>
          <w:p w14:paraId="6192DA87" w14:textId="1F04C354" w:rsidR="00492B58" w:rsidRPr="007C33E3" w:rsidRDefault="00571DD3" w:rsidP="007C33E3">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p</w:t>
            </w:r>
            <w:r w:rsidR="00492B58" w:rsidRPr="007C33E3">
              <w:rPr>
                <w:rFonts w:eastAsia="Times New Roman" w:cs="Times New Roman"/>
                <w:b/>
                <w:bCs/>
                <w:color w:val="17365D"/>
                <w:sz w:val="18"/>
                <w:szCs w:val="18"/>
                <w:lang w:eastAsia="lv-LV"/>
              </w:rPr>
              <w:t>ārskata perioda beigās</w:t>
            </w:r>
          </w:p>
        </w:tc>
        <w:tc>
          <w:tcPr>
            <w:tcW w:w="1252" w:type="dxa"/>
            <w:gridSpan w:val="2"/>
            <w:tcBorders>
              <w:left w:val="nil"/>
              <w:bottom w:val="single" w:sz="4" w:space="0" w:color="17365D"/>
              <w:right w:val="nil"/>
            </w:tcBorders>
            <w:shd w:val="clear" w:color="000000" w:fill="B8CCE4"/>
            <w:vAlign w:val="center"/>
            <w:hideMark/>
          </w:tcPr>
          <w:p w14:paraId="59D656B1" w14:textId="11DAEBB4" w:rsidR="00492B58" w:rsidRPr="007C33E3" w:rsidRDefault="00571DD3" w:rsidP="007C33E3">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p</w:t>
            </w:r>
            <w:r w:rsidR="00492B58" w:rsidRPr="007C33E3">
              <w:rPr>
                <w:rFonts w:eastAsia="Times New Roman" w:cs="Times New Roman"/>
                <w:b/>
                <w:bCs/>
                <w:color w:val="17365D"/>
                <w:sz w:val="18"/>
                <w:szCs w:val="18"/>
                <w:lang w:eastAsia="lv-LV"/>
              </w:rPr>
              <w:t>ārskata perioda sākumā</w:t>
            </w:r>
          </w:p>
        </w:tc>
        <w:tc>
          <w:tcPr>
            <w:tcW w:w="1417" w:type="dxa"/>
            <w:gridSpan w:val="2"/>
            <w:tcBorders>
              <w:left w:val="nil"/>
              <w:bottom w:val="single" w:sz="4" w:space="0" w:color="17365D"/>
              <w:right w:val="nil"/>
            </w:tcBorders>
            <w:shd w:val="clear" w:color="000000" w:fill="B8CCE4"/>
            <w:vAlign w:val="center"/>
            <w:hideMark/>
          </w:tcPr>
          <w:p w14:paraId="0EC8A27D" w14:textId="58723370" w:rsidR="00492B58" w:rsidRPr="007C33E3" w:rsidRDefault="00571DD3" w:rsidP="007C33E3">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p</w:t>
            </w:r>
            <w:r w:rsidR="00492B58" w:rsidRPr="007C33E3">
              <w:rPr>
                <w:rFonts w:eastAsia="Times New Roman" w:cs="Times New Roman"/>
                <w:b/>
                <w:bCs/>
                <w:color w:val="17365D"/>
                <w:sz w:val="18"/>
                <w:szCs w:val="18"/>
                <w:lang w:eastAsia="lv-LV"/>
              </w:rPr>
              <w:t>ārskata perioda beigās</w:t>
            </w:r>
          </w:p>
        </w:tc>
        <w:tc>
          <w:tcPr>
            <w:tcW w:w="1559" w:type="dxa"/>
            <w:gridSpan w:val="2"/>
            <w:tcBorders>
              <w:left w:val="nil"/>
              <w:bottom w:val="single" w:sz="4" w:space="0" w:color="17365D"/>
              <w:right w:val="nil"/>
            </w:tcBorders>
            <w:shd w:val="clear" w:color="000000" w:fill="B8CCE4"/>
            <w:vAlign w:val="center"/>
            <w:hideMark/>
          </w:tcPr>
          <w:p w14:paraId="420E5540" w14:textId="285BFC10" w:rsidR="00492B58" w:rsidRPr="007C33E3" w:rsidRDefault="00571DD3" w:rsidP="007C33E3">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p</w:t>
            </w:r>
            <w:r w:rsidR="00492B58" w:rsidRPr="007C33E3">
              <w:rPr>
                <w:rFonts w:eastAsia="Times New Roman" w:cs="Times New Roman"/>
                <w:b/>
                <w:bCs/>
                <w:color w:val="17365D"/>
                <w:sz w:val="18"/>
                <w:szCs w:val="18"/>
                <w:lang w:eastAsia="lv-LV"/>
              </w:rPr>
              <w:t>ārskata perioda sākumā</w:t>
            </w:r>
          </w:p>
        </w:tc>
        <w:tc>
          <w:tcPr>
            <w:tcW w:w="960" w:type="dxa"/>
            <w:tcBorders>
              <w:top w:val="single" w:sz="4" w:space="0" w:color="17365D"/>
              <w:left w:val="nil"/>
              <w:bottom w:val="single" w:sz="4" w:space="0" w:color="17365D"/>
              <w:right w:val="nil"/>
            </w:tcBorders>
            <w:shd w:val="clear" w:color="000000" w:fill="B8CCE4"/>
            <w:vAlign w:val="center"/>
            <w:hideMark/>
          </w:tcPr>
          <w:p w14:paraId="3AE948CC" w14:textId="4DE77304" w:rsidR="00492B58" w:rsidRPr="007C33E3" w:rsidRDefault="00571DD3" w:rsidP="007C33E3">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p</w:t>
            </w:r>
            <w:r w:rsidR="00492B58" w:rsidRPr="007C33E3">
              <w:rPr>
                <w:rFonts w:eastAsia="Times New Roman" w:cs="Times New Roman"/>
                <w:b/>
                <w:bCs/>
                <w:color w:val="17365D"/>
                <w:sz w:val="18"/>
                <w:szCs w:val="18"/>
                <w:lang w:eastAsia="lv-LV"/>
              </w:rPr>
              <w:t>ārskata perioda beigās</w:t>
            </w:r>
          </w:p>
        </w:tc>
        <w:tc>
          <w:tcPr>
            <w:tcW w:w="960" w:type="dxa"/>
            <w:tcBorders>
              <w:left w:val="nil"/>
              <w:bottom w:val="single" w:sz="4" w:space="0" w:color="17365D"/>
              <w:right w:val="nil"/>
            </w:tcBorders>
            <w:shd w:val="clear" w:color="000000" w:fill="B8CCE4"/>
            <w:vAlign w:val="center"/>
            <w:hideMark/>
          </w:tcPr>
          <w:p w14:paraId="229A9E11" w14:textId="458AA278" w:rsidR="00492B58" w:rsidRPr="007C33E3" w:rsidRDefault="00571DD3" w:rsidP="007C33E3">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p</w:t>
            </w:r>
            <w:r w:rsidR="00492B58" w:rsidRPr="007C33E3">
              <w:rPr>
                <w:rFonts w:eastAsia="Times New Roman" w:cs="Times New Roman"/>
                <w:b/>
                <w:bCs/>
                <w:color w:val="17365D"/>
                <w:sz w:val="18"/>
                <w:szCs w:val="18"/>
                <w:lang w:eastAsia="lv-LV"/>
              </w:rPr>
              <w:t xml:space="preserve">ārskata perioda sākumā </w:t>
            </w:r>
          </w:p>
        </w:tc>
        <w:tc>
          <w:tcPr>
            <w:tcW w:w="1640" w:type="dxa"/>
            <w:vMerge/>
            <w:tcBorders>
              <w:left w:val="nil"/>
              <w:bottom w:val="single" w:sz="4" w:space="0" w:color="17365D"/>
              <w:right w:val="nil"/>
            </w:tcBorders>
            <w:vAlign w:val="center"/>
            <w:hideMark/>
          </w:tcPr>
          <w:p w14:paraId="20AEB17E" w14:textId="77777777" w:rsidR="00492B58" w:rsidRPr="007C33E3" w:rsidRDefault="00492B58" w:rsidP="007C33E3">
            <w:pPr>
              <w:spacing w:after="0" w:line="240" w:lineRule="auto"/>
              <w:rPr>
                <w:rFonts w:eastAsia="Times New Roman" w:cs="Times New Roman"/>
                <w:b/>
                <w:bCs/>
                <w:color w:val="17365D"/>
                <w:sz w:val="18"/>
                <w:szCs w:val="18"/>
                <w:lang w:eastAsia="lv-LV"/>
              </w:rPr>
            </w:pPr>
          </w:p>
        </w:tc>
      </w:tr>
      <w:tr w:rsidR="00732F88" w:rsidRPr="007C33E3" w14:paraId="795BB04D" w14:textId="77777777" w:rsidTr="009A4177">
        <w:trPr>
          <w:trHeight w:val="276"/>
          <w:tblHeader/>
        </w:trPr>
        <w:tc>
          <w:tcPr>
            <w:tcW w:w="5529" w:type="dxa"/>
            <w:tcBorders>
              <w:top w:val="single" w:sz="4" w:space="0" w:color="17365D"/>
              <w:left w:val="nil"/>
              <w:bottom w:val="single" w:sz="4" w:space="0" w:color="17365D"/>
              <w:right w:val="nil"/>
            </w:tcBorders>
            <w:shd w:val="clear" w:color="auto" w:fill="auto"/>
            <w:vAlign w:val="center"/>
            <w:hideMark/>
          </w:tcPr>
          <w:p w14:paraId="594F42B8"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A</w:t>
            </w:r>
          </w:p>
        </w:tc>
        <w:tc>
          <w:tcPr>
            <w:tcW w:w="1300" w:type="dxa"/>
            <w:tcBorders>
              <w:top w:val="single" w:sz="4" w:space="0" w:color="17365D"/>
              <w:left w:val="nil"/>
              <w:bottom w:val="single" w:sz="4" w:space="0" w:color="17365D"/>
              <w:right w:val="nil"/>
            </w:tcBorders>
            <w:shd w:val="clear" w:color="auto" w:fill="auto"/>
            <w:vAlign w:val="center"/>
            <w:hideMark/>
          </w:tcPr>
          <w:p w14:paraId="50BF6FE6"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1</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5B34A956"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E513FD5"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3</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E0A7DF5"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4</w:t>
            </w:r>
          </w:p>
        </w:tc>
        <w:tc>
          <w:tcPr>
            <w:tcW w:w="960" w:type="dxa"/>
            <w:tcBorders>
              <w:top w:val="single" w:sz="4" w:space="0" w:color="17365D"/>
              <w:left w:val="nil"/>
              <w:bottom w:val="single" w:sz="4" w:space="0" w:color="17365D"/>
              <w:right w:val="nil"/>
            </w:tcBorders>
            <w:shd w:val="clear" w:color="auto" w:fill="auto"/>
            <w:vAlign w:val="center"/>
            <w:hideMark/>
          </w:tcPr>
          <w:p w14:paraId="538F06F4"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w:t>
            </w:r>
          </w:p>
        </w:tc>
        <w:tc>
          <w:tcPr>
            <w:tcW w:w="960" w:type="dxa"/>
            <w:tcBorders>
              <w:top w:val="single" w:sz="4" w:space="0" w:color="17365D"/>
              <w:left w:val="nil"/>
              <w:bottom w:val="single" w:sz="4" w:space="0" w:color="17365D"/>
              <w:right w:val="nil"/>
            </w:tcBorders>
            <w:shd w:val="clear" w:color="auto" w:fill="auto"/>
            <w:vAlign w:val="center"/>
            <w:hideMark/>
          </w:tcPr>
          <w:p w14:paraId="310AAE83"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6</w:t>
            </w:r>
          </w:p>
        </w:tc>
        <w:tc>
          <w:tcPr>
            <w:tcW w:w="1640" w:type="dxa"/>
            <w:tcBorders>
              <w:top w:val="single" w:sz="4" w:space="0" w:color="17365D"/>
              <w:left w:val="nil"/>
              <w:bottom w:val="single" w:sz="4" w:space="0" w:color="17365D"/>
              <w:right w:val="nil"/>
            </w:tcBorders>
            <w:shd w:val="clear" w:color="auto" w:fill="auto"/>
            <w:vAlign w:val="center"/>
            <w:hideMark/>
          </w:tcPr>
          <w:p w14:paraId="01D59256"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8</w:t>
            </w:r>
          </w:p>
        </w:tc>
      </w:tr>
      <w:tr w:rsidR="00732F88" w:rsidRPr="007C33E3" w14:paraId="32A33DB9"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4D87699E"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Aktīvs</w:t>
            </w:r>
          </w:p>
        </w:tc>
        <w:tc>
          <w:tcPr>
            <w:tcW w:w="1300" w:type="dxa"/>
            <w:tcBorders>
              <w:top w:val="single" w:sz="4" w:space="0" w:color="17365D"/>
              <w:left w:val="nil"/>
              <w:bottom w:val="single" w:sz="4" w:space="0" w:color="17365D"/>
              <w:right w:val="nil"/>
            </w:tcBorders>
            <w:shd w:val="clear" w:color="auto" w:fill="auto"/>
            <w:vAlign w:val="center"/>
            <w:hideMark/>
          </w:tcPr>
          <w:p w14:paraId="5EEBB5AD"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3A5A18A"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432EFFE"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12DBA57"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125277FF"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00D223B1"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640" w:type="dxa"/>
            <w:tcBorders>
              <w:top w:val="single" w:sz="4" w:space="0" w:color="17365D"/>
              <w:left w:val="nil"/>
              <w:bottom w:val="single" w:sz="4" w:space="0" w:color="17365D"/>
              <w:right w:val="nil"/>
            </w:tcBorders>
            <w:shd w:val="clear" w:color="auto" w:fill="auto"/>
            <w:vAlign w:val="center"/>
            <w:hideMark/>
          </w:tcPr>
          <w:p w14:paraId="18AFFDAB" w14:textId="77777777" w:rsidR="007C33E3" w:rsidRPr="007C33E3" w:rsidRDefault="007C33E3" w:rsidP="007C33E3">
            <w:pPr>
              <w:spacing w:after="0" w:line="240" w:lineRule="auto"/>
              <w:jc w:val="center"/>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r>
      <w:tr w:rsidR="00732F88" w:rsidRPr="007C33E3" w14:paraId="70C3C8CE" w14:textId="77777777" w:rsidTr="009A4177">
        <w:trPr>
          <w:trHeight w:val="291"/>
        </w:trPr>
        <w:tc>
          <w:tcPr>
            <w:tcW w:w="5529" w:type="dxa"/>
            <w:tcBorders>
              <w:top w:val="single" w:sz="4" w:space="0" w:color="17365D"/>
              <w:left w:val="nil"/>
              <w:bottom w:val="single" w:sz="4" w:space="0" w:color="17365D"/>
              <w:right w:val="nil"/>
            </w:tcBorders>
            <w:shd w:val="clear" w:color="auto" w:fill="auto"/>
            <w:vAlign w:val="center"/>
            <w:hideMark/>
          </w:tcPr>
          <w:p w14:paraId="3B83B4D1"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ieguldījumi</w:t>
            </w:r>
          </w:p>
        </w:tc>
        <w:tc>
          <w:tcPr>
            <w:tcW w:w="1300" w:type="dxa"/>
            <w:tcBorders>
              <w:top w:val="single" w:sz="4" w:space="0" w:color="17365D"/>
              <w:left w:val="nil"/>
              <w:bottom w:val="single" w:sz="4" w:space="0" w:color="17365D"/>
              <w:right w:val="nil"/>
            </w:tcBorders>
            <w:shd w:val="clear" w:color="auto" w:fill="auto"/>
            <w:vAlign w:val="center"/>
            <w:hideMark/>
          </w:tcPr>
          <w:p w14:paraId="46BC868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4 293 211</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98123C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-7 691 092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7A479C5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-2 760 061 502</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2845447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-2 431 668 291</w:t>
            </w:r>
          </w:p>
        </w:tc>
        <w:tc>
          <w:tcPr>
            <w:tcW w:w="960" w:type="dxa"/>
            <w:tcBorders>
              <w:top w:val="single" w:sz="4" w:space="0" w:color="17365D"/>
              <w:left w:val="nil"/>
              <w:bottom w:val="single" w:sz="4" w:space="0" w:color="17365D"/>
              <w:right w:val="nil"/>
            </w:tcBorders>
            <w:shd w:val="clear" w:color="auto" w:fill="auto"/>
            <w:vAlign w:val="center"/>
            <w:hideMark/>
          </w:tcPr>
          <w:p w14:paraId="045F7BB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E190A9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01B751A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1 722 392</w:t>
            </w:r>
          </w:p>
        </w:tc>
      </w:tr>
      <w:tr w:rsidR="00732F88" w:rsidRPr="007C33E3" w14:paraId="26502E98" w14:textId="77777777" w:rsidTr="009A4177">
        <w:trPr>
          <w:trHeight w:val="285"/>
        </w:trPr>
        <w:tc>
          <w:tcPr>
            <w:tcW w:w="5529" w:type="dxa"/>
            <w:tcBorders>
              <w:top w:val="single" w:sz="4" w:space="0" w:color="17365D"/>
              <w:left w:val="nil"/>
              <w:bottom w:val="single" w:sz="4" w:space="0" w:color="17365D"/>
              <w:right w:val="nil"/>
            </w:tcBorders>
            <w:shd w:val="clear" w:color="auto" w:fill="auto"/>
            <w:vAlign w:val="center"/>
            <w:hideMark/>
          </w:tcPr>
          <w:p w14:paraId="21FB8AF0"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Nemateriālie ieguldījumi</w:t>
            </w:r>
          </w:p>
        </w:tc>
        <w:tc>
          <w:tcPr>
            <w:tcW w:w="1300" w:type="dxa"/>
            <w:tcBorders>
              <w:top w:val="single" w:sz="4" w:space="0" w:color="17365D"/>
              <w:left w:val="nil"/>
              <w:bottom w:val="single" w:sz="4" w:space="0" w:color="17365D"/>
              <w:right w:val="nil"/>
            </w:tcBorders>
            <w:shd w:val="clear" w:color="auto" w:fill="auto"/>
            <w:vAlign w:val="center"/>
            <w:hideMark/>
          </w:tcPr>
          <w:p w14:paraId="4A0DEC9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339F05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0C5F5C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-160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572814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-968</w:t>
            </w:r>
          </w:p>
        </w:tc>
        <w:tc>
          <w:tcPr>
            <w:tcW w:w="960" w:type="dxa"/>
            <w:tcBorders>
              <w:top w:val="single" w:sz="4" w:space="0" w:color="17365D"/>
              <w:left w:val="nil"/>
              <w:bottom w:val="single" w:sz="4" w:space="0" w:color="17365D"/>
              <w:right w:val="nil"/>
            </w:tcBorders>
            <w:shd w:val="clear" w:color="auto" w:fill="auto"/>
            <w:vAlign w:val="center"/>
            <w:hideMark/>
          </w:tcPr>
          <w:p w14:paraId="04D72EA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E269C8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3A4FE6A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744 980</w:t>
            </w:r>
          </w:p>
        </w:tc>
      </w:tr>
      <w:tr w:rsidR="00732F88" w:rsidRPr="007C33E3" w14:paraId="400378D5"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6D185136"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Attīstības pasākumi un programmas</w:t>
            </w:r>
          </w:p>
        </w:tc>
        <w:tc>
          <w:tcPr>
            <w:tcW w:w="1300" w:type="dxa"/>
            <w:tcBorders>
              <w:top w:val="single" w:sz="4" w:space="0" w:color="17365D"/>
              <w:left w:val="nil"/>
              <w:bottom w:val="single" w:sz="4" w:space="0" w:color="17365D"/>
              <w:right w:val="nil"/>
            </w:tcBorders>
            <w:shd w:val="clear" w:color="auto" w:fill="auto"/>
            <w:vAlign w:val="center"/>
            <w:hideMark/>
          </w:tcPr>
          <w:p w14:paraId="58F0763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BF3B72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FC7371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898CC2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8DD2F4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86B0C8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DCCAC8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-311</w:t>
            </w:r>
          </w:p>
        </w:tc>
      </w:tr>
      <w:tr w:rsidR="00732F88" w:rsidRPr="007C33E3" w14:paraId="14E32154" w14:textId="77777777" w:rsidTr="009A4177">
        <w:trPr>
          <w:trHeight w:val="251"/>
        </w:trPr>
        <w:tc>
          <w:tcPr>
            <w:tcW w:w="5529" w:type="dxa"/>
            <w:tcBorders>
              <w:top w:val="single" w:sz="4" w:space="0" w:color="17365D"/>
              <w:left w:val="nil"/>
              <w:bottom w:val="single" w:sz="4" w:space="0" w:color="17365D"/>
              <w:right w:val="nil"/>
            </w:tcBorders>
            <w:shd w:val="clear" w:color="auto" w:fill="auto"/>
            <w:vAlign w:val="center"/>
            <w:hideMark/>
          </w:tcPr>
          <w:p w14:paraId="603F4949"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Licences, koncesijas un patenti, preču zīmes un tamlīdzīgas tiesības</w:t>
            </w:r>
          </w:p>
        </w:tc>
        <w:tc>
          <w:tcPr>
            <w:tcW w:w="1300" w:type="dxa"/>
            <w:tcBorders>
              <w:top w:val="single" w:sz="4" w:space="0" w:color="17365D"/>
              <w:left w:val="nil"/>
              <w:bottom w:val="single" w:sz="4" w:space="0" w:color="17365D"/>
              <w:right w:val="nil"/>
            </w:tcBorders>
            <w:shd w:val="clear" w:color="auto" w:fill="auto"/>
            <w:vAlign w:val="center"/>
            <w:hideMark/>
          </w:tcPr>
          <w:p w14:paraId="76EB616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F050EE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01A77D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274092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88F46A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B9549D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93E44D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745 291</w:t>
            </w:r>
          </w:p>
        </w:tc>
      </w:tr>
      <w:tr w:rsidR="00732F88" w:rsidRPr="007C33E3" w14:paraId="02D81E59" w14:textId="77777777" w:rsidTr="009A4177">
        <w:trPr>
          <w:trHeight w:val="256"/>
        </w:trPr>
        <w:tc>
          <w:tcPr>
            <w:tcW w:w="5529" w:type="dxa"/>
            <w:tcBorders>
              <w:top w:val="single" w:sz="4" w:space="0" w:color="17365D"/>
              <w:left w:val="nil"/>
              <w:bottom w:val="single" w:sz="4" w:space="0" w:color="17365D"/>
              <w:right w:val="nil"/>
            </w:tcBorders>
            <w:shd w:val="clear" w:color="auto" w:fill="auto"/>
            <w:vAlign w:val="center"/>
            <w:hideMark/>
          </w:tcPr>
          <w:p w14:paraId="688262B6"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Avansa maksājumi par nemateriālajiem ieguldījumiem</w:t>
            </w:r>
          </w:p>
        </w:tc>
        <w:tc>
          <w:tcPr>
            <w:tcW w:w="1300" w:type="dxa"/>
            <w:tcBorders>
              <w:top w:val="single" w:sz="4" w:space="0" w:color="17365D"/>
              <w:left w:val="nil"/>
              <w:bottom w:val="single" w:sz="4" w:space="0" w:color="17365D"/>
              <w:right w:val="nil"/>
            </w:tcBorders>
            <w:shd w:val="clear" w:color="auto" w:fill="auto"/>
            <w:vAlign w:val="center"/>
            <w:hideMark/>
          </w:tcPr>
          <w:p w14:paraId="6D11E01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61CEDBD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7D4F9A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-160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207A9C7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-968</w:t>
            </w:r>
          </w:p>
        </w:tc>
        <w:tc>
          <w:tcPr>
            <w:tcW w:w="960" w:type="dxa"/>
            <w:tcBorders>
              <w:top w:val="single" w:sz="4" w:space="0" w:color="17365D"/>
              <w:left w:val="nil"/>
              <w:bottom w:val="single" w:sz="4" w:space="0" w:color="17365D"/>
              <w:right w:val="nil"/>
            </w:tcBorders>
            <w:shd w:val="clear" w:color="auto" w:fill="auto"/>
            <w:vAlign w:val="center"/>
            <w:hideMark/>
          </w:tcPr>
          <w:p w14:paraId="1AD1536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B7A606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0D1272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764D9F88"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810F6A1"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Pamatlīdzekļi</w:t>
            </w:r>
          </w:p>
        </w:tc>
        <w:tc>
          <w:tcPr>
            <w:tcW w:w="1300" w:type="dxa"/>
            <w:tcBorders>
              <w:top w:val="single" w:sz="4" w:space="0" w:color="17365D"/>
              <w:left w:val="nil"/>
              <w:bottom w:val="single" w:sz="4" w:space="0" w:color="17365D"/>
              <w:right w:val="nil"/>
            </w:tcBorders>
            <w:shd w:val="clear" w:color="auto" w:fill="auto"/>
            <w:vAlign w:val="center"/>
            <w:hideMark/>
          </w:tcPr>
          <w:p w14:paraId="7DD23E1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05A5647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50B9D7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-5 592</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19A4CA9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-579</w:t>
            </w:r>
          </w:p>
        </w:tc>
        <w:tc>
          <w:tcPr>
            <w:tcW w:w="960" w:type="dxa"/>
            <w:tcBorders>
              <w:top w:val="single" w:sz="4" w:space="0" w:color="17365D"/>
              <w:left w:val="nil"/>
              <w:bottom w:val="single" w:sz="4" w:space="0" w:color="17365D"/>
              <w:right w:val="nil"/>
            </w:tcBorders>
            <w:shd w:val="clear" w:color="auto" w:fill="auto"/>
            <w:vAlign w:val="center"/>
            <w:hideMark/>
          </w:tcPr>
          <w:p w14:paraId="61FC5C4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96C880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3AA460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2 033 956</w:t>
            </w:r>
          </w:p>
        </w:tc>
      </w:tr>
      <w:tr w:rsidR="00732F88" w:rsidRPr="007C33E3" w14:paraId="60EA8649"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AEE2390"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Zeme un būves</w:t>
            </w:r>
          </w:p>
        </w:tc>
        <w:tc>
          <w:tcPr>
            <w:tcW w:w="1300" w:type="dxa"/>
            <w:tcBorders>
              <w:top w:val="single" w:sz="4" w:space="0" w:color="17365D"/>
              <w:left w:val="nil"/>
              <w:bottom w:val="single" w:sz="4" w:space="0" w:color="17365D"/>
              <w:right w:val="nil"/>
            </w:tcBorders>
            <w:shd w:val="clear" w:color="auto" w:fill="auto"/>
            <w:vAlign w:val="center"/>
            <w:hideMark/>
          </w:tcPr>
          <w:p w14:paraId="3CD7083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0638CC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61BD9B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157B7F1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DC7981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D231C3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36FE9D6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1 108 542</w:t>
            </w:r>
          </w:p>
        </w:tc>
      </w:tr>
      <w:tr w:rsidR="00732F88" w:rsidRPr="007C33E3" w14:paraId="4BE14550"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202E8BFE"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Tehnoloģiskās iekārtas un mašīnas</w:t>
            </w:r>
          </w:p>
        </w:tc>
        <w:tc>
          <w:tcPr>
            <w:tcW w:w="1300" w:type="dxa"/>
            <w:tcBorders>
              <w:top w:val="single" w:sz="4" w:space="0" w:color="17365D"/>
              <w:left w:val="nil"/>
              <w:bottom w:val="single" w:sz="4" w:space="0" w:color="17365D"/>
              <w:right w:val="nil"/>
            </w:tcBorders>
            <w:shd w:val="clear" w:color="auto" w:fill="auto"/>
            <w:vAlign w:val="center"/>
            <w:hideMark/>
          </w:tcPr>
          <w:p w14:paraId="34BD513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5DE1587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90B8A8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ACE007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BF56BA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13031B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0EF6AC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-22 278</w:t>
            </w:r>
          </w:p>
        </w:tc>
      </w:tr>
      <w:tr w:rsidR="00732F88" w:rsidRPr="007C33E3" w14:paraId="544F888C"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C2CFE28"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Pārējie pamatlīdzekļi</w:t>
            </w:r>
          </w:p>
        </w:tc>
        <w:tc>
          <w:tcPr>
            <w:tcW w:w="1300" w:type="dxa"/>
            <w:tcBorders>
              <w:top w:val="single" w:sz="4" w:space="0" w:color="17365D"/>
              <w:left w:val="nil"/>
              <w:bottom w:val="single" w:sz="4" w:space="0" w:color="17365D"/>
              <w:right w:val="nil"/>
            </w:tcBorders>
            <w:shd w:val="clear" w:color="auto" w:fill="auto"/>
            <w:vAlign w:val="center"/>
            <w:hideMark/>
          </w:tcPr>
          <w:p w14:paraId="051F142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45605C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328475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B456FE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1E1E91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2B74BC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0CE1FA6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397 939</w:t>
            </w:r>
          </w:p>
        </w:tc>
      </w:tr>
      <w:tr w:rsidR="00732F88" w:rsidRPr="007C33E3" w14:paraId="75A2E90C" w14:textId="77777777" w:rsidTr="009A4177">
        <w:trPr>
          <w:trHeight w:val="347"/>
        </w:trPr>
        <w:tc>
          <w:tcPr>
            <w:tcW w:w="5529" w:type="dxa"/>
            <w:tcBorders>
              <w:top w:val="single" w:sz="4" w:space="0" w:color="17365D"/>
              <w:left w:val="nil"/>
              <w:bottom w:val="single" w:sz="4" w:space="0" w:color="17365D"/>
              <w:right w:val="nil"/>
            </w:tcBorders>
            <w:shd w:val="clear" w:color="auto" w:fill="auto"/>
            <w:vAlign w:val="center"/>
            <w:hideMark/>
          </w:tcPr>
          <w:p w14:paraId="0A3641DF"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Pamatlīdzekļu izveidošana un nepabeigtā būvniecība</w:t>
            </w:r>
          </w:p>
        </w:tc>
        <w:tc>
          <w:tcPr>
            <w:tcW w:w="1300" w:type="dxa"/>
            <w:tcBorders>
              <w:top w:val="single" w:sz="4" w:space="0" w:color="17365D"/>
              <w:left w:val="nil"/>
              <w:bottom w:val="single" w:sz="4" w:space="0" w:color="17365D"/>
              <w:right w:val="nil"/>
            </w:tcBorders>
            <w:shd w:val="clear" w:color="auto" w:fill="auto"/>
            <w:vAlign w:val="center"/>
            <w:hideMark/>
          </w:tcPr>
          <w:p w14:paraId="5E89C7C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66C1E6D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7C2E11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A41EE4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E5FA34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607306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2CD800C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-178 368</w:t>
            </w:r>
          </w:p>
        </w:tc>
      </w:tr>
      <w:tr w:rsidR="00732F88" w:rsidRPr="007C33E3" w14:paraId="71CE9CB5"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05D35CE3"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Avansa maksājumi par pamatlīdzekļiem</w:t>
            </w:r>
          </w:p>
        </w:tc>
        <w:tc>
          <w:tcPr>
            <w:tcW w:w="1300" w:type="dxa"/>
            <w:tcBorders>
              <w:top w:val="single" w:sz="4" w:space="0" w:color="17365D"/>
              <w:left w:val="nil"/>
              <w:bottom w:val="single" w:sz="4" w:space="0" w:color="17365D"/>
              <w:right w:val="nil"/>
            </w:tcBorders>
            <w:shd w:val="clear" w:color="auto" w:fill="auto"/>
            <w:vAlign w:val="center"/>
            <w:hideMark/>
          </w:tcPr>
          <w:p w14:paraId="189F16C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A38BCF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DB6E55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-5 592</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C89139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-579</w:t>
            </w:r>
          </w:p>
        </w:tc>
        <w:tc>
          <w:tcPr>
            <w:tcW w:w="960" w:type="dxa"/>
            <w:tcBorders>
              <w:top w:val="single" w:sz="4" w:space="0" w:color="17365D"/>
              <w:left w:val="nil"/>
              <w:bottom w:val="single" w:sz="4" w:space="0" w:color="17365D"/>
              <w:right w:val="nil"/>
            </w:tcBorders>
            <w:shd w:val="clear" w:color="auto" w:fill="auto"/>
            <w:vAlign w:val="center"/>
            <w:hideMark/>
          </w:tcPr>
          <w:p w14:paraId="41C28C8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F95379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7A823F9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728 121</w:t>
            </w:r>
          </w:p>
        </w:tc>
      </w:tr>
      <w:tr w:rsidR="00732F88" w:rsidRPr="007C33E3" w14:paraId="513EA5A1"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E5EBA93"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finanšu ieguldījumi</w:t>
            </w:r>
          </w:p>
        </w:tc>
        <w:tc>
          <w:tcPr>
            <w:tcW w:w="1300" w:type="dxa"/>
            <w:tcBorders>
              <w:top w:val="single" w:sz="4" w:space="0" w:color="17365D"/>
              <w:left w:val="nil"/>
              <w:bottom w:val="single" w:sz="4" w:space="0" w:color="17365D"/>
              <w:right w:val="nil"/>
            </w:tcBorders>
            <w:shd w:val="clear" w:color="auto" w:fill="auto"/>
            <w:vAlign w:val="center"/>
            <w:hideMark/>
          </w:tcPr>
          <w:p w14:paraId="332865C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4 293 211</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FD47A7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-7 691 092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56B5A3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-2 720 116 083</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271875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-2 423 023 559</w:t>
            </w:r>
          </w:p>
        </w:tc>
        <w:tc>
          <w:tcPr>
            <w:tcW w:w="960" w:type="dxa"/>
            <w:tcBorders>
              <w:top w:val="single" w:sz="4" w:space="0" w:color="17365D"/>
              <w:left w:val="nil"/>
              <w:bottom w:val="single" w:sz="4" w:space="0" w:color="17365D"/>
              <w:right w:val="nil"/>
            </w:tcBorders>
            <w:shd w:val="clear" w:color="auto" w:fill="auto"/>
            <w:vAlign w:val="center"/>
            <w:hideMark/>
          </w:tcPr>
          <w:p w14:paraId="5860E7E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8AD224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507A48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1 017 058</w:t>
            </w:r>
          </w:p>
        </w:tc>
      </w:tr>
      <w:tr w:rsidR="00732F88" w:rsidRPr="007C33E3" w14:paraId="380D1E43" w14:textId="77777777" w:rsidTr="009A4177">
        <w:trPr>
          <w:trHeight w:val="248"/>
        </w:trPr>
        <w:tc>
          <w:tcPr>
            <w:tcW w:w="5529" w:type="dxa"/>
            <w:tcBorders>
              <w:top w:val="single" w:sz="4" w:space="0" w:color="17365D"/>
              <w:left w:val="nil"/>
              <w:bottom w:val="single" w:sz="4" w:space="0" w:color="17365D"/>
              <w:right w:val="nil"/>
            </w:tcBorders>
            <w:shd w:val="clear" w:color="auto" w:fill="auto"/>
            <w:vAlign w:val="center"/>
            <w:hideMark/>
          </w:tcPr>
          <w:p w14:paraId="6B64F73D"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Līdzdalība radniecīgo kapitālsabiedrību kapitālā</w:t>
            </w:r>
          </w:p>
        </w:tc>
        <w:tc>
          <w:tcPr>
            <w:tcW w:w="1300" w:type="dxa"/>
            <w:tcBorders>
              <w:top w:val="single" w:sz="4" w:space="0" w:color="17365D"/>
              <w:left w:val="nil"/>
              <w:bottom w:val="single" w:sz="4" w:space="0" w:color="17365D"/>
              <w:right w:val="nil"/>
            </w:tcBorders>
            <w:shd w:val="clear" w:color="auto" w:fill="auto"/>
            <w:vAlign w:val="center"/>
            <w:hideMark/>
          </w:tcPr>
          <w:p w14:paraId="1B6DD2A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596 716 434</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5F361A8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551 039 577</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9A4245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91367D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883601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-227 400</w:t>
            </w:r>
          </w:p>
        </w:tc>
        <w:tc>
          <w:tcPr>
            <w:tcW w:w="960" w:type="dxa"/>
            <w:tcBorders>
              <w:top w:val="single" w:sz="4" w:space="0" w:color="17365D"/>
              <w:left w:val="nil"/>
              <w:bottom w:val="single" w:sz="4" w:space="0" w:color="17365D"/>
              <w:right w:val="nil"/>
            </w:tcBorders>
            <w:shd w:val="clear" w:color="auto" w:fill="auto"/>
            <w:vAlign w:val="center"/>
            <w:hideMark/>
          </w:tcPr>
          <w:p w14:paraId="530A736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-227 400</w:t>
            </w:r>
          </w:p>
        </w:tc>
        <w:tc>
          <w:tcPr>
            <w:tcW w:w="1640" w:type="dxa"/>
            <w:tcBorders>
              <w:top w:val="single" w:sz="4" w:space="0" w:color="17365D"/>
              <w:left w:val="nil"/>
              <w:bottom w:val="single" w:sz="4" w:space="0" w:color="17365D"/>
              <w:right w:val="nil"/>
            </w:tcBorders>
            <w:shd w:val="clear" w:color="auto" w:fill="auto"/>
            <w:vAlign w:val="center"/>
            <w:hideMark/>
          </w:tcPr>
          <w:p w14:paraId="52F910F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-1 647 097</w:t>
            </w:r>
          </w:p>
        </w:tc>
      </w:tr>
      <w:tr w:rsidR="00732F88" w:rsidRPr="007C33E3" w14:paraId="51BB79DF" w14:textId="77777777" w:rsidTr="009A4177">
        <w:trPr>
          <w:trHeight w:val="254"/>
        </w:trPr>
        <w:tc>
          <w:tcPr>
            <w:tcW w:w="5529" w:type="dxa"/>
            <w:tcBorders>
              <w:top w:val="single" w:sz="4" w:space="0" w:color="17365D"/>
              <w:left w:val="nil"/>
              <w:bottom w:val="single" w:sz="4" w:space="0" w:color="17365D"/>
              <w:right w:val="nil"/>
            </w:tcBorders>
            <w:shd w:val="clear" w:color="auto" w:fill="auto"/>
            <w:vAlign w:val="center"/>
            <w:hideMark/>
          </w:tcPr>
          <w:p w14:paraId="6A4EC934"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Līdzdalība asociēto kapitālsabiedrību kapitālā</w:t>
            </w:r>
          </w:p>
        </w:tc>
        <w:tc>
          <w:tcPr>
            <w:tcW w:w="1300" w:type="dxa"/>
            <w:tcBorders>
              <w:top w:val="single" w:sz="4" w:space="0" w:color="17365D"/>
              <w:left w:val="nil"/>
              <w:bottom w:val="single" w:sz="4" w:space="0" w:color="17365D"/>
              <w:right w:val="nil"/>
            </w:tcBorders>
            <w:shd w:val="clear" w:color="auto" w:fill="auto"/>
            <w:vAlign w:val="center"/>
            <w:hideMark/>
          </w:tcPr>
          <w:p w14:paraId="6B89BA1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-585 675 854</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DB3E06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-553 974 400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18B50BD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494F07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0D983C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227 400</w:t>
            </w:r>
          </w:p>
        </w:tc>
        <w:tc>
          <w:tcPr>
            <w:tcW w:w="960" w:type="dxa"/>
            <w:tcBorders>
              <w:top w:val="single" w:sz="4" w:space="0" w:color="17365D"/>
              <w:left w:val="nil"/>
              <w:bottom w:val="single" w:sz="4" w:space="0" w:color="17365D"/>
              <w:right w:val="nil"/>
            </w:tcBorders>
            <w:shd w:val="clear" w:color="auto" w:fill="auto"/>
            <w:vAlign w:val="center"/>
            <w:hideMark/>
          </w:tcPr>
          <w:p w14:paraId="03A264C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227 400</w:t>
            </w:r>
          </w:p>
        </w:tc>
        <w:tc>
          <w:tcPr>
            <w:tcW w:w="1640" w:type="dxa"/>
            <w:tcBorders>
              <w:top w:val="single" w:sz="4" w:space="0" w:color="17365D"/>
              <w:left w:val="nil"/>
              <w:bottom w:val="single" w:sz="4" w:space="0" w:color="17365D"/>
              <w:right w:val="nil"/>
            </w:tcBorders>
            <w:shd w:val="clear" w:color="auto" w:fill="auto"/>
            <w:vAlign w:val="center"/>
            <w:hideMark/>
          </w:tcPr>
          <w:p w14:paraId="08020D0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2 650 697</w:t>
            </w:r>
          </w:p>
        </w:tc>
      </w:tr>
      <w:tr w:rsidR="00732F88" w:rsidRPr="007C33E3" w14:paraId="7B81DBB6"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203F4B29"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aizdevumi</w:t>
            </w:r>
          </w:p>
        </w:tc>
        <w:tc>
          <w:tcPr>
            <w:tcW w:w="1300" w:type="dxa"/>
            <w:tcBorders>
              <w:top w:val="single" w:sz="4" w:space="0" w:color="17365D"/>
              <w:left w:val="nil"/>
              <w:bottom w:val="single" w:sz="4" w:space="0" w:color="17365D"/>
              <w:right w:val="nil"/>
            </w:tcBorders>
            <w:shd w:val="clear" w:color="auto" w:fill="auto"/>
            <w:vAlign w:val="center"/>
            <w:hideMark/>
          </w:tcPr>
          <w:p w14:paraId="373333F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25E77C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D260BB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-1 720 116 083</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79B95E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-1 688 088 823</w:t>
            </w:r>
          </w:p>
        </w:tc>
        <w:tc>
          <w:tcPr>
            <w:tcW w:w="960" w:type="dxa"/>
            <w:tcBorders>
              <w:top w:val="single" w:sz="4" w:space="0" w:color="17365D"/>
              <w:left w:val="nil"/>
              <w:bottom w:val="single" w:sz="4" w:space="0" w:color="17365D"/>
              <w:right w:val="nil"/>
            </w:tcBorders>
            <w:shd w:val="clear" w:color="auto" w:fill="auto"/>
            <w:vAlign w:val="center"/>
            <w:hideMark/>
          </w:tcPr>
          <w:p w14:paraId="26D2FB3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6FC324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4221B6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137C92E1"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FD6D625"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Pārējie ilgtermiņa finanšu ieguldījumi</w:t>
            </w:r>
          </w:p>
        </w:tc>
        <w:tc>
          <w:tcPr>
            <w:tcW w:w="1300" w:type="dxa"/>
            <w:tcBorders>
              <w:top w:val="single" w:sz="4" w:space="0" w:color="17365D"/>
              <w:left w:val="nil"/>
              <w:bottom w:val="single" w:sz="4" w:space="0" w:color="17365D"/>
              <w:right w:val="nil"/>
            </w:tcBorders>
            <w:shd w:val="clear" w:color="auto" w:fill="auto"/>
            <w:vAlign w:val="center"/>
            <w:hideMark/>
          </w:tcPr>
          <w:p w14:paraId="2FE21B3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-6 747 369</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039E0C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-4 756 269</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1771BC3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14E561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54A38A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B6B44C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D39F51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13 458</w:t>
            </w:r>
          </w:p>
        </w:tc>
      </w:tr>
      <w:tr w:rsidR="00732F88" w:rsidRPr="007C33E3" w14:paraId="1CC88839"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2D1B9090"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noguldījumi</w:t>
            </w:r>
          </w:p>
        </w:tc>
        <w:tc>
          <w:tcPr>
            <w:tcW w:w="1300" w:type="dxa"/>
            <w:tcBorders>
              <w:top w:val="single" w:sz="4" w:space="0" w:color="17365D"/>
              <w:left w:val="nil"/>
              <w:bottom w:val="single" w:sz="4" w:space="0" w:color="17365D"/>
              <w:right w:val="nil"/>
            </w:tcBorders>
            <w:shd w:val="clear" w:color="auto" w:fill="auto"/>
            <w:vAlign w:val="center"/>
            <w:hideMark/>
          </w:tcPr>
          <w:p w14:paraId="1585C17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75B2A2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F6CD7B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-1 000 000 000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D9B334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-734 934 736</w:t>
            </w:r>
          </w:p>
        </w:tc>
        <w:tc>
          <w:tcPr>
            <w:tcW w:w="960" w:type="dxa"/>
            <w:tcBorders>
              <w:top w:val="single" w:sz="4" w:space="0" w:color="17365D"/>
              <w:left w:val="nil"/>
              <w:bottom w:val="single" w:sz="4" w:space="0" w:color="17365D"/>
              <w:right w:val="nil"/>
            </w:tcBorders>
            <w:shd w:val="clear" w:color="auto" w:fill="auto"/>
            <w:vAlign w:val="center"/>
            <w:hideMark/>
          </w:tcPr>
          <w:p w14:paraId="260B41C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8E722F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763650D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0FDDDCC7"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541EC20E"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prasības</w:t>
            </w:r>
          </w:p>
        </w:tc>
        <w:tc>
          <w:tcPr>
            <w:tcW w:w="1300" w:type="dxa"/>
            <w:tcBorders>
              <w:top w:val="single" w:sz="4" w:space="0" w:color="17365D"/>
              <w:left w:val="nil"/>
              <w:bottom w:val="single" w:sz="4" w:space="0" w:color="17365D"/>
              <w:right w:val="nil"/>
            </w:tcBorders>
            <w:shd w:val="clear" w:color="auto" w:fill="auto"/>
            <w:vAlign w:val="center"/>
            <w:hideMark/>
          </w:tcPr>
          <w:p w14:paraId="3B077AA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8F89A1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43CBDF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-39 939 667</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94FD95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-8 643 185</w:t>
            </w:r>
          </w:p>
        </w:tc>
        <w:tc>
          <w:tcPr>
            <w:tcW w:w="960" w:type="dxa"/>
            <w:tcBorders>
              <w:top w:val="single" w:sz="4" w:space="0" w:color="17365D"/>
              <w:left w:val="nil"/>
              <w:bottom w:val="single" w:sz="4" w:space="0" w:color="17365D"/>
              <w:right w:val="nil"/>
            </w:tcBorders>
            <w:shd w:val="clear" w:color="auto" w:fill="auto"/>
            <w:vAlign w:val="center"/>
            <w:hideMark/>
          </w:tcPr>
          <w:p w14:paraId="57518BB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E69AC4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70397A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-2 034 546</w:t>
            </w:r>
          </w:p>
        </w:tc>
      </w:tr>
      <w:tr w:rsidR="00732F88" w:rsidRPr="007C33E3" w14:paraId="6804B63C" w14:textId="77777777" w:rsidTr="009A4177">
        <w:trPr>
          <w:trHeight w:val="637"/>
        </w:trPr>
        <w:tc>
          <w:tcPr>
            <w:tcW w:w="5529" w:type="dxa"/>
            <w:tcBorders>
              <w:top w:val="single" w:sz="4" w:space="0" w:color="17365D"/>
              <w:left w:val="nil"/>
              <w:bottom w:val="single" w:sz="4" w:space="0" w:color="17365D"/>
              <w:right w:val="nil"/>
            </w:tcBorders>
            <w:shd w:val="clear" w:color="auto" w:fill="auto"/>
            <w:vAlign w:val="center"/>
            <w:hideMark/>
          </w:tcPr>
          <w:p w14:paraId="4D6B827A"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prasības par Eiropas Savienības politiku instrumentu un pārējās ārvalstu finanšu palīdzības finansētajiem projektiem (pasākumiem)</w:t>
            </w:r>
          </w:p>
        </w:tc>
        <w:tc>
          <w:tcPr>
            <w:tcW w:w="1300" w:type="dxa"/>
            <w:tcBorders>
              <w:top w:val="single" w:sz="4" w:space="0" w:color="17365D"/>
              <w:left w:val="nil"/>
              <w:bottom w:val="single" w:sz="4" w:space="0" w:color="17365D"/>
              <w:right w:val="nil"/>
            </w:tcBorders>
            <w:shd w:val="clear" w:color="auto" w:fill="auto"/>
            <w:vAlign w:val="center"/>
            <w:hideMark/>
          </w:tcPr>
          <w:p w14:paraId="3079676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C808F2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B0139A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-39 651 457</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90E0ED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-8 490 278</w:t>
            </w:r>
          </w:p>
        </w:tc>
        <w:tc>
          <w:tcPr>
            <w:tcW w:w="960" w:type="dxa"/>
            <w:tcBorders>
              <w:top w:val="single" w:sz="4" w:space="0" w:color="17365D"/>
              <w:left w:val="nil"/>
              <w:bottom w:val="single" w:sz="4" w:space="0" w:color="17365D"/>
              <w:right w:val="nil"/>
            </w:tcBorders>
            <w:shd w:val="clear" w:color="auto" w:fill="auto"/>
            <w:vAlign w:val="center"/>
            <w:hideMark/>
          </w:tcPr>
          <w:p w14:paraId="5B5B3C8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62D96E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2E03EF6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-178 517</w:t>
            </w:r>
          </w:p>
        </w:tc>
      </w:tr>
      <w:tr w:rsidR="00732F88" w:rsidRPr="007C33E3" w14:paraId="69E8447A" w14:textId="77777777" w:rsidTr="009A4177">
        <w:trPr>
          <w:trHeight w:val="203"/>
        </w:trPr>
        <w:tc>
          <w:tcPr>
            <w:tcW w:w="5529" w:type="dxa"/>
            <w:tcBorders>
              <w:top w:val="single" w:sz="4" w:space="0" w:color="17365D"/>
              <w:left w:val="nil"/>
              <w:bottom w:val="single" w:sz="4" w:space="0" w:color="17365D"/>
              <w:right w:val="nil"/>
            </w:tcBorders>
            <w:shd w:val="clear" w:color="auto" w:fill="auto"/>
            <w:vAlign w:val="center"/>
            <w:hideMark/>
          </w:tcPr>
          <w:p w14:paraId="17CFF7E3"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Pārējās ilgtermiņa prasības</w:t>
            </w:r>
          </w:p>
        </w:tc>
        <w:tc>
          <w:tcPr>
            <w:tcW w:w="1300" w:type="dxa"/>
            <w:tcBorders>
              <w:top w:val="single" w:sz="4" w:space="0" w:color="17365D"/>
              <w:left w:val="nil"/>
              <w:bottom w:val="single" w:sz="4" w:space="0" w:color="17365D"/>
              <w:right w:val="nil"/>
            </w:tcBorders>
            <w:shd w:val="clear" w:color="auto" w:fill="auto"/>
            <w:vAlign w:val="center"/>
            <w:hideMark/>
          </w:tcPr>
          <w:p w14:paraId="20657C0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7053299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16EC5D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-288 210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1A9AAF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-152 907</w:t>
            </w:r>
          </w:p>
        </w:tc>
        <w:tc>
          <w:tcPr>
            <w:tcW w:w="960" w:type="dxa"/>
            <w:tcBorders>
              <w:top w:val="single" w:sz="4" w:space="0" w:color="17365D"/>
              <w:left w:val="nil"/>
              <w:bottom w:val="single" w:sz="4" w:space="0" w:color="17365D"/>
              <w:right w:val="nil"/>
            </w:tcBorders>
            <w:shd w:val="clear" w:color="auto" w:fill="auto"/>
            <w:vAlign w:val="center"/>
            <w:hideMark/>
          </w:tcPr>
          <w:p w14:paraId="7511A7D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160CD9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39BB84F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-1 856 029</w:t>
            </w:r>
          </w:p>
        </w:tc>
      </w:tr>
      <w:tr w:rsidR="00732F88" w:rsidRPr="007C33E3" w14:paraId="58AEAFAD"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0E97F33C"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Ieguldījuma īpašumi</w:t>
            </w:r>
          </w:p>
        </w:tc>
        <w:tc>
          <w:tcPr>
            <w:tcW w:w="1300" w:type="dxa"/>
            <w:tcBorders>
              <w:top w:val="single" w:sz="4" w:space="0" w:color="17365D"/>
              <w:left w:val="nil"/>
              <w:bottom w:val="single" w:sz="4" w:space="0" w:color="17365D"/>
              <w:right w:val="nil"/>
            </w:tcBorders>
            <w:shd w:val="clear" w:color="auto" w:fill="auto"/>
            <w:vAlign w:val="center"/>
            <w:hideMark/>
          </w:tcPr>
          <w:p w14:paraId="765B026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C7775A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DE9012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EDDF03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355268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4B4CE6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75E534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-39 056</w:t>
            </w:r>
          </w:p>
        </w:tc>
      </w:tr>
      <w:tr w:rsidR="00732F88" w:rsidRPr="007C33E3" w14:paraId="4E4E414A" w14:textId="77777777" w:rsidTr="009A4177">
        <w:trPr>
          <w:trHeight w:val="169"/>
        </w:trPr>
        <w:tc>
          <w:tcPr>
            <w:tcW w:w="5529" w:type="dxa"/>
            <w:tcBorders>
              <w:top w:val="single" w:sz="4" w:space="0" w:color="17365D"/>
              <w:left w:val="nil"/>
              <w:bottom w:val="single" w:sz="4" w:space="0" w:color="17365D"/>
              <w:right w:val="nil"/>
            </w:tcBorders>
            <w:shd w:val="clear" w:color="auto" w:fill="auto"/>
            <w:vAlign w:val="center"/>
            <w:hideMark/>
          </w:tcPr>
          <w:p w14:paraId="40965F9B"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Ieguldījuma īpašumi</w:t>
            </w:r>
          </w:p>
        </w:tc>
        <w:tc>
          <w:tcPr>
            <w:tcW w:w="1300" w:type="dxa"/>
            <w:tcBorders>
              <w:top w:val="single" w:sz="4" w:space="0" w:color="17365D"/>
              <w:left w:val="nil"/>
              <w:bottom w:val="single" w:sz="4" w:space="0" w:color="17365D"/>
              <w:right w:val="nil"/>
            </w:tcBorders>
            <w:shd w:val="clear" w:color="auto" w:fill="auto"/>
            <w:vAlign w:val="center"/>
            <w:hideMark/>
          </w:tcPr>
          <w:p w14:paraId="63DE9C6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6E22956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FCB3C0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2CBCD9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F9BC26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57E80A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11B45B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-39 056</w:t>
            </w:r>
          </w:p>
        </w:tc>
      </w:tr>
      <w:tr w:rsidR="00732F88" w:rsidRPr="007C33E3" w14:paraId="3FD0D3F2" w14:textId="77777777" w:rsidTr="009A4177">
        <w:trPr>
          <w:trHeight w:val="353"/>
        </w:trPr>
        <w:tc>
          <w:tcPr>
            <w:tcW w:w="5529" w:type="dxa"/>
            <w:tcBorders>
              <w:top w:val="single" w:sz="4" w:space="0" w:color="17365D"/>
              <w:left w:val="nil"/>
              <w:bottom w:val="single" w:sz="4" w:space="0" w:color="17365D"/>
              <w:right w:val="nil"/>
            </w:tcBorders>
            <w:shd w:val="clear" w:color="auto" w:fill="auto"/>
            <w:vAlign w:val="center"/>
            <w:hideMark/>
          </w:tcPr>
          <w:p w14:paraId="2B2B9C7C"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Apgrozāmie līdzekļi</w:t>
            </w:r>
          </w:p>
        </w:tc>
        <w:tc>
          <w:tcPr>
            <w:tcW w:w="1300" w:type="dxa"/>
            <w:tcBorders>
              <w:top w:val="single" w:sz="4" w:space="0" w:color="17365D"/>
              <w:left w:val="nil"/>
              <w:bottom w:val="single" w:sz="4" w:space="0" w:color="17365D"/>
              <w:right w:val="nil"/>
            </w:tcBorders>
            <w:shd w:val="clear" w:color="auto" w:fill="auto"/>
            <w:vAlign w:val="center"/>
            <w:hideMark/>
          </w:tcPr>
          <w:p w14:paraId="431F0A6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1 589 899</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8DEE49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2 291 090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9F4402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-3 980 145 538</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A4E2D6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-3 375 238 193</w:t>
            </w:r>
          </w:p>
        </w:tc>
        <w:tc>
          <w:tcPr>
            <w:tcW w:w="960" w:type="dxa"/>
            <w:tcBorders>
              <w:top w:val="single" w:sz="4" w:space="0" w:color="17365D"/>
              <w:left w:val="nil"/>
              <w:bottom w:val="single" w:sz="4" w:space="0" w:color="17365D"/>
              <w:right w:val="nil"/>
            </w:tcBorders>
            <w:shd w:val="clear" w:color="auto" w:fill="auto"/>
            <w:vAlign w:val="center"/>
            <w:hideMark/>
          </w:tcPr>
          <w:p w14:paraId="543181D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A4F0DB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5CEF67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8 423 332</w:t>
            </w:r>
          </w:p>
        </w:tc>
      </w:tr>
      <w:tr w:rsidR="00732F88" w:rsidRPr="007C33E3" w14:paraId="60B679F2"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495FB9AA"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Krājumi</w:t>
            </w:r>
          </w:p>
        </w:tc>
        <w:tc>
          <w:tcPr>
            <w:tcW w:w="1300" w:type="dxa"/>
            <w:tcBorders>
              <w:top w:val="single" w:sz="4" w:space="0" w:color="17365D"/>
              <w:left w:val="nil"/>
              <w:bottom w:val="single" w:sz="4" w:space="0" w:color="17365D"/>
              <w:right w:val="nil"/>
            </w:tcBorders>
            <w:shd w:val="clear" w:color="auto" w:fill="auto"/>
            <w:vAlign w:val="center"/>
            <w:hideMark/>
          </w:tcPr>
          <w:p w14:paraId="786284E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76924D9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5B77D6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-344</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B53F49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-381</w:t>
            </w:r>
          </w:p>
        </w:tc>
        <w:tc>
          <w:tcPr>
            <w:tcW w:w="960" w:type="dxa"/>
            <w:tcBorders>
              <w:top w:val="single" w:sz="4" w:space="0" w:color="17365D"/>
              <w:left w:val="nil"/>
              <w:bottom w:val="single" w:sz="4" w:space="0" w:color="17365D"/>
              <w:right w:val="nil"/>
            </w:tcBorders>
            <w:shd w:val="clear" w:color="auto" w:fill="auto"/>
            <w:vAlign w:val="center"/>
            <w:hideMark/>
          </w:tcPr>
          <w:p w14:paraId="6EDB734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3E2B25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AE00F4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1 148</w:t>
            </w:r>
          </w:p>
        </w:tc>
      </w:tr>
      <w:tr w:rsidR="00732F88" w:rsidRPr="007C33E3" w14:paraId="770D3C9D"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53711560"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Īstermiņa prasības</w:t>
            </w:r>
          </w:p>
        </w:tc>
        <w:tc>
          <w:tcPr>
            <w:tcW w:w="1300" w:type="dxa"/>
            <w:tcBorders>
              <w:top w:val="single" w:sz="4" w:space="0" w:color="17365D"/>
              <w:left w:val="nil"/>
              <w:bottom w:val="single" w:sz="4" w:space="0" w:color="17365D"/>
              <w:right w:val="nil"/>
            </w:tcBorders>
            <w:shd w:val="clear" w:color="auto" w:fill="auto"/>
            <w:vAlign w:val="center"/>
            <w:hideMark/>
          </w:tcPr>
          <w:p w14:paraId="344DE34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1 097 951</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B143D9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1 799 787</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28B587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-406 690 198</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6CDB72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-254 438 475</w:t>
            </w:r>
          </w:p>
        </w:tc>
        <w:tc>
          <w:tcPr>
            <w:tcW w:w="960" w:type="dxa"/>
            <w:tcBorders>
              <w:top w:val="single" w:sz="4" w:space="0" w:color="17365D"/>
              <w:left w:val="nil"/>
              <w:bottom w:val="single" w:sz="4" w:space="0" w:color="17365D"/>
              <w:right w:val="nil"/>
            </w:tcBorders>
            <w:shd w:val="clear" w:color="auto" w:fill="auto"/>
            <w:vAlign w:val="center"/>
            <w:hideMark/>
          </w:tcPr>
          <w:p w14:paraId="4CF9336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F35F29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23A7CA6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9 524 965</w:t>
            </w:r>
          </w:p>
        </w:tc>
      </w:tr>
      <w:tr w:rsidR="00732F88" w:rsidRPr="007C33E3" w14:paraId="2821C7CA" w14:textId="77777777" w:rsidTr="009A4177">
        <w:trPr>
          <w:trHeight w:val="537"/>
        </w:trPr>
        <w:tc>
          <w:tcPr>
            <w:tcW w:w="5529" w:type="dxa"/>
            <w:tcBorders>
              <w:top w:val="single" w:sz="4" w:space="0" w:color="17365D"/>
              <w:left w:val="nil"/>
              <w:bottom w:val="single" w:sz="4" w:space="0" w:color="17365D"/>
              <w:right w:val="nil"/>
            </w:tcBorders>
            <w:shd w:val="clear" w:color="auto" w:fill="auto"/>
            <w:vAlign w:val="center"/>
            <w:hideMark/>
          </w:tcPr>
          <w:p w14:paraId="51DB59C1"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lastRenderedPageBreak/>
              <w:t>Nākamo periodu izdevumi un avansa maksājumi par pakalpojumiem un projektiem</w:t>
            </w:r>
          </w:p>
        </w:tc>
        <w:tc>
          <w:tcPr>
            <w:tcW w:w="1300" w:type="dxa"/>
            <w:tcBorders>
              <w:top w:val="single" w:sz="4" w:space="0" w:color="17365D"/>
              <w:left w:val="nil"/>
              <w:bottom w:val="single" w:sz="4" w:space="0" w:color="17365D"/>
              <w:right w:val="nil"/>
            </w:tcBorders>
            <w:shd w:val="clear" w:color="auto" w:fill="auto"/>
            <w:vAlign w:val="center"/>
            <w:hideMark/>
          </w:tcPr>
          <w:p w14:paraId="670F31B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491 948</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CF3ACF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491 303</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B40993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-216 150 526</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842A00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-208 566 576</w:t>
            </w:r>
          </w:p>
        </w:tc>
        <w:tc>
          <w:tcPr>
            <w:tcW w:w="960" w:type="dxa"/>
            <w:tcBorders>
              <w:top w:val="single" w:sz="4" w:space="0" w:color="17365D"/>
              <w:left w:val="nil"/>
              <w:bottom w:val="single" w:sz="4" w:space="0" w:color="17365D"/>
              <w:right w:val="nil"/>
            </w:tcBorders>
            <w:shd w:val="clear" w:color="auto" w:fill="auto"/>
            <w:vAlign w:val="center"/>
            <w:hideMark/>
          </w:tcPr>
          <w:p w14:paraId="6F013C1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D6A8C7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B9B192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-1 102 781</w:t>
            </w:r>
          </w:p>
        </w:tc>
      </w:tr>
      <w:tr w:rsidR="00732F88" w:rsidRPr="007C33E3" w14:paraId="1182A0A0"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2FA4E33"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Īstermiņa finanšu ieguldījumi</w:t>
            </w:r>
          </w:p>
        </w:tc>
        <w:tc>
          <w:tcPr>
            <w:tcW w:w="1300" w:type="dxa"/>
            <w:tcBorders>
              <w:top w:val="single" w:sz="4" w:space="0" w:color="17365D"/>
              <w:left w:val="nil"/>
              <w:bottom w:val="single" w:sz="4" w:space="0" w:color="17365D"/>
              <w:right w:val="nil"/>
            </w:tcBorders>
            <w:shd w:val="clear" w:color="auto" w:fill="auto"/>
            <w:vAlign w:val="center"/>
            <w:hideMark/>
          </w:tcPr>
          <w:p w14:paraId="4796CEB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7F86558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F8BAAE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-637 751 338</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C27526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-163 572 562</w:t>
            </w:r>
          </w:p>
        </w:tc>
        <w:tc>
          <w:tcPr>
            <w:tcW w:w="960" w:type="dxa"/>
            <w:tcBorders>
              <w:top w:val="single" w:sz="4" w:space="0" w:color="17365D"/>
              <w:left w:val="nil"/>
              <w:bottom w:val="single" w:sz="4" w:space="0" w:color="17365D"/>
              <w:right w:val="nil"/>
            </w:tcBorders>
            <w:shd w:val="clear" w:color="auto" w:fill="auto"/>
            <w:vAlign w:val="center"/>
            <w:hideMark/>
          </w:tcPr>
          <w:p w14:paraId="5B90288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46ED1D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A747A3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305D3E1C"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5B58D684"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Naudas līdzekļi</w:t>
            </w:r>
          </w:p>
        </w:tc>
        <w:tc>
          <w:tcPr>
            <w:tcW w:w="1300" w:type="dxa"/>
            <w:tcBorders>
              <w:top w:val="single" w:sz="4" w:space="0" w:color="17365D"/>
              <w:left w:val="nil"/>
              <w:bottom w:val="single" w:sz="4" w:space="0" w:color="17365D"/>
              <w:right w:val="nil"/>
            </w:tcBorders>
            <w:shd w:val="clear" w:color="auto" w:fill="auto"/>
            <w:vAlign w:val="center"/>
            <w:hideMark/>
          </w:tcPr>
          <w:p w14:paraId="7A2A6F3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8F9E5C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5F0D7B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-2 719 553 132</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3913C5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-2 748 660 199</w:t>
            </w:r>
          </w:p>
        </w:tc>
        <w:tc>
          <w:tcPr>
            <w:tcW w:w="960" w:type="dxa"/>
            <w:tcBorders>
              <w:top w:val="single" w:sz="4" w:space="0" w:color="17365D"/>
              <w:left w:val="nil"/>
              <w:bottom w:val="single" w:sz="4" w:space="0" w:color="17365D"/>
              <w:right w:val="nil"/>
            </w:tcBorders>
            <w:shd w:val="clear" w:color="auto" w:fill="auto"/>
            <w:vAlign w:val="center"/>
            <w:hideMark/>
          </w:tcPr>
          <w:p w14:paraId="25C47E7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E338EB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AF7D2C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44EC31EB"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042485A7" w14:textId="77777777" w:rsidR="007C33E3" w:rsidRPr="007C33E3" w:rsidRDefault="007C33E3" w:rsidP="007C33E3">
            <w:pPr>
              <w:spacing w:after="0" w:line="240" w:lineRule="auto"/>
              <w:jc w:val="both"/>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BILANCE (1000+2000)</w:t>
            </w:r>
          </w:p>
        </w:tc>
        <w:tc>
          <w:tcPr>
            <w:tcW w:w="1300" w:type="dxa"/>
            <w:tcBorders>
              <w:top w:val="single" w:sz="4" w:space="0" w:color="17365D"/>
              <w:left w:val="nil"/>
              <w:bottom w:val="single" w:sz="4" w:space="0" w:color="17365D"/>
              <w:right w:val="nil"/>
            </w:tcBorders>
            <w:shd w:val="clear" w:color="auto" w:fill="auto"/>
            <w:vAlign w:val="center"/>
            <w:hideMark/>
          </w:tcPr>
          <w:p w14:paraId="0828041B"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5 883 110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02322846"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-5 400 002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93FBC33"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-6 740 207 040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D23E843"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-5 806 906 484</w:t>
            </w:r>
          </w:p>
        </w:tc>
        <w:tc>
          <w:tcPr>
            <w:tcW w:w="960" w:type="dxa"/>
            <w:tcBorders>
              <w:top w:val="single" w:sz="4" w:space="0" w:color="17365D"/>
              <w:left w:val="nil"/>
              <w:bottom w:val="single" w:sz="4" w:space="0" w:color="17365D"/>
              <w:right w:val="nil"/>
            </w:tcBorders>
            <w:shd w:val="clear" w:color="auto" w:fill="auto"/>
            <w:vAlign w:val="center"/>
            <w:hideMark/>
          </w:tcPr>
          <w:p w14:paraId="65924D3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8A9595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3D59CC6"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10 145 724</w:t>
            </w:r>
          </w:p>
        </w:tc>
      </w:tr>
      <w:tr w:rsidR="00732F88" w:rsidRPr="007C33E3" w14:paraId="358F0A30"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443E3FB" w14:textId="77777777" w:rsidR="007C33E3" w:rsidRPr="007C33E3" w:rsidRDefault="007C33E3" w:rsidP="007C33E3">
            <w:pPr>
              <w:spacing w:after="0" w:line="240" w:lineRule="auto"/>
              <w:jc w:val="both"/>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300" w:type="dxa"/>
            <w:tcBorders>
              <w:top w:val="single" w:sz="4" w:space="0" w:color="17365D"/>
              <w:left w:val="nil"/>
              <w:bottom w:val="single" w:sz="4" w:space="0" w:color="17365D"/>
              <w:right w:val="nil"/>
            </w:tcBorders>
            <w:shd w:val="clear" w:color="auto" w:fill="auto"/>
            <w:vAlign w:val="center"/>
            <w:hideMark/>
          </w:tcPr>
          <w:p w14:paraId="2B8DE555"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7DA3BCDA"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D90E245"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A453A46"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1CD954A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5891D14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1640" w:type="dxa"/>
            <w:tcBorders>
              <w:top w:val="single" w:sz="4" w:space="0" w:color="17365D"/>
              <w:left w:val="nil"/>
              <w:bottom w:val="single" w:sz="4" w:space="0" w:color="17365D"/>
              <w:right w:val="nil"/>
            </w:tcBorders>
            <w:shd w:val="clear" w:color="auto" w:fill="auto"/>
            <w:vAlign w:val="center"/>
            <w:hideMark/>
          </w:tcPr>
          <w:p w14:paraId="6D17651D"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r>
      <w:tr w:rsidR="00732F88" w:rsidRPr="007C33E3" w14:paraId="0023DE7C"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4B86A8A1" w14:textId="77777777" w:rsidR="007C33E3" w:rsidRPr="007C33E3" w:rsidRDefault="007C33E3" w:rsidP="007C33E3">
            <w:pPr>
              <w:spacing w:after="0" w:line="240" w:lineRule="auto"/>
              <w:jc w:val="both"/>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Pasīvs</w:t>
            </w:r>
          </w:p>
        </w:tc>
        <w:tc>
          <w:tcPr>
            <w:tcW w:w="1300" w:type="dxa"/>
            <w:tcBorders>
              <w:top w:val="single" w:sz="4" w:space="0" w:color="17365D"/>
              <w:left w:val="nil"/>
              <w:bottom w:val="single" w:sz="4" w:space="0" w:color="17365D"/>
              <w:right w:val="nil"/>
            </w:tcBorders>
            <w:shd w:val="clear" w:color="auto" w:fill="auto"/>
            <w:vAlign w:val="center"/>
            <w:hideMark/>
          </w:tcPr>
          <w:p w14:paraId="0800167D"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066B5F67"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037A96A"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26B2DC9"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74C84F88"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43A01A9A"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640" w:type="dxa"/>
            <w:tcBorders>
              <w:top w:val="single" w:sz="4" w:space="0" w:color="17365D"/>
              <w:left w:val="nil"/>
              <w:bottom w:val="single" w:sz="4" w:space="0" w:color="17365D"/>
              <w:right w:val="nil"/>
            </w:tcBorders>
            <w:shd w:val="clear" w:color="auto" w:fill="auto"/>
            <w:vAlign w:val="center"/>
            <w:hideMark/>
          </w:tcPr>
          <w:p w14:paraId="70296C12"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r>
      <w:tr w:rsidR="00732F88" w:rsidRPr="007C33E3" w14:paraId="4F0E4D89"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7B1AFCE8"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Pašu kapitāls</w:t>
            </w:r>
          </w:p>
        </w:tc>
        <w:tc>
          <w:tcPr>
            <w:tcW w:w="1300" w:type="dxa"/>
            <w:tcBorders>
              <w:top w:val="single" w:sz="4" w:space="0" w:color="17365D"/>
              <w:left w:val="nil"/>
              <w:bottom w:val="single" w:sz="4" w:space="0" w:color="17365D"/>
              <w:right w:val="nil"/>
            </w:tcBorders>
            <w:shd w:val="clear" w:color="auto" w:fill="auto"/>
            <w:vAlign w:val="center"/>
            <w:hideMark/>
          </w:tcPr>
          <w:p w14:paraId="5565438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5 883 110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8DC3B7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-5 400 002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3E2A25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879E5F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777840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F10D7D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434F7A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13 612 201</w:t>
            </w:r>
          </w:p>
        </w:tc>
      </w:tr>
      <w:tr w:rsidR="00732F88" w:rsidRPr="007C33E3" w14:paraId="5F65B456"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72C1689E"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Rezerves</w:t>
            </w:r>
          </w:p>
        </w:tc>
        <w:tc>
          <w:tcPr>
            <w:tcW w:w="1300" w:type="dxa"/>
            <w:tcBorders>
              <w:top w:val="single" w:sz="4" w:space="0" w:color="17365D"/>
              <w:left w:val="nil"/>
              <w:bottom w:val="single" w:sz="4" w:space="0" w:color="17365D"/>
              <w:right w:val="nil"/>
            </w:tcBorders>
            <w:shd w:val="clear" w:color="auto" w:fill="auto"/>
            <w:vAlign w:val="center"/>
            <w:hideMark/>
          </w:tcPr>
          <w:p w14:paraId="00D76C2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635D36F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A13567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22E7D36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2A6635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43E1F0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E3842C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14 212 368</w:t>
            </w:r>
          </w:p>
        </w:tc>
      </w:tr>
      <w:tr w:rsidR="00732F88" w:rsidRPr="007C33E3" w14:paraId="5DB9F4E8"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5BC4395B"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Budžeta izpildes rezultāti</w:t>
            </w:r>
          </w:p>
        </w:tc>
        <w:tc>
          <w:tcPr>
            <w:tcW w:w="1300" w:type="dxa"/>
            <w:tcBorders>
              <w:top w:val="single" w:sz="4" w:space="0" w:color="17365D"/>
              <w:left w:val="nil"/>
              <w:bottom w:val="single" w:sz="4" w:space="0" w:color="17365D"/>
              <w:right w:val="nil"/>
            </w:tcBorders>
            <w:shd w:val="clear" w:color="auto" w:fill="auto"/>
            <w:vAlign w:val="center"/>
            <w:hideMark/>
          </w:tcPr>
          <w:p w14:paraId="11D94A6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5 883 110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58080BF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-5 400 002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7BECAB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D73576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CECAF2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F07857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E98F9F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-600 167</w:t>
            </w:r>
          </w:p>
        </w:tc>
      </w:tr>
      <w:tr w:rsidR="00732F88" w:rsidRPr="007C33E3" w14:paraId="08757185" w14:textId="77777777" w:rsidTr="009A4177">
        <w:trPr>
          <w:trHeight w:val="295"/>
        </w:trPr>
        <w:tc>
          <w:tcPr>
            <w:tcW w:w="5529" w:type="dxa"/>
            <w:tcBorders>
              <w:top w:val="single" w:sz="4" w:space="0" w:color="17365D"/>
              <w:left w:val="nil"/>
              <w:bottom w:val="single" w:sz="4" w:space="0" w:color="17365D"/>
              <w:right w:val="nil"/>
            </w:tcBorders>
            <w:shd w:val="clear" w:color="auto" w:fill="auto"/>
            <w:vAlign w:val="center"/>
            <w:hideMark/>
          </w:tcPr>
          <w:p w14:paraId="41F55E5E"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Iepriekšējo pārskata gadu budžeta izpildes rezultāts</w:t>
            </w:r>
          </w:p>
        </w:tc>
        <w:tc>
          <w:tcPr>
            <w:tcW w:w="1300" w:type="dxa"/>
            <w:tcBorders>
              <w:top w:val="single" w:sz="4" w:space="0" w:color="17365D"/>
              <w:left w:val="nil"/>
              <w:bottom w:val="single" w:sz="4" w:space="0" w:color="17365D"/>
              <w:right w:val="nil"/>
            </w:tcBorders>
            <w:shd w:val="clear" w:color="auto" w:fill="auto"/>
            <w:vAlign w:val="center"/>
            <w:hideMark/>
          </w:tcPr>
          <w:p w14:paraId="7D32202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-5 382 287</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07094AF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-5 176 813</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A8EDAC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256CACD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5304B3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8C247E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04D81B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270 187</w:t>
            </w:r>
          </w:p>
        </w:tc>
      </w:tr>
      <w:tr w:rsidR="00732F88" w:rsidRPr="007C33E3" w14:paraId="1CC4227A"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C90A55B"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Pārskata gada budžeta izpildes rezultāts</w:t>
            </w:r>
          </w:p>
        </w:tc>
        <w:tc>
          <w:tcPr>
            <w:tcW w:w="1300" w:type="dxa"/>
            <w:tcBorders>
              <w:top w:val="single" w:sz="4" w:space="0" w:color="17365D"/>
              <w:left w:val="nil"/>
              <w:bottom w:val="single" w:sz="4" w:space="0" w:color="17365D"/>
              <w:right w:val="nil"/>
            </w:tcBorders>
            <w:shd w:val="clear" w:color="auto" w:fill="auto"/>
            <w:vAlign w:val="center"/>
            <w:hideMark/>
          </w:tcPr>
          <w:p w14:paraId="742443B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11 265 397</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E468B0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-223 189</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350C41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2C7F8EC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496569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685C6D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528E41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-870 354</w:t>
            </w:r>
          </w:p>
        </w:tc>
      </w:tr>
      <w:tr w:rsidR="00732F88" w:rsidRPr="007C33E3" w14:paraId="12B6F7D5"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2B6B520D"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Uzkrājumi</w:t>
            </w:r>
          </w:p>
        </w:tc>
        <w:tc>
          <w:tcPr>
            <w:tcW w:w="1300" w:type="dxa"/>
            <w:tcBorders>
              <w:top w:val="single" w:sz="4" w:space="0" w:color="17365D"/>
              <w:left w:val="nil"/>
              <w:bottom w:val="single" w:sz="4" w:space="0" w:color="17365D"/>
              <w:right w:val="nil"/>
            </w:tcBorders>
            <w:shd w:val="clear" w:color="auto" w:fill="auto"/>
            <w:vAlign w:val="center"/>
            <w:hideMark/>
          </w:tcPr>
          <w:p w14:paraId="4F378B3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0E5D78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C899E7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6905DC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B6B218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7F2A17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722864F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-2 570 380</w:t>
            </w:r>
          </w:p>
        </w:tc>
      </w:tr>
      <w:tr w:rsidR="00732F88" w:rsidRPr="007C33E3" w14:paraId="097990B4"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04E6998"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Saistības</w:t>
            </w:r>
          </w:p>
        </w:tc>
        <w:tc>
          <w:tcPr>
            <w:tcW w:w="1300" w:type="dxa"/>
            <w:tcBorders>
              <w:top w:val="single" w:sz="4" w:space="0" w:color="17365D"/>
              <w:left w:val="nil"/>
              <w:bottom w:val="single" w:sz="4" w:space="0" w:color="17365D"/>
              <w:right w:val="nil"/>
            </w:tcBorders>
            <w:shd w:val="clear" w:color="auto" w:fill="auto"/>
            <w:vAlign w:val="center"/>
            <w:hideMark/>
          </w:tcPr>
          <w:p w14:paraId="2B359D1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2D7A5D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602DF7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-6 740 207 040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174372F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-5 806 906 484</w:t>
            </w:r>
          </w:p>
        </w:tc>
        <w:tc>
          <w:tcPr>
            <w:tcW w:w="960" w:type="dxa"/>
            <w:tcBorders>
              <w:top w:val="single" w:sz="4" w:space="0" w:color="17365D"/>
              <w:left w:val="nil"/>
              <w:bottom w:val="single" w:sz="4" w:space="0" w:color="17365D"/>
              <w:right w:val="nil"/>
            </w:tcBorders>
            <w:shd w:val="clear" w:color="auto" w:fill="auto"/>
            <w:vAlign w:val="center"/>
            <w:hideMark/>
          </w:tcPr>
          <w:p w14:paraId="119EDB1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6485F1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7173FB3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-896 097</w:t>
            </w:r>
          </w:p>
        </w:tc>
      </w:tr>
      <w:tr w:rsidR="00732F88" w:rsidRPr="007C33E3" w14:paraId="383D4EAD"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7B0F886"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saistības</w:t>
            </w:r>
          </w:p>
        </w:tc>
        <w:tc>
          <w:tcPr>
            <w:tcW w:w="1300" w:type="dxa"/>
            <w:tcBorders>
              <w:top w:val="single" w:sz="4" w:space="0" w:color="17365D"/>
              <w:left w:val="nil"/>
              <w:bottom w:val="single" w:sz="4" w:space="0" w:color="17365D"/>
              <w:right w:val="nil"/>
            </w:tcBorders>
            <w:shd w:val="clear" w:color="auto" w:fill="auto"/>
            <w:vAlign w:val="center"/>
            <w:hideMark/>
          </w:tcPr>
          <w:p w14:paraId="7B3AE9D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E28FF8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5DF704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-2 759 725 324</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7E2266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-2 431 860 775</w:t>
            </w:r>
          </w:p>
        </w:tc>
        <w:tc>
          <w:tcPr>
            <w:tcW w:w="960" w:type="dxa"/>
            <w:tcBorders>
              <w:top w:val="single" w:sz="4" w:space="0" w:color="17365D"/>
              <w:left w:val="nil"/>
              <w:bottom w:val="single" w:sz="4" w:space="0" w:color="17365D"/>
              <w:right w:val="nil"/>
            </w:tcBorders>
            <w:shd w:val="clear" w:color="auto" w:fill="auto"/>
            <w:vAlign w:val="center"/>
            <w:hideMark/>
          </w:tcPr>
          <w:p w14:paraId="09E857D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17EE12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B91177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-648 378</w:t>
            </w:r>
          </w:p>
        </w:tc>
      </w:tr>
      <w:tr w:rsidR="00732F88" w:rsidRPr="007C33E3" w14:paraId="570F1A0F"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230009CF"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aizņēmumi</w:t>
            </w:r>
          </w:p>
        </w:tc>
        <w:tc>
          <w:tcPr>
            <w:tcW w:w="1300" w:type="dxa"/>
            <w:tcBorders>
              <w:top w:val="single" w:sz="4" w:space="0" w:color="17365D"/>
              <w:left w:val="nil"/>
              <w:bottom w:val="single" w:sz="4" w:space="0" w:color="17365D"/>
              <w:right w:val="nil"/>
            </w:tcBorders>
            <w:shd w:val="clear" w:color="auto" w:fill="auto"/>
            <w:vAlign w:val="center"/>
            <w:hideMark/>
          </w:tcPr>
          <w:p w14:paraId="5384FE3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018C69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18857F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-1 720 170 335</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26A2896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-1 687 987 446</w:t>
            </w:r>
          </w:p>
        </w:tc>
        <w:tc>
          <w:tcPr>
            <w:tcW w:w="960" w:type="dxa"/>
            <w:tcBorders>
              <w:top w:val="single" w:sz="4" w:space="0" w:color="17365D"/>
              <w:left w:val="nil"/>
              <w:bottom w:val="single" w:sz="4" w:space="0" w:color="17365D"/>
              <w:right w:val="nil"/>
            </w:tcBorders>
            <w:shd w:val="clear" w:color="auto" w:fill="auto"/>
            <w:vAlign w:val="center"/>
            <w:hideMark/>
          </w:tcPr>
          <w:p w14:paraId="447DE78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D27AE8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65E9F3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7FD90ED1" w14:textId="77777777" w:rsidTr="009A4177">
        <w:trPr>
          <w:trHeight w:val="349"/>
        </w:trPr>
        <w:tc>
          <w:tcPr>
            <w:tcW w:w="5529" w:type="dxa"/>
            <w:tcBorders>
              <w:top w:val="single" w:sz="4" w:space="0" w:color="17365D"/>
              <w:left w:val="nil"/>
              <w:bottom w:val="single" w:sz="4" w:space="0" w:color="17365D"/>
              <w:right w:val="nil"/>
            </w:tcBorders>
            <w:shd w:val="clear" w:color="auto" w:fill="auto"/>
            <w:vAlign w:val="center"/>
            <w:hideMark/>
          </w:tcPr>
          <w:p w14:paraId="79678ECF"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saistības pret piegādātājiem un darbuzņēmējiem</w:t>
            </w:r>
          </w:p>
        </w:tc>
        <w:tc>
          <w:tcPr>
            <w:tcW w:w="1300" w:type="dxa"/>
            <w:tcBorders>
              <w:top w:val="single" w:sz="4" w:space="0" w:color="17365D"/>
              <w:left w:val="nil"/>
              <w:bottom w:val="single" w:sz="4" w:space="0" w:color="17365D"/>
              <w:right w:val="nil"/>
            </w:tcBorders>
            <w:shd w:val="clear" w:color="auto" w:fill="auto"/>
            <w:vAlign w:val="center"/>
            <w:hideMark/>
          </w:tcPr>
          <w:p w14:paraId="14DE817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719FCE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7B085D7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-27 723</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AF5C05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-81 265</w:t>
            </w:r>
          </w:p>
        </w:tc>
        <w:tc>
          <w:tcPr>
            <w:tcW w:w="960" w:type="dxa"/>
            <w:tcBorders>
              <w:top w:val="single" w:sz="4" w:space="0" w:color="17365D"/>
              <w:left w:val="nil"/>
              <w:bottom w:val="single" w:sz="4" w:space="0" w:color="17365D"/>
              <w:right w:val="nil"/>
            </w:tcBorders>
            <w:shd w:val="clear" w:color="auto" w:fill="auto"/>
            <w:vAlign w:val="center"/>
            <w:hideMark/>
          </w:tcPr>
          <w:p w14:paraId="10E0D96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D00C0F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0F7DCA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693 425</w:t>
            </w:r>
          </w:p>
        </w:tc>
      </w:tr>
      <w:tr w:rsidR="00732F88" w:rsidRPr="007C33E3" w14:paraId="3366EDD1"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451A5672"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uzkrātās saistības</w:t>
            </w:r>
          </w:p>
        </w:tc>
        <w:tc>
          <w:tcPr>
            <w:tcW w:w="1300" w:type="dxa"/>
            <w:tcBorders>
              <w:top w:val="single" w:sz="4" w:space="0" w:color="17365D"/>
              <w:left w:val="nil"/>
              <w:bottom w:val="single" w:sz="4" w:space="0" w:color="17365D"/>
              <w:right w:val="nil"/>
            </w:tcBorders>
            <w:shd w:val="clear" w:color="auto" w:fill="auto"/>
            <w:vAlign w:val="center"/>
            <w:hideMark/>
          </w:tcPr>
          <w:p w14:paraId="1E732A4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328ED7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142A864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E6E5DC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B0FC10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66C21E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D5E3D6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-51 431 020</w:t>
            </w:r>
          </w:p>
        </w:tc>
      </w:tr>
      <w:tr w:rsidR="00732F88" w:rsidRPr="007C33E3" w14:paraId="3EAE3EA3" w14:textId="77777777" w:rsidTr="009A4177">
        <w:trPr>
          <w:trHeight w:val="492"/>
        </w:trPr>
        <w:tc>
          <w:tcPr>
            <w:tcW w:w="5529" w:type="dxa"/>
            <w:tcBorders>
              <w:top w:val="single" w:sz="4" w:space="0" w:color="17365D"/>
              <w:left w:val="nil"/>
              <w:bottom w:val="single" w:sz="4" w:space="0" w:color="17365D"/>
              <w:right w:val="nil"/>
            </w:tcBorders>
            <w:shd w:val="clear" w:color="auto" w:fill="auto"/>
            <w:vAlign w:val="center"/>
            <w:hideMark/>
          </w:tcPr>
          <w:p w14:paraId="0EBE2A65"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nākamo periodu ieņēmumi un saņemtie avansa maksājumi</w:t>
            </w:r>
          </w:p>
        </w:tc>
        <w:tc>
          <w:tcPr>
            <w:tcW w:w="1300" w:type="dxa"/>
            <w:tcBorders>
              <w:top w:val="single" w:sz="4" w:space="0" w:color="17365D"/>
              <w:left w:val="nil"/>
              <w:bottom w:val="single" w:sz="4" w:space="0" w:color="17365D"/>
              <w:right w:val="nil"/>
            </w:tcBorders>
            <w:shd w:val="clear" w:color="auto" w:fill="auto"/>
            <w:vAlign w:val="center"/>
            <w:hideMark/>
          </w:tcPr>
          <w:p w14:paraId="306D126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6367A54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1A3B6C0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-36 546 894</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4AD2CD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-7 900 536</w:t>
            </w:r>
          </w:p>
        </w:tc>
        <w:tc>
          <w:tcPr>
            <w:tcW w:w="960" w:type="dxa"/>
            <w:tcBorders>
              <w:top w:val="single" w:sz="4" w:space="0" w:color="17365D"/>
              <w:left w:val="nil"/>
              <w:bottom w:val="single" w:sz="4" w:space="0" w:color="17365D"/>
              <w:right w:val="nil"/>
            </w:tcBorders>
            <w:shd w:val="clear" w:color="auto" w:fill="auto"/>
            <w:vAlign w:val="center"/>
            <w:hideMark/>
          </w:tcPr>
          <w:p w14:paraId="329D8F6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192C92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73C484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377 874</w:t>
            </w:r>
          </w:p>
        </w:tc>
      </w:tr>
      <w:tr w:rsidR="00732F88" w:rsidRPr="007C33E3" w14:paraId="53F36791"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DA5C171"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Saņemtie ilgtermiņa noguldījumi</w:t>
            </w:r>
          </w:p>
        </w:tc>
        <w:tc>
          <w:tcPr>
            <w:tcW w:w="1300" w:type="dxa"/>
            <w:tcBorders>
              <w:top w:val="single" w:sz="4" w:space="0" w:color="17365D"/>
              <w:left w:val="nil"/>
              <w:bottom w:val="single" w:sz="4" w:space="0" w:color="17365D"/>
              <w:right w:val="nil"/>
            </w:tcBorders>
            <w:shd w:val="clear" w:color="auto" w:fill="auto"/>
            <w:vAlign w:val="center"/>
            <w:hideMark/>
          </w:tcPr>
          <w:p w14:paraId="1AFAD7C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435C5D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DF29D7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-1 000 000 000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1F8EF2E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-734 934 736</w:t>
            </w:r>
          </w:p>
        </w:tc>
        <w:tc>
          <w:tcPr>
            <w:tcW w:w="960" w:type="dxa"/>
            <w:tcBorders>
              <w:top w:val="single" w:sz="4" w:space="0" w:color="17365D"/>
              <w:left w:val="nil"/>
              <w:bottom w:val="single" w:sz="4" w:space="0" w:color="17365D"/>
              <w:right w:val="nil"/>
            </w:tcBorders>
            <w:shd w:val="clear" w:color="auto" w:fill="auto"/>
            <w:vAlign w:val="center"/>
            <w:hideMark/>
          </w:tcPr>
          <w:p w14:paraId="4A0A907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25516A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5539E7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6FE6CCF8" w14:textId="77777777" w:rsidTr="009A4177">
        <w:trPr>
          <w:trHeight w:val="378"/>
        </w:trPr>
        <w:tc>
          <w:tcPr>
            <w:tcW w:w="5529" w:type="dxa"/>
            <w:tcBorders>
              <w:top w:val="single" w:sz="4" w:space="0" w:color="17365D"/>
              <w:left w:val="nil"/>
              <w:bottom w:val="single" w:sz="4" w:space="0" w:color="17365D"/>
              <w:right w:val="nil"/>
            </w:tcBorders>
            <w:shd w:val="clear" w:color="auto" w:fill="auto"/>
            <w:vAlign w:val="center"/>
            <w:hideMark/>
          </w:tcPr>
          <w:p w14:paraId="3BD8F6D3"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Ilgtermiņa saistības par atvasinātajiem finanšu instrumentiem</w:t>
            </w:r>
          </w:p>
        </w:tc>
        <w:tc>
          <w:tcPr>
            <w:tcW w:w="1300" w:type="dxa"/>
            <w:tcBorders>
              <w:top w:val="single" w:sz="4" w:space="0" w:color="17365D"/>
              <w:left w:val="nil"/>
              <w:bottom w:val="single" w:sz="4" w:space="0" w:color="17365D"/>
              <w:right w:val="nil"/>
            </w:tcBorders>
            <w:shd w:val="clear" w:color="auto" w:fill="auto"/>
            <w:vAlign w:val="center"/>
            <w:hideMark/>
          </w:tcPr>
          <w:p w14:paraId="0D81CBA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476DA43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44101A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CE96EA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247211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DCC2A3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C7C842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51 431 020</w:t>
            </w:r>
          </w:p>
        </w:tc>
      </w:tr>
      <w:tr w:rsidR="00732F88" w:rsidRPr="007C33E3" w14:paraId="467B44B6"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04522927" w14:textId="77777777" w:rsidR="007C33E3" w:rsidRPr="007C33E3" w:rsidRDefault="007C33E3" w:rsidP="007C33E3">
            <w:pPr>
              <w:spacing w:after="0" w:line="240" w:lineRule="auto"/>
              <w:ind w:firstLineChars="200" w:firstLine="360"/>
              <w:rPr>
                <w:rFonts w:eastAsia="Times New Roman" w:cs="Times New Roman"/>
                <w:color w:val="17365D"/>
                <w:sz w:val="18"/>
                <w:szCs w:val="18"/>
                <w:lang w:eastAsia="lv-LV"/>
              </w:rPr>
            </w:pPr>
            <w:r w:rsidRPr="007C33E3">
              <w:rPr>
                <w:rFonts w:eastAsia="Times New Roman" w:cs="Times New Roman"/>
                <w:color w:val="17365D"/>
                <w:sz w:val="18"/>
                <w:szCs w:val="18"/>
                <w:lang w:eastAsia="lv-LV"/>
              </w:rPr>
              <w:t>Pārējās ilgtermiņa saistības</w:t>
            </w:r>
          </w:p>
        </w:tc>
        <w:tc>
          <w:tcPr>
            <w:tcW w:w="1300" w:type="dxa"/>
            <w:tcBorders>
              <w:top w:val="single" w:sz="4" w:space="0" w:color="17365D"/>
              <w:left w:val="nil"/>
              <w:bottom w:val="single" w:sz="4" w:space="0" w:color="17365D"/>
              <w:right w:val="nil"/>
            </w:tcBorders>
            <w:shd w:val="clear" w:color="auto" w:fill="auto"/>
            <w:vAlign w:val="center"/>
            <w:hideMark/>
          </w:tcPr>
          <w:p w14:paraId="5F0175B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560EB2D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CEEEFF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-2 980 372</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579A49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-956 792</w:t>
            </w:r>
          </w:p>
        </w:tc>
        <w:tc>
          <w:tcPr>
            <w:tcW w:w="960" w:type="dxa"/>
            <w:tcBorders>
              <w:top w:val="single" w:sz="4" w:space="0" w:color="17365D"/>
              <w:left w:val="nil"/>
              <w:bottom w:val="single" w:sz="4" w:space="0" w:color="17365D"/>
              <w:right w:val="nil"/>
            </w:tcBorders>
            <w:shd w:val="clear" w:color="auto" w:fill="auto"/>
            <w:vAlign w:val="center"/>
            <w:hideMark/>
          </w:tcPr>
          <w:p w14:paraId="66ACDD7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10BA2F66"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1B922D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-1 719 677</w:t>
            </w:r>
          </w:p>
        </w:tc>
      </w:tr>
      <w:tr w:rsidR="00732F88" w:rsidRPr="007C33E3" w14:paraId="74934C7C" w14:textId="77777777" w:rsidTr="009A4177">
        <w:trPr>
          <w:trHeight w:val="246"/>
        </w:trPr>
        <w:tc>
          <w:tcPr>
            <w:tcW w:w="5529" w:type="dxa"/>
            <w:tcBorders>
              <w:top w:val="single" w:sz="4" w:space="0" w:color="17365D"/>
              <w:left w:val="nil"/>
              <w:bottom w:val="single" w:sz="4" w:space="0" w:color="17365D"/>
              <w:right w:val="nil"/>
            </w:tcBorders>
            <w:shd w:val="clear" w:color="auto" w:fill="auto"/>
            <w:vAlign w:val="center"/>
            <w:hideMark/>
          </w:tcPr>
          <w:p w14:paraId="0207DE73"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Īstermiņa aizņēmumi un ilgtermiņa aizņēmumu īstermiņa daļa</w:t>
            </w:r>
          </w:p>
        </w:tc>
        <w:tc>
          <w:tcPr>
            <w:tcW w:w="1300" w:type="dxa"/>
            <w:tcBorders>
              <w:top w:val="single" w:sz="4" w:space="0" w:color="17365D"/>
              <w:left w:val="nil"/>
              <w:bottom w:val="single" w:sz="4" w:space="0" w:color="17365D"/>
              <w:right w:val="nil"/>
            </w:tcBorders>
            <w:shd w:val="clear" w:color="auto" w:fill="auto"/>
            <w:vAlign w:val="center"/>
            <w:hideMark/>
          </w:tcPr>
          <w:p w14:paraId="02ED9D9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70C2C1E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7A96BAC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-159 120 291</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387FEB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-151 918 340</w:t>
            </w:r>
          </w:p>
        </w:tc>
        <w:tc>
          <w:tcPr>
            <w:tcW w:w="960" w:type="dxa"/>
            <w:tcBorders>
              <w:top w:val="single" w:sz="4" w:space="0" w:color="17365D"/>
              <w:left w:val="nil"/>
              <w:bottom w:val="single" w:sz="4" w:space="0" w:color="17365D"/>
              <w:right w:val="nil"/>
            </w:tcBorders>
            <w:shd w:val="clear" w:color="auto" w:fill="auto"/>
            <w:vAlign w:val="center"/>
            <w:hideMark/>
          </w:tcPr>
          <w:p w14:paraId="13449D8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A5B5FF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2E7C609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5B4E7CA9" w14:textId="77777777" w:rsidTr="009A4177">
        <w:trPr>
          <w:trHeight w:val="266"/>
        </w:trPr>
        <w:tc>
          <w:tcPr>
            <w:tcW w:w="5529" w:type="dxa"/>
            <w:tcBorders>
              <w:top w:val="single" w:sz="4" w:space="0" w:color="17365D"/>
              <w:left w:val="nil"/>
              <w:bottom w:val="single" w:sz="4" w:space="0" w:color="17365D"/>
              <w:right w:val="nil"/>
            </w:tcBorders>
            <w:shd w:val="clear" w:color="auto" w:fill="auto"/>
            <w:vAlign w:val="center"/>
            <w:hideMark/>
          </w:tcPr>
          <w:p w14:paraId="51EA2F00"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Īstermiņa saistības pret piegādātājiem un darbuzņēmējiem</w:t>
            </w:r>
          </w:p>
        </w:tc>
        <w:tc>
          <w:tcPr>
            <w:tcW w:w="1300" w:type="dxa"/>
            <w:tcBorders>
              <w:top w:val="single" w:sz="4" w:space="0" w:color="17365D"/>
              <w:left w:val="nil"/>
              <w:bottom w:val="single" w:sz="4" w:space="0" w:color="17365D"/>
              <w:right w:val="nil"/>
            </w:tcBorders>
            <w:shd w:val="clear" w:color="auto" w:fill="auto"/>
            <w:vAlign w:val="center"/>
            <w:hideMark/>
          </w:tcPr>
          <w:p w14:paraId="2019F9E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F93EF4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094F35A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-1 670 649</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ECA571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-1 410 322</w:t>
            </w:r>
          </w:p>
        </w:tc>
        <w:tc>
          <w:tcPr>
            <w:tcW w:w="960" w:type="dxa"/>
            <w:tcBorders>
              <w:top w:val="single" w:sz="4" w:space="0" w:color="17365D"/>
              <w:left w:val="nil"/>
              <w:bottom w:val="single" w:sz="4" w:space="0" w:color="17365D"/>
              <w:right w:val="nil"/>
            </w:tcBorders>
            <w:shd w:val="clear" w:color="auto" w:fill="auto"/>
            <w:vAlign w:val="center"/>
            <w:hideMark/>
          </w:tcPr>
          <w:p w14:paraId="737B8D6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5ED95C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697741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512 568</w:t>
            </w:r>
          </w:p>
        </w:tc>
      </w:tr>
      <w:tr w:rsidR="00732F88" w:rsidRPr="007C33E3" w14:paraId="3884A87D"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6D115075"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Īstermiņa uzkrātās saistības</w:t>
            </w:r>
          </w:p>
        </w:tc>
        <w:tc>
          <w:tcPr>
            <w:tcW w:w="1300" w:type="dxa"/>
            <w:tcBorders>
              <w:top w:val="single" w:sz="4" w:space="0" w:color="17365D"/>
              <w:left w:val="nil"/>
              <w:bottom w:val="single" w:sz="4" w:space="0" w:color="17365D"/>
              <w:right w:val="nil"/>
            </w:tcBorders>
            <w:shd w:val="clear" w:color="auto" w:fill="auto"/>
            <w:vAlign w:val="center"/>
            <w:hideMark/>
          </w:tcPr>
          <w:p w14:paraId="4C489C6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8A4031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71758A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-26 140 230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5AFF91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-12 393 113</w:t>
            </w:r>
          </w:p>
        </w:tc>
        <w:tc>
          <w:tcPr>
            <w:tcW w:w="960" w:type="dxa"/>
            <w:tcBorders>
              <w:top w:val="single" w:sz="4" w:space="0" w:color="17365D"/>
              <w:left w:val="nil"/>
              <w:bottom w:val="single" w:sz="4" w:space="0" w:color="17365D"/>
              <w:right w:val="nil"/>
            </w:tcBorders>
            <w:shd w:val="clear" w:color="auto" w:fill="auto"/>
            <w:vAlign w:val="center"/>
            <w:hideMark/>
          </w:tcPr>
          <w:p w14:paraId="4AF3068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84F0EF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3BFEC97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-16 077 180</w:t>
            </w:r>
          </w:p>
        </w:tc>
      </w:tr>
      <w:tr w:rsidR="00732F88" w:rsidRPr="007C33E3" w14:paraId="30556854" w14:textId="77777777" w:rsidTr="009A4177">
        <w:trPr>
          <w:trHeight w:val="243"/>
        </w:trPr>
        <w:tc>
          <w:tcPr>
            <w:tcW w:w="5529" w:type="dxa"/>
            <w:tcBorders>
              <w:top w:val="single" w:sz="4" w:space="0" w:color="17365D"/>
              <w:left w:val="nil"/>
              <w:bottom w:val="single" w:sz="4" w:space="0" w:color="17365D"/>
              <w:right w:val="nil"/>
            </w:tcBorders>
            <w:shd w:val="clear" w:color="auto" w:fill="auto"/>
            <w:vAlign w:val="center"/>
            <w:hideMark/>
          </w:tcPr>
          <w:p w14:paraId="54408259"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Valsts budžeta finanšu uzskaites īstermiņa saistības</w:t>
            </w:r>
          </w:p>
        </w:tc>
        <w:tc>
          <w:tcPr>
            <w:tcW w:w="1300" w:type="dxa"/>
            <w:tcBorders>
              <w:top w:val="single" w:sz="4" w:space="0" w:color="17365D"/>
              <w:left w:val="nil"/>
              <w:bottom w:val="single" w:sz="4" w:space="0" w:color="17365D"/>
              <w:right w:val="nil"/>
            </w:tcBorders>
            <w:shd w:val="clear" w:color="auto" w:fill="auto"/>
            <w:vAlign w:val="center"/>
            <w:hideMark/>
          </w:tcPr>
          <w:p w14:paraId="49D5805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1EA9C56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7205D50E"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-478 576 796</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4CB6A7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-11 212 580</w:t>
            </w:r>
          </w:p>
        </w:tc>
        <w:tc>
          <w:tcPr>
            <w:tcW w:w="960" w:type="dxa"/>
            <w:tcBorders>
              <w:top w:val="single" w:sz="4" w:space="0" w:color="17365D"/>
              <w:left w:val="nil"/>
              <w:bottom w:val="single" w:sz="4" w:space="0" w:color="17365D"/>
              <w:right w:val="nil"/>
            </w:tcBorders>
            <w:shd w:val="clear" w:color="auto" w:fill="auto"/>
            <w:vAlign w:val="center"/>
            <w:hideMark/>
          </w:tcPr>
          <w:p w14:paraId="6AC0B5D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E0CEC0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0C8544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r>
      <w:tr w:rsidR="00732F88" w:rsidRPr="007C33E3" w14:paraId="1FDF1C17"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57903E1F"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Norēķini par darba samaksu un ieturējumiem (izņemot nodokļus)</w:t>
            </w:r>
          </w:p>
        </w:tc>
        <w:tc>
          <w:tcPr>
            <w:tcW w:w="1300" w:type="dxa"/>
            <w:tcBorders>
              <w:top w:val="single" w:sz="4" w:space="0" w:color="17365D"/>
              <w:left w:val="nil"/>
              <w:bottom w:val="single" w:sz="4" w:space="0" w:color="17365D"/>
              <w:right w:val="nil"/>
            </w:tcBorders>
            <w:shd w:val="clear" w:color="auto" w:fill="auto"/>
            <w:vAlign w:val="center"/>
            <w:hideMark/>
          </w:tcPr>
          <w:p w14:paraId="53AC22C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0DBED4E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CFA8CF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-715</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2FFB56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-489</w:t>
            </w:r>
          </w:p>
        </w:tc>
        <w:tc>
          <w:tcPr>
            <w:tcW w:w="960" w:type="dxa"/>
            <w:tcBorders>
              <w:top w:val="single" w:sz="4" w:space="0" w:color="17365D"/>
              <w:left w:val="nil"/>
              <w:bottom w:val="single" w:sz="4" w:space="0" w:color="17365D"/>
              <w:right w:val="nil"/>
            </w:tcBorders>
            <w:shd w:val="clear" w:color="auto" w:fill="auto"/>
            <w:vAlign w:val="center"/>
            <w:hideMark/>
          </w:tcPr>
          <w:p w14:paraId="06DF150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737450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5E5FE4F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72 820</w:t>
            </w:r>
          </w:p>
        </w:tc>
      </w:tr>
      <w:tr w:rsidR="00732F88" w:rsidRPr="007C33E3" w14:paraId="3710836E" w14:textId="77777777" w:rsidTr="009A4177">
        <w:trPr>
          <w:trHeight w:val="265"/>
        </w:trPr>
        <w:tc>
          <w:tcPr>
            <w:tcW w:w="5529" w:type="dxa"/>
            <w:tcBorders>
              <w:top w:val="single" w:sz="4" w:space="0" w:color="17365D"/>
              <w:left w:val="nil"/>
              <w:bottom w:val="single" w:sz="4" w:space="0" w:color="17365D"/>
              <w:right w:val="nil"/>
            </w:tcBorders>
            <w:shd w:val="clear" w:color="auto" w:fill="auto"/>
            <w:vAlign w:val="center"/>
            <w:hideMark/>
          </w:tcPr>
          <w:p w14:paraId="4D4561B7"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lastRenderedPageBreak/>
              <w:t>Saistības par nodokļiem, nodevām un citiem maksājumiem</w:t>
            </w:r>
          </w:p>
        </w:tc>
        <w:tc>
          <w:tcPr>
            <w:tcW w:w="1300" w:type="dxa"/>
            <w:tcBorders>
              <w:top w:val="single" w:sz="4" w:space="0" w:color="17365D"/>
              <w:left w:val="nil"/>
              <w:bottom w:val="single" w:sz="4" w:space="0" w:color="17365D"/>
              <w:right w:val="nil"/>
            </w:tcBorders>
            <w:shd w:val="clear" w:color="auto" w:fill="auto"/>
            <w:vAlign w:val="center"/>
            <w:hideMark/>
          </w:tcPr>
          <w:p w14:paraId="79C28EA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7E6BEE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2A37A7D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342E0AB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55CF540"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A3986F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4BFCA9F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270 736</w:t>
            </w:r>
          </w:p>
        </w:tc>
      </w:tr>
      <w:tr w:rsidR="00732F88" w:rsidRPr="007C33E3" w14:paraId="1201F7D8"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0F8ED6A0"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Pārējās īstermiņa saistības</w:t>
            </w:r>
          </w:p>
        </w:tc>
        <w:tc>
          <w:tcPr>
            <w:tcW w:w="1300" w:type="dxa"/>
            <w:tcBorders>
              <w:top w:val="single" w:sz="4" w:space="0" w:color="17365D"/>
              <w:left w:val="nil"/>
              <w:bottom w:val="single" w:sz="4" w:space="0" w:color="17365D"/>
              <w:right w:val="nil"/>
            </w:tcBorders>
            <w:shd w:val="clear" w:color="auto" w:fill="auto"/>
            <w:vAlign w:val="center"/>
            <w:hideMark/>
          </w:tcPr>
          <w:p w14:paraId="75CC6C6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E68633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5B247A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-3 098 505 502</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373F7B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-2 990 601 445</w:t>
            </w:r>
          </w:p>
        </w:tc>
        <w:tc>
          <w:tcPr>
            <w:tcW w:w="960" w:type="dxa"/>
            <w:tcBorders>
              <w:top w:val="single" w:sz="4" w:space="0" w:color="17365D"/>
              <w:left w:val="nil"/>
              <w:bottom w:val="single" w:sz="4" w:space="0" w:color="17365D"/>
              <w:right w:val="nil"/>
            </w:tcBorders>
            <w:shd w:val="clear" w:color="auto" w:fill="auto"/>
            <w:vAlign w:val="center"/>
            <w:hideMark/>
          </w:tcPr>
          <w:p w14:paraId="72F2C85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6FDDAB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33BDC38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15 665 438</w:t>
            </w:r>
          </w:p>
        </w:tc>
      </w:tr>
      <w:tr w:rsidR="00732F88" w:rsidRPr="007C33E3" w14:paraId="5C63399D" w14:textId="77777777" w:rsidTr="009A4177">
        <w:trPr>
          <w:trHeight w:val="245"/>
        </w:trPr>
        <w:tc>
          <w:tcPr>
            <w:tcW w:w="5529" w:type="dxa"/>
            <w:tcBorders>
              <w:top w:val="single" w:sz="4" w:space="0" w:color="17365D"/>
              <w:left w:val="nil"/>
              <w:bottom w:val="single" w:sz="4" w:space="0" w:color="17365D"/>
              <w:right w:val="nil"/>
            </w:tcBorders>
            <w:shd w:val="clear" w:color="auto" w:fill="auto"/>
            <w:vAlign w:val="center"/>
            <w:hideMark/>
          </w:tcPr>
          <w:p w14:paraId="708DD3FC"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 xml:space="preserve">Nākamo periodu ieņēmumi, saņemtie avansa maksājumi un </w:t>
            </w:r>
            <w:proofErr w:type="spellStart"/>
            <w:r w:rsidRPr="007C33E3">
              <w:rPr>
                <w:rFonts w:eastAsia="Times New Roman" w:cs="Times New Roman"/>
                <w:color w:val="17365D"/>
                <w:sz w:val="18"/>
                <w:szCs w:val="18"/>
                <w:lang w:eastAsia="lv-LV"/>
              </w:rPr>
              <w:t>transferti</w:t>
            </w:r>
            <w:proofErr w:type="spellEnd"/>
          </w:p>
        </w:tc>
        <w:tc>
          <w:tcPr>
            <w:tcW w:w="1300" w:type="dxa"/>
            <w:tcBorders>
              <w:top w:val="single" w:sz="4" w:space="0" w:color="17365D"/>
              <w:left w:val="nil"/>
              <w:bottom w:val="single" w:sz="4" w:space="0" w:color="17365D"/>
              <w:right w:val="nil"/>
            </w:tcBorders>
            <w:shd w:val="clear" w:color="auto" w:fill="auto"/>
            <w:vAlign w:val="center"/>
            <w:hideMark/>
          </w:tcPr>
          <w:p w14:paraId="0C0A656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05E2029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4A8ABF6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-216 467 533</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7DD12F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-207 509 420</w:t>
            </w:r>
          </w:p>
        </w:tc>
        <w:tc>
          <w:tcPr>
            <w:tcW w:w="960" w:type="dxa"/>
            <w:tcBorders>
              <w:top w:val="single" w:sz="4" w:space="0" w:color="17365D"/>
              <w:left w:val="nil"/>
              <w:bottom w:val="single" w:sz="4" w:space="0" w:color="17365D"/>
              <w:right w:val="nil"/>
            </w:tcBorders>
            <w:shd w:val="clear" w:color="auto" w:fill="auto"/>
            <w:vAlign w:val="center"/>
            <w:hideMark/>
          </w:tcPr>
          <w:p w14:paraId="072CFA4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63893A65"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22922A0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-692 101</w:t>
            </w:r>
          </w:p>
        </w:tc>
      </w:tr>
      <w:tr w:rsidR="00732F88" w:rsidRPr="007C33E3" w14:paraId="4053C93E" w14:textId="77777777" w:rsidTr="009A4177">
        <w:trPr>
          <w:trHeight w:val="406"/>
        </w:trPr>
        <w:tc>
          <w:tcPr>
            <w:tcW w:w="5529" w:type="dxa"/>
            <w:tcBorders>
              <w:top w:val="single" w:sz="4" w:space="0" w:color="17365D"/>
              <w:left w:val="nil"/>
              <w:bottom w:val="single" w:sz="4" w:space="0" w:color="17365D"/>
              <w:right w:val="nil"/>
            </w:tcBorders>
            <w:shd w:val="clear" w:color="auto" w:fill="auto"/>
            <w:vAlign w:val="center"/>
            <w:hideMark/>
          </w:tcPr>
          <w:p w14:paraId="65A62B87" w14:textId="77777777" w:rsidR="007C33E3" w:rsidRPr="007C33E3" w:rsidRDefault="007C33E3" w:rsidP="007C33E3">
            <w:pPr>
              <w:spacing w:after="0" w:line="240" w:lineRule="auto"/>
              <w:jc w:val="both"/>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BILANCE (3000+4000+5000)</w:t>
            </w:r>
          </w:p>
        </w:tc>
        <w:tc>
          <w:tcPr>
            <w:tcW w:w="1300" w:type="dxa"/>
            <w:tcBorders>
              <w:top w:val="single" w:sz="4" w:space="0" w:color="17365D"/>
              <w:left w:val="nil"/>
              <w:bottom w:val="single" w:sz="4" w:space="0" w:color="17365D"/>
              <w:right w:val="nil"/>
            </w:tcBorders>
            <w:shd w:val="clear" w:color="auto" w:fill="auto"/>
            <w:vAlign w:val="center"/>
            <w:hideMark/>
          </w:tcPr>
          <w:p w14:paraId="32E0BEAC"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5 883 110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72FFA426"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-5 400 002</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4493393"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-6 740 207 040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174C6C4A"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-5 806 906 484</w:t>
            </w:r>
          </w:p>
        </w:tc>
        <w:tc>
          <w:tcPr>
            <w:tcW w:w="960" w:type="dxa"/>
            <w:tcBorders>
              <w:top w:val="single" w:sz="4" w:space="0" w:color="17365D"/>
              <w:left w:val="nil"/>
              <w:bottom w:val="single" w:sz="4" w:space="0" w:color="17365D"/>
              <w:right w:val="nil"/>
            </w:tcBorders>
            <w:shd w:val="clear" w:color="auto" w:fill="auto"/>
            <w:vAlign w:val="center"/>
            <w:hideMark/>
          </w:tcPr>
          <w:p w14:paraId="69E31D36"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8E481A6"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014E9FC4"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10 145 724</w:t>
            </w:r>
          </w:p>
        </w:tc>
      </w:tr>
      <w:tr w:rsidR="00732F88" w:rsidRPr="007C33E3" w14:paraId="28BEBCF5"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695C1B5A"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Zembilance</w:t>
            </w:r>
          </w:p>
        </w:tc>
        <w:tc>
          <w:tcPr>
            <w:tcW w:w="1300" w:type="dxa"/>
            <w:tcBorders>
              <w:top w:val="single" w:sz="4" w:space="0" w:color="17365D"/>
              <w:left w:val="nil"/>
              <w:bottom w:val="single" w:sz="4" w:space="0" w:color="17365D"/>
              <w:right w:val="nil"/>
            </w:tcBorders>
            <w:shd w:val="clear" w:color="auto" w:fill="auto"/>
            <w:vAlign w:val="center"/>
            <w:hideMark/>
          </w:tcPr>
          <w:p w14:paraId="0D922A1C"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B66228E"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84865C5"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6C751BA4"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63B2640D"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960" w:type="dxa"/>
            <w:tcBorders>
              <w:top w:val="single" w:sz="4" w:space="0" w:color="17365D"/>
              <w:left w:val="nil"/>
              <w:bottom w:val="single" w:sz="4" w:space="0" w:color="17365D"/>
              <w:right w:val="nil"/>
            </w:tcBorders>
            <w:shd w:val="clear" w:color="auto" w:fill="auto"/>
            <w:vAlign w:val="center"/>
            <w:hideMark/>
          </w:tcPr>
          <w:p w14:paraId="4DB54221"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c>
          <w:tcPr>
            <w:tcW w:w="1640" w:type="dxa"/>
            <w:tcBorders>
              <w:top w:val="single" w:sz="4" w:space="0" w:color="17365D"/>
              <w:left w:val="nil"/>
              <w:bottom w:val="single" w:sz="4" w:space="0" w:color="17365D"/>
              <w:right w:val="nil"/>
            </w:tcBorders>
            <w:shd w:val="clear" w:color="auto" w:fill="auto"/>
            <w:vAlign w:val="center"/>
            <w:hideMark/>
          </w:tcPr>
          <w:p w14:paraId="3DB6CC0C" w14:textId="77777777" w:rsidR="007C33E3" w:rsidRPr="007C33E3" w:rsidRDefault="007C33E3" w:rsidP="007C33E3">
            <w:pPr>
              <w:spacing w:after="0" w:line="240" w:lineRule="auto"/>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 </w:t>
            </w:r>
          </w:p>
        </w:tc>
      </w:tr>
      <w:tr w:rsidR="00732F88" w:rsidRPr="007C33E3" w14:paraId="61E8864C"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863B941"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Zembilances aktīvi</w:t>
            </w:r>
          </w:p>
        </w:tc>
        <w:tc>
          <w:tcPr>
            <w:tcW w:w="1300" w:type="dxa"/>
            <w:tcBorders>
              <w:top w:val="single" w:sz="4" w:space="0" w:color="17365D"/>
              <w:left w:val="nil"/>
              <w:bottom w:val="single" w:sz="4" w:space="0" w:color="17365D"/>
              <w:right w:val="nil"/>
            </w:tcBorders>
            <w:shd w:val="clear" w:color="auto" w:fill="auto"/>
            <w:vAlign w:val="center"/>
            <w:hideMark/>
          </w:tcPr>
          <w:p w14:paraId="64C6B992"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6C9F067"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7C187B80"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246E6C5"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50FE46B"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DBA8FF9"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093218A7"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-5 610 073</w:t>
            </w:r>
          </w:p>
        </w:tc>
      </w:tr>
      <w:tr w:rsidR="00732F88" w:rsidRPr="007C33E3" w14:paraId="6EB0E4A0"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30750453"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Iespējamie aktīvi</w:t>
            </w:r>
          </w:p>
        </w:tc>
        <w:tc>
          <w:tcPr>
            <w:tcW w:w="1300" w:type="dxa"/>
            <w:tcBorders>
              <w:top w:val="single" w:sz="4" w:space="0" w:color="17365D"/>
              <w:left w:val="nil"/>
              <w:bottom w:val="single" w:sz="4" w:space="0" w:color="17365D"/>
              <w:right w:val="nil"/>
            </w:tcBorders>
            <w:shd w:val="clear" w:color="auto" w:fill="auto"/>
            <w:vAlign w:val="center"/>
            <w:hideMark/>
          </w:tcPr>
          <w:p w14:paraId="1433C184"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093A4D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B28B02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42FB1B1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364B276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7C33A9C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65043D4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-5 610 073</w:t>
            </w:r>
          </w:p>
        </w:tc>
      </w:tr>
      <w:tr w:rsidR="00732F88" w:rsidRPr="007C33E3" w14:paraId="35887728" w14:textId="77777777" w:rsidTr="009A4177">
        <w:trPr>
          <w:trHeight w:val="276"/>
        </w:trPr>
        <w:tc>
          <w:tcPr>
            <w:tcW w:w="5529" w:type="dxa"/>
            <w:tcBorders>
              <w:top w:val="single" w:sz="4" w:space="0" w:color="17365D"/>
              <w:left w:val="nil"/>
              <w:bottom w:val="single" w:sz="4" w:space="0" w:color="17365D"/>
              <w:right w:val="nil"/>
            </w:tcBorders>
            <w:shd w:val="clear" w:color="auto" w:fill="auto"/>
            <w:vAlign w:val="center"/>
            <w:hideMark/>
          </w:tcPr>
          <w:p w14:paraId="133FC1AB" w14:textId="77777777" w:rsidR="007C33E3" w:rsidRPr="007C33E3" w:rsidRDefault="007C33E3" w:rsidP="007C33E3">
            <w:pPr>
              <w:spacing w:after="0" w:line="240" w:lineRule="auto"/>
              <w:rPr>
                <w:rFonts w:eastAsia="Times New Roman" w:cs="Times New Roman"/>
                <w:color w:val="17365D"/>
                <w:sz w:val="18"/>
                <w:szCs w:val="18"/>
                <w:lang w:eastAsia="lv-LV"/>
              </w:rPr>
            </w:pPr>
            <w:r w:rsidRPr="007C33E3">
              <w:rPr>
                <w:rFonts w:eastAsia="Times New Roman" w:cs="Times New Roman"/>
                <w:color w:val="17365D"/>
                <w:sz w:val="18"/>
                <w:szCs w:val="18"/>
                <w:lang w:eastAsia="lv-LV"/>
              </w:rPr>
              <w:t>Zembilances pasīvi</w:t>
            </w:r>
          </w:p>
        </w:tc>
        <w:tc>
          <w:tcPr>
            <w:tcW w:w="1300" w:type="dxa"/>
            <w:tcBorders>
              <w:top w:val="single" w:sz="4" w:space="0" w:color="17365D"/>
              <w:left w:val="nil"/>
              <w:bottom w:val="single" w:sz="4" w:space="0" w:color="17365D"/>
              <w:right w:val="nil"/>
            </w:tcBorders>
            <w:shd w:val="clear" w:color="auto" w:fill="auto"/>
            <w:vAlign w:val="center"/>
            <w:hideMark/>
          </w:tcPr>
          <w:p w14:paraId="0FF57432"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5677690C"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3E05C4C1"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7E5A0051"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DCB2C51"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56701A3B"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25AB3E79" w14:textId="77777777" w:rsidR="007C33E3" w:rsidRPr="007C33E3" w:rsidRDefault="007C33E3" w:rsidP="007C33E3">
            <w:pPr>
              <w:spacing w:after="0" w:line="240" w:lineRule="auto"/>
              <w:jc w:val="right"/>
              <w:rPr>
                <w:rFonts w:eastAsia="Times New Roman" w:cs="Times New Roman"/>
                <w:b/>
                <w:bCs/>
                <w:color w:val="17365D"/>
                <w:sz w:val="18"/>
                <w:szCs w:val="18"/>
                <w:lang w:eastAsia="lv-LV"/>
              </w:rPr>
            </w:pPr>
            <w:r w:rsidRPr="007C33E3">
              <w:rPr>
                <w:rFonts w:eastAsia="Times New Roman" w:cs="Times New Roman"/>
                <w:b/>
                <w:bCs/>
                <w:color w:val="17365D"/>
                <w:sz w:val="18"/>
                <w:szCs w:val="18"/>
                <w:lang w:eastAsia="lv-LV"/>
              </w:rPr>
              <w:t>3 753 942</w:t>
            </w:r>
          </w:p>
        </w:tc>
      </w:tr>
      <w:tr w:rsidR="00732F88" w:rsidRPr="007C33E3" w14:paraId="53AF69C7" w14:textId="77777777" w:rsidTr="009A4177">
        <w:trPr>
          <w:trHeight w:val="641"/>
        </w:trPr>
        <w:tc>
          <w:tcPr>
            <w:tcW w:w="5529" w:type="dxa"/>
            <w:tcBorders>
              <w:top w:val="single" w:sz="4" w:space="0" w:color="17365D"/>
              <w:left w:val="nil"/>
              <w:bottom w:val="single" w:sz="4" w:space="0" w:color="17365D"/>
              <w:right w:val="nil"/>
            </w:tcBorders>
            <w:shd w:val="clear" w:color="auto" w:fill="auto"/>
            <w:vAlign w:val="center"/>
            <w:hideMark/>
          </w:tcPr>
          <w:p w14:paraId="4F501325"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Nākotnes saistības saskaņā ar līgumiem, kas noslēgti par ārvalstu finanšu palīdzības un Eiropas Savienības politiku instrumentu finansētajiem projektiem</w:t>
            </w:r>
          </w:p>
        </w:tc>
        <w:tc>
          <w:tcPr>
            <w:tcW w:w="1300" w:type="dxa"/>
            <w:tcBorders>
              <w:top w:val="single" w:sz="4" w:space="0" w:color="17365D"/>
              <w:left w:val="nil"/>
              <w:bottom w:val="single" w:sz="4" w:space="0" w:color="17365D"/>
              <w:right w:val="nil"/>
            </w:tcBorders>
            <w:shd w:val="clear" w:color="auto" w:fill="auto"/>
            <w:vAlign w:val="center"/>
            <w:hideMark/>
          </w:tcPr>
          <w:p w14:paraId="4DFB559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3E0EA7C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5347E3D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07FCD22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0916DF3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D7EDC0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16CD0E6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908 994</w:t>
            </w:r>
          </w:p>
        </w:tc>
      </w:tr>
      <w:tr w:rsidR="00732F88" w:rsidRPr="007C33E3" w14:paraId="0E746F25" w14:textId="77777777" w:rsidTr="009A4177">
        <w:trPr>
          <w:trHeight w:val="821"/>
        </w:trPr>
        <w:tc>
          <w:tcPr>
            <w:tcW w:w="5529" w:type="dxa"/>
            <w:tcBorders>
              <w:top w:val="single" w:sz="4" w:space="0" w:color="17365D"/>
              <w:left w:val="nil"/>
              <w:bottom w:val="single" w:sz="4" w:space="0" w:color="17365D"/>
              <w:right w:val="nil"/>
            </w:tcBorders>
            <w:shd w:val="clear" w:color="auto" w:fill="auto"/>
            <w:vAlign w:val="center"/>
            <w:hideMark/>
          </w:tcPr>
          <w:p w14:paraId="0B79CCA4"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Nākotnes saistības saskaņā ar līgumiem un vadības lēmumiem par ilgtermiņa ieguldījumu iegādi un izveidošanu, izņemot tos, kas noslēgti par ārvalstu finanšu palīdzības un Eiropas Savienības politiku instrumentu finansētajiem projektiem</w:t>
            </w:r>
          </w:p>
        </w:tc>
        <w:tc>
          <w:tcPr>
            <w:tcW w:w="1300" w:type="dxa"/>
            <w:tcBorders>
              <w:top w:val="single" w:sz="4" w:space="0" w:color="17365D"/>
              <w:left w:val="nil"/>
              <w:bottom w:val="single" w:sz="4" w:space="0" w:color="17365D"/>
              <w:right w:val="nil"/>
            </w:tcBorders>
            <w:shd w:val="clear" w:color="auto" w:fill="auto"/>
            <w:vAlign w:val="center"/>
            <w:hideMark/>
          </w:tcPr>
          <w:p w14:paraId="5AAC5EC8"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252" w:type="dxa"/>
            <w:gridSpan w:val="2"/>
            <w:tcBorders>
              <w:top w:val="single" w:sz="4" w:space="0" w:color="17365D"/>
              <w:left w:val="nil"/>
              <w:bottom w:val="single" w:sz="4" w:space="0" w:color="17365D"/>
              <w:right w:val="nil"/>
            </w:tcBorders>
            <w:shd w:val="clear" w:color="auto" w:fill="auto"/>
            <w:vAlign w:val="center"/>
            <w:hideMark/>
          </w:tcPr>
          <w:p w14:paraId="21BD092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417" w:type="dxa"/>
            <w:gridSpan w:val="2"/>
            <w:tcBorders>
              <w:top w:val="single" w:sz="4" w:space="0" w:color="17365D"/>
              <w:left w:val="nil"/>
              <w:bottom w:val="single" w:sz="4" w:space="0" w:color="17365D"/>
              <w:right w:val="nil"/>
            </w:tcBorders>
            <w:shd w:val="clear" w:color="auto" w:fill="auto"/>
            <w:vAlign w:val="center"/>
            <w:hideMark/>
          </w:tcPr>
          <w:p w14:paraId="6C141519"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559" w:type="dxa"/>
            <w:gridSpan w:val="2"/>
            <w:tcBorders>
              <w:top w:val="single" w:sz="4" w:space="0" w:color="17365D"/>
              <w:left w:val="nil"/>
              <w:bottom w:val="single" w:sz="4" w:space="0" w:color="17365D"/>
              <w:right w:val="nil"/>
            </w:tcBorders>
            <w:shd w:val="clear" w:color="auto" w:fill="auto"/>
            <w:vAlign w:val="center"/>
            <w:hideMark/>
          </w:tcPr>
          <w:p w14:paraId="597A3F5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41DBDB2B"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960" w:type="dxa"/>
            <w:tcBorders>
              <w:top w:val="single" w:sz="4" w:space="0" w:color="17365D"/>
              <w:left w:val="nil"/>
              <w:bottom w:val="single" w:sz="4" w:space="0" w:color="17365D"/>
              <w:right w:val="nil"/>
            </w:tcBorders>
            <w:shd w:val="clear" w:color="auto" w:fill="auto"/>
            <w:vAlign w:val="center"/>
            <w:hideMark/>
          </w:tcPr>
          <w:p w14:paraId="2A73EB2C"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0</w:t>
            </w:r>
          </w:p>
        </w:tc>
        <w:tc>
          <w:tcPr>
            <w:tcW w:w="1640" w:type="dxa"/>
            <w:tcBorders>
              <w:top w:val="single" w:sz="4" w:space="0" w:color="17365D"/>
              <w:left w:val="nil"/>
              <w:bottom w:val="single" w:sz="4" w:space="0" w:color="17365D"/>
              <w:right w:val="nil"/>
            </w:tcBorders>
            <w:shd w:val="clear" w:color="auto" w:fill="auto"/>
            <w:vAlign w:val="center"/>
            <w:hideMark/>
          </w:tcPr>
          <w:p w14:paraId="3C11B5B3"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2 844 948</w:t>
            </w:r>
          </w:p>
        </w:tc>
      </w:tr>
      <w:tr w:rsidR="00732F88" w:rsidRPr="007C33E3" w14:paraId="4CD65E28" w14:textId="77777777" w:rsidTr="009A4177">
        <w:trPr>
          <w:trHeight w:val="264"/>
        </w:trPr>
        <w:tc>
          <w:tcPr>
            <w:tcW w:w="5529" w:type="dxa"/>
            <w:tcBorders>
              <w:top w:val="single" w:sz="4" w:space="0" w:color="17365D"/>
              <w:left w:val="nil"/>
              <w:bottom w:val="nil"/>
              <w:right w:val="nil"/>
            </w:tcBorders>
            <w:shd w:val="clear" w:color="000000" w:fill="B8CCE4"/>
            <w:vAlign w:val="center"/>
            <w:hideMark/>
          </w:tcPr>
          <w:p w14:paraId="23D88D20" w14:textId="77777777" w:rsidR="007C33E3" w:rsidRPr="007C33E3" w:rsidRDefault="007C33E3" w:rsidP="007C33E3">
            <w:pPr>
              <w:spacing w:after="0" w:line="240" w:lineRule="auto"/>
              <w:ind w:firstLineChars="100" w:firstLine="180"/>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1300" w:type="dxa"/>
            <w:tcBorders>
              <w:top w:val="single" w:sz="4" w:space="0" w:color="17365D"/>
              <w:left w:val="nil"/>
              <w:bottom w:val="nil"/>
              <w:right w:val="nil"/>
            </w:tcBorders>
            <w:shd w:val="clear" w:color="000000" w:fill="B8CCE4"/>
            <w:vAlign w:val="center"/>
            <w:hideMark/>
          </w:tcPr>
          <w:p w14:paraId="45AABE5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1252" w:type="dxa"/>
            <w:gridSpan w:val="2"/>
            <w:tcBorders>
              <w:top w:val="single" w:sz="4" w:space="0" w:color="17365D"/>
              <w:left w:val="nil"/>
              <w:bottom w:val="nil"/>
              <w:right w:val="nil"/>
            </w:tcBorders>
            <w:shd w:val="clear" w:color="000000" w:fill="B8CCE4"/>
            <w:vAlign w:val="center"/>
            <w:hideMark/>
          </w:tcPr>
          <w:p w14:paraId="42542462"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1417" w:type="dxa"/>
            <w:gridSpan w:val="2"/>
            <w:tcBorders>
              <w:top w:val="single" w:sz="4" w:space="0" w:color="17365D"/>
              <w:left w:val="nil"/>
              <w:bottom w:val="nil"/>
              <w:right w:val="nil"/>
            </w:tcBorders>
            <w:shd w:val="clear" w:color="000000" w:fill="B8CCE4"/>
            <w:vAlign w:val="center"/>
            <w:hideMark/>
          </w:tcPr>
          <w:p w14:paraId="3104A037"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1559" w:type="dxa"/>
            <w:gridSpan w:val="2"/>
            <w:tcBorders>
              <w:top w:val="single" w:sz="4" w:space="0" w:color="17365D"/>
              <w:left w:val="nil"/>
              <w:bottom w:val="nil"/>
              <w:right w:val="nil"/>
            </w:tcBorders>
            <w:shd w:val="clear" w:color="000000" w:fill="B8CCE4"/>
            <w:vAlign w:val="center"/>
            <w:hideMark/>
          </w:tcPr>
          <w:p w14:paraId="198324F1"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960" w:type="dxa"/>
            <w:tcBorders>
              <w:top w:val="single" w:sz="4" w:space="0" w:color="17365D"/>
              <w:left w:val="nil"/>
              <w:bottom w:val="nil"/>
              <w:right w:val="nil"/>
            </w:tcBorders>
            <w:shd w:val="clear" w:color="000000" w:fill="B8CCE4"/>
            <w:vAlign w:val="center"/>
            <w:hideMark/>
          </w:tcPr>
          <w:p w14:paraId="572CE58D"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960" w:type="dxa"/>
            <w:tcBorders>
              <w:top w:val="single" w:sz="4" w:space="0" w:color="17365D"/>
              <w:left w:val="nil"/>
              <w:bottom w:val="nil"/>
              <w:right w:val="nil"/>
            </w:tcBorders>
            <w:shd w:val="clear" w:color="000000" w:fill="B8CCE4"/>
            <w:vAlign w:val="center"/>
            <w:hideMark/>
          </w:tcPr>
          <w:p w14:paraId="706F2E4F"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c>
          <w:tcPr>
            <w:tcW w:w="1640" w:type="dxa"/>
            <w:tcBorders>
              <w:top w:val="single" w:sz="4" w:space="0" w:color="17365D"/>
              <w:left w:val="nil"/>
              <w:bottom w:val="nil"/>
              <w:right w:val="nil"/>
            </w:tcBorders>
            <w:shd w:val="clear" w:color="000000" w:fill="B8CCE4"/>
            <w:vAlign w:val="center"/>
            <w:hideMark/>
          </w:tcPr>
          <w:p w14:paraId="74506F9A" w14:textId="77777777" w:rsidR="007C33E3" w:rsidRPr="007C33E3" w:rsidRDefault="007C33E3" w:rsidP="007C33E3">
            <w:pPr>
              <w:spacing w:after="0" w:line="240" w:lineRule="auto"/>
              <w:jc w:val="right"/>
              <w:rPr>
                <w:rFonts w:eastAsia="Times New Roman" w:cs="Times New Roman"/>
                <w:color w:val="17365D"/>
                <w:sz w:val="18"/>
                <w:szCs w:val="18"/>
                <w:lang w:eastAsia="lv-LV"/>
              </w:rPr>
            </w:pPr>
            <w:r w:rsidRPr="007C33E3">
              <w:rPr>
                <w:rFonts w:eastAsia="Times New Roman" w:cs="Times New Roman"/>
                <w:color w:val="17365D"/>
                <w:sz w:val="18"/>
                <w:szCs w:val="18"/>
                <w:lang w:eastAsia="lv-LV"/>
              </w:rPr>
              <w:t> </w:t>
            </w:r>
          </w:p>
        </w:tc>
      </w:tr>
    </w:tbl>
    <w:p w14:paraId="256E82B2" w14:textId="65FA40D7" w:rsidR="007C33E3" w:rsidRPr="007C33E3" w:rsidRDefault="007C33E3" w:rsidP="007C33E3">
      <w:pPr>
        <w:pStyle w:val="Pamatteksts1"/>
        <w:sectPr w:rsidR="007C33E3" w:rsidRPr="007C33E3" w:rsidSect="00381F40">
          <w:footerReference w:type="default" r:id="rId16"/>
          <w:pgSz w:w="16838" w:h="11906" w:orient="landscape" w:code="9"/>
          <w:pgMar w:top="1134" w:right="1134" w:bottom="1134" w:left="1134" w:header="567" w:footer="567" w:gutter="0"/>
          <w:cols w:space="708"/>
          <w:docGrid w:linePitch="360"/>
        </w:sectPr>
      </w:pPr>
    </w:p>
    <w:p w14:paraId="38EE7028" w14:textId="039D1880" w:rsidR="008911F1" w:rsidRPr="006B0E02" w:rsidRDefault="008911F1" w:rsidP="008515BB">
      <w:pPr>
        <w:pStyle w:val="Heading3"/>
      </w:pPr>
      <w:r w:rsidRPr="006B0E02">
        <w:lastRenderedPageBreak/>
        <w:t xml:space="preserve">Paskaidrojumi konsolidētā </w:t>
      </w:r>
      <w:r w:rsidRPr="006B0E02" w:rsidDel="00550C21">
        <w:t>pārskat</w:t>
      </w:r>
      <w:r w:rsidRPr="006B0E02">
        <w:t>a</w:t>
      </w:r>
      <w:r w:rsidRPr="006B0E02" w:rsidDel="00550C21">
        <w:t xml:space="preserve"> par darbības finansiālajiem rezultātiem</w:t>
      </w:r>
      <w:r w:rsidRPr="006B0E02">
        <w:t xml:space="preserve"> posteņiem </w:t>
      </w:r>
    </w:p>
    <w:p w14:paraId="6A7447C1" w14:textId="77777777" w:rsidR="00D74371" w:rsidRPr="00974E43" w:rsidRDefault="00D74371" w:rsidP="008515BB">
      <w:pPr>
        <w:pStyle w:val="Heading3"/>
        <w:rPr>
          <w:lang w:eastAsia="lv-LV"/>
        </w:rPr>
      </w:pPr>
      <w:r w:rsidRPr="00974E43">
        <w:rPr>
          <w:lang w:eastAsia="lv-LV"/>
        </w:rPr>
        <w:t xml:space="preserve">Konsolidētā pārskata </w:t>
      </w:r>
      <w:r w:rsidRPr="00974E43" w:rsidDel="00550C21">
        <w:rPr>
          <w:lang w:eastAsia="lv-LV"/>
        </w:rPr>
        <w:t>par darbības finansiālajiem rezultātiem</w:t>
      </w:r>
      <w:r w:rsidRPr="00974E43">
        <w:rPr>
          <w:lang w:eastAsia="lv-LV"/>
        </w:rPr>
        <w:t xml:space="preserve"> ieņēmumi  </w:t>
      </w:r>
    </w:p>
    <w:p w14:paraId="06555FBF" w14:textId="77777777" w:rsidR="00B1750B" w:rsidRDefault="00B1750B" w:rsidP="00324AC5">
      <w:pPr>
        <w:pStyle w:val="Tabnosauk"/>
      </w:pPr>
      <w:r>
        <w:t>2.1</w:t>
      </w:r>
      <w:r w:rsidRPr="006B0E02">
        <w:t>. tabula. Ieņ</w:t>
      </w:r>
      <w:r w:rsidRPr="00A27896">
        <w:t>ēmumi (euro)</w:t>
      </w:r>
    </w:p>
    <w:tbl>
      <w:tblPr>
        <w:tblW w:w="9571" w:type="dxa"/>
        <w:tblInd w:w="-5" w:type="dxa"/>
        <w:tblLayout w:type="fixed"/>
        <w:tblLook w:val="04A0" w:firstRow="1" w:lastRow="0" w:firstColumn="1" w:lastColumn="0" w:noHBand="0" w:noVBand="1"/>
      </w:tblPr>
      <w:tblGrid>
        <w:gridCol w:w="98"/>
        <w:gridCol w:w="2884"/>
        <w:gridCol w:w="886"/>
        <w:gridCol w:w="1592"/>
        <w:gridCol w:w="1133"/>
        <w:gridCol w:w="426"/>
        <w:gridCol w:w="1418"/>
        <w:gridCol w:w="1134"/>
      </w:tblGrid>
      <w:tr w:rsidR="00B1750B" w:rsidRPr="005A0A54" w14:paraId="3E081A1C" w14:textId="77777777" w:rsidTr="009A4177">
        <w:trPr>
          <w:gridBefore w:val="1"/>
          <w:wBefore w:w="98" w:type="dxa"/>
          <w:trHeight w:val="678"/>
          <w:tblHeader/>
        </w:trPr>
        <w:tc>
          <w:tcPr>
            <w:tcW w:w="2884" w:type="dxa"/>
            <w:tcBorders>
              <w:bottom w:val="single" w:sz="4" w:space="0" w:color="17365D"/>
            </w:tcBorders>
            <w:shd w:val="clear" w:color="auto" w:fill="B9CDE5"/>
            <w:vAlign w:val="center"/>
            <w:hideMark/>
          </w:tcPr>
          <w:p w14:paraId="1446DDA8" w14:textId="170E1ECA" w:rsidR="00B1750B" w:rsidRPr="005A0A54"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w:t>
            </w:r>
            <w:r w:rsidR="0057580F">
              <w:rPr>
                <w:rFonts w:eastAsia="Times New Roman" w:cs="Times New Roman"/>
                <w:b/>
                <w:color w:val="17365D"/>
                <w:sz w:val="18"/>
                <w:szCs w:val="18"/>
                <w:lang w:eastAsia="lv-LV"/>
              </w:rPr>
              <w:t>a</w:t>
            </w:r>
            <w:r>
              <w:rPr>
                <w:rFonts w:eastAsia="Times New Roman" w:cs="Times New Roman"/>
                <w:b/>
                <w:color w:val="17365D"/>
                <w:sz w:val="18"/>
                <w:szCs w:val="18"/>
                <w:lang w:eastAsia="lv-LV"/>
              </w:rPr>
              <w:t xml:space="preserve"> nosaukums</w:t>
            </w:r>
          </w:p>
        </w:tc>
        <w:tc>
          <w:tcPr>
            <w:tcW w:w="886" w:type="dxa"/>
            <w:tcBorders>
              <w:bottom w:val="single" w:sz="4" w:space="0" w:color="17365D"/>
            </w:tcBorders>
            <w:shd w:val="clear" w:color="auto" w:fill="B9CDE5"/>
            <w:vAlign w:val="center"/>
          </w:tcPr>
          <w:p w14:paraId="7DB24381" w14:textId="77777777" w:rsidR="00B1750B" w:rsidRPr="005A0A54" w:rsidRDefault="00B1750B" w:rsidP="009A09DF">
            <w:pPr>
              <w:pStyle w:val="Tabgalva"/>
            </w:pPr>
            <w:r w:rsidRPr="00597DB1">
              <w:t>Piezīmes</w:t>
            </w:r>
            <w:r w:rsidRPr="005A0A54">
              <w:t xml:space="preserve"> Nr.</w:t>
            </w:r>
          </w:p>
        </w:tc>
        <w:tc>
          <w:tcPr>
            <w:tcW w:w="1592" w:type="dxa"/>
            <w:tcBorders>
              <w:bottom w:val="single" w:sz="4" w:space="0" w:color="17365D"/>
            </w:tcBorders>
            <w:shd w:val="clear" w:color="auto" w:fill="B9CDE5"/>
            <w:vAlign w:val="center"/>
          </w:tcPr>
          <w:p w14:paraId="2BA7A7FB" w14:textId="77777777" w:rsidR="00293770"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 xml:space="preserve">Pārskata </w:t>
            </w:r>
          </w:p>
          <w:p w14:paraId="3AD4A506" w14:textId="2F675EAC"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periods</w:t>
            </w:r>
          </w:p>
        </w:tc>
        <w:tc>
          <w:tcPr>
            <w:tcW w:w="1559" w:type="dxa"/>
            <w:gridSpan w:val="2"/>
            <w:tcBorders>
              <w:bottom w:val="single" w:sz="4" w:space="0" w:color="17365D"/>
            </w:tcBorders>
            <w:shd w:val="clear" w:color="auto" w:fill="B9CDE5"/>
            <w:vAlign w:val="center"/>
          </w:tcPr>
          <w:p w14:paraId="0ACBA615"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Iepriekšējais pārskata periods</w:t>
            </w:r>
          </w:p>
        </w:tc>
        <w:tc>
          <w:tcPr>
            <w:tcW w:w="1418" w:type="dxa"/>
            <w:tcBorders>
              <w:bottom w:val="single" w:sz="4" w:space="0" w:color="17365D"/>
            </w:tcBorders>
            <w:shd w:val="clear" w:color="auto" w:fill="B9CDE5"/>
            <w:vAlign w:val="center"/>
          </w:tcPr>
          <w:p w14:paraId="41AF315F" w14:textId="77777777" w:rsidR="00B1750B" w:rsidRPr="005A0A54" w:rsidRDefault="00B1750B" w:rsidP="009A09DF">
            <w:pPr>
              <w:spacing w:after="0" w:line="240" w:lineRule="auto"/>
              <w:ind w:left="-107" w:right="-109"/>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 xml:space="preserve">Palielinājums (+), samazinājums (–) </w:t>
            </w:r>
          </w:p>
          <w:p w14:paraId="7905D6C2" w14:textId="77777777" w:rsidR="00B1750B" w:rsidRPr="005A0A54" w:rsidRDefault="00B1750B" w:rsidP="009A09DF">
            <w:pPr>
              <w:spacing w:after="0" w:line="240" w:lineRule="auto"/>
              <w:ind w:left="-107" w:right="-109"/>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(1. – 2.)</w:t>
            </w:r>
          </w:p>
        </w:tc>
        <w:tc>
          <w:tcPr>
            <w:tcW w:w="1134" w:type="dxa"/>
            <w:tcBorders>
              <w:bottom w:val="single" w:sz="4" w:space="0" w:color="17365D"/>
            </w:tcBorders>
            <w:shd w:val="clear" w:color="auto" w:fill="B9CDE5"/>
            <w:vAlign w:val="center"/>
          </w:tcPr>
          <w:p w14:paraId="700CDB17" w14:textId="77777777" w:rsidR="00B1750B" w:rsidRPr="005A0A54" w:rsidRDefault="00B1750B" w:rsidP="009A09DF">
            <w:pPr>
              <w:spacing w:after="0" w:line="240" w:lineRule="auto"/>
              <w:ind w:left="-107" w:right="-109"/>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 xml:space="preserve">Procentuālās izmaiņas </w:t>
            </w:r>
          </w:p>
          <w:p w14:paraId="383E030F" w14:textId="77777777" w:rsidR="00B1750B" w:rsidRPr="005A0A54" w:rsidRDefault="00B1750B" w:rsidP="009A09DF">
            <w:pPr>
              <w:spacing w:after="0" w:line="240" w:lineRule="auto"/>
              <w:ind w:right="-109"/>
              <w:rPr>
                <w:rFonts w:eastAsia="Times New Roman" w:cs="Times New Roman"/>
                <w:b/>
                <w:color w:val="17365D"/>
                <w:sz w:val="16"/>
                <w:szCs w:val="16"/>
                <w:lang w:eastAsia="lv-LV"/>
              </w:rPr>
            </w:pPr>
            <w:r w:rsidRPr="005A0A54">
              <w:rPr>
                <w:rFonts w:eastAsia="Times New Roman" w:cs="Times New Roman"/>
                <w:b/>
                <w:color w:val="17365D"/>
                <w:sz w:val="16"/>
                <w:szCs w:val="16"/>
                <w:lang w:eastAsia="lv-LV"/>
              </w:rPr>
              <w:t>(</w:t>
            </w:r>
            <w:r w:rsidRPr="005A0A54">
              <w:rPr>
                <w:rFonts w:eastAsia="Times New Roman" w:cs="Times New Roman"/>
                <w:b/>
                <w:color w:val="17365D"/>
                <w:sz w:val="18"/>
                <w:szCs w:val="18"/>
                <w:lang w:eastAsia="lv-LV"/>
              </w:rPr>
              <w:t>3./2. * 100)</w:t>
            </w:r>
          </w:p>
        </w:tc>
      </w:tr>
      <w:tr w:rsidR="00B1750B" w:rsidRPr="005A0A54" w14:paraId="2C63083D" w14:textId="77777777" w:rsidTr="009A4177">
        <w:trPr>
          <w:gridBefore w:val="1"/>
          <w:wBefore w:w="98" w:type="dxa"/>
          <w:trHeight w:val="97"/>
          <w:tblHeader/>
        </w:trPr>
        <w:tc>
          <w:tcPr>
            <w:tcW w:w="2884" w:type="dxa"/>
            <w:tcBorders>
              <w:top w:val="single" w:sz="4" w:space="0" w:color="17365D"/>
              <w:bottom w:val="single" w:sz="4" w:space="0" w:color="17365D"/>
            </w:tcBorders>
            <w:shd w:val="clear" w:color="auto" w:fill="auto"/>
            <w:vAlign w:val="center"/>
            <w:hideMark/>
          </w:tcPr>
          <w:p w14:paraId="57DE7ED5"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A</w:t>
            </w:r>
          </w:p>
        </w:tc>
        <w:tc>
          <w:tcPr>
            <w:tcW w:w="886" w:type="dxa"/>
            <w:tcBorders>
              <w:top w:val="single" w:sz="4" w:space="0" w:color="17365D"/>
              <w:bottom w:val="single" w:sz="4" w:space="0" w:color="17365D"/>
            </w:tcBorders>
            <w:shd w:val="clear" w:color="auto" w:fill="auto"/>
            <w:vAlign w:val="center"/>
            <w:hideMark/>
          </w:tcPr>
          <w:p w14:paraId="0DB4A958"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B</w:t>
            </w:r>
          </w:p>
        </w:tc>
        <w:tc>
          <w:tcPr>
            <w:tcW w:w="1592" w:type="dxa"/>
            <w:tcBorders>
              <w:top w:val="single" w:sz="4" w:space="0" w:color="17365D"/>
              <w:bottom w:val="single" w:sz="4" w:space="0" w:color="17365D"/>
            </w:tcBorders>
            <w:shd w:val="clear" w:color="auto" w:fill="auto"/>
            <w:vAlign w:val="center"/>
            <w:hideMark/>
          </w:tcPr>
          <w:p w14:paraId="66D14106"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1</w:t>
            </w:r>
          </w:p>
        </w:tc>
        <w:tc>
          <w:tcPr>
            <w:tcW w:w="1559" w:type="dxa"/>
            <w:gridSpan w:val="2"/>
            <w:tcBorders>
              <w:top w:val="single" w:sz="4" w:space="0" w:color="17365D"/>
              <w:bottom w:val="single" w:sz="4" w:space="0" w:color="17365D"/>
            </w:tcBorders>
            <w:shd w:val="clear" w:color="auto" w:fill="auto"/>
            <w:vAlign w:val="center"/>
            <w:hideMark/>
          </w:tcPr>
          <w:p w14:paraId="04B87BE5"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2</w:t>
            </w:r>
          </w:p>
        </w:tc>
        <w:tc>
          <w:tcPr>
            <w:tcW w:w="1418" w:type="dxa"/>
            <w:tcBorders>
              <w:top w:val="single" w:sz="4" w:space="0" w:color="17365D"/>
              <w:bottom w:val="single" w:sz="4" w:space="0" w:color="17365D"/>
            </w:tcBorders>
            <w:shd w:val="clear" w:color="auto" w:fill="auto"/>
            <w:vAlign w:val="center"/>
            <w:hideMark/>
          </w:tcPr>
          <w:p w14:paraId="3475A535"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3</w:t>
            </w:r>
          </w:p>
        </w:tc>
        <w:tc>
          <w:tcPr>
            <w:tcW w:w="1134" w:type="dxa"/>
            <w:tcBorders>
              <w:top w:val="single" w:sz="4" w:space="0" w:color="17365D"/>
              <w:bottom w:val="single" w:sz="4" w:space="0" w:color="17365D"/>
            </w:tcBorders>
            <w:shd w:val="clear" w:color="auto" w:fill="auto"/>
            <w:vAlign w:val="center"/>
            <w:hideMark/>
          </w:tcPr>
          <w:p w14:paraId="204FB1C1"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4</w:t>
            </w:r>
          </w:p>
        </w:tc>
      </w:tr>
      <w:tr w:rsidR="00B1750B" w:rsidRPr="005A0A54" w14:paraId="3E6A1E28" w14:textId="77777777" w:rsidTr="009A4177">
        <w:trPr>
          <w:gridBefore w:val="1"/>
          <w:wBefore w:w="98" w:type="dxa"/>
          <w:trHeight w:val="262"/>
        </w:trPr>
        <w:tc>
          <w:tcPr>
            <w:tcW w:w="2884" w:type="dxa"/>
            <w:tcBorders>
              <w:top w:val="single" w:sz="4" w:space="0" w:color="17365D"/>
              <w:bottom w:val="single" w:sz="4" w:space="0" w:color="17365D"/>
            </w:tcBorders>
            <w:shd w:val="clear" w:color="auto" w:fill="auto"/>
            <w:vAlign w:val="center"/>
            <w:hideMark/>
          </w:tcPr>
          <w:p w14:paraId="6E3FDECE" w14:textId="77777777" w:rsidR="00B1750B" w:rsidRPr="005A0A54" w:rsidRDefault="00B1750B" w:rsidP="009A09DF">
            <w:pPr>
              <w:spacing w:after="0" w:line="240" w:lineRule="auto"/>
              <w:rPr>
                <w:rFonts w:eastAsia="Times New Roman" w:cs="Times New Roman"/>
                <w:color w:val="17365D"/>
                <w:sz w:val="18"/>
                <w:szCs w:val="18"/>
                <w:lang w:eastAsia="lv-LV"/>
              </w:rPr>
            </w:pPr>
            <w:r>
              <w:rPr>
                <w:b/>
                <w:bCs/>
                <w:color w:val="17365D"/>
                <w:sz w:val="18"/>
                <w:szCs w:val="18"/>
              </w:rPr>
              <w:t>Ieņēmumi</w:t>
            </w:r>
          </w:p>
        </w:tc>
        <w:tc>
          <w:tcPr>
            <w:tcW w:w="886" w:type="dxa"/>
            <w:tcBorders>
              <w:top w:val="single" w:sz="4" w:space="0" w:color="17365D"/>
              <w:bottom w:val="single" w:sz="4" w:space="0" w:color="17365D"/>
            </w:tcBorders>
            <w:shd w:val="clear" w:color="auto" w:fill="auto"/>
            <w:noWrap/>
            <w:vAlign w:val="center"/>
            <w:hideMark/>
          </w:tcPr>
          <w:p w14:paraId="23536C17" w14:textId="58B798B8" w:rsidR="00B1750B" w:rsidRPr="002716E4" w:rsidRDefault="00B1750B" w:rsidP="009A09DF">
            <w:pPr>
              <w:spacing w:after="0" w:line="240" w:lineRule="auto"/>
              <w:jc w:val="center"/>
              <w:rPr>
                <w:rFonts w:eastAsia="Times New Roman" w:cs="Times New Roman"/>
                <w:b/>
                <w:color w:val="17365D"/>
                <w:sz w:val="18"/>
                <w:szCs w:val="18"/>
                <w:lang w:eastAsia="lv-LV"/>
              </w:rPr>
            </w:pPr>
          </w:p>
        </w:tc>
        <w:tc>
          <w:tcPr>
            <w:tcW w:w="1592" w:type="dxa"/>
            <w:tcBorders>
              <w:top w:val="single" w:sz="4" w:space="0" w:color="17365D"/>
              <w:bottom w:val="single" w:sz="4" w:space="0" w:color="17365D"/>
            </w:tcBorders>
            <w:shd w:val="clear" w:color="F2F2F2" w:fill="FFFFFF"/>
            <w:noWrap/>
            <w:vAlign w:val="center"/>
          </w:tcPr>
          <w:p w14:paraId="52666D85"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b/>
                <w:bCs/>
                <w:color w:val="17365D"/>
                <w:sz w:val="18"/>
                <w:szCs w:val="18"/>
              </w:rPr>
              <w:t>19 128 703 869</w:t>
            </w:r>
          </w:p>
        </w:tc>
        <w:tc>
          <w:tcPr>
            <w:tcW w:w="1559" w:type="dxa"/>
            <w:gridSpan w:val="2"/>
            <w:tcBorders>
              <w:top w:val="single" w:sz="4" w:space="0" w:color="17365D"/>
              <w:bottom w:val="single" w:sz="4" w:space="0" w:color="17365D"/>
            </w:tcBorders>
            <w:shd w:val="clear" w:color="F2F2F2" w:fill="FFFFFF"/>
            <w:noWrap/>
            <w:vAlign w:val="center"/>
          </w:tcPr>
          <w:p w14:paraId="3E8465E0"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b/>
                <w:bCs/>
                <w:color w:val="17365D"/>
                <w:sz w:val="18"/>
                <w:szCs w:val="18"/>
              </w:rPr>
              <w:t>17 479 155 814</w:t>
            </w:r>
          </w:p>
        </w:tc>
        <w:tc>
          <w:tcPr>
            <w:tcW w:w="1418" w:type="dxa"/>
            <w:tcBorders>
              <w:top w:val="single" w:sz="4" w:space="0" w:color="17365D"/>
              <w:bottom w:val="single" w:sz="4" w:space="0" w:color="17365D"/>
            </w:tcBorders>
            <w:shd w:val="clear" w:color="auto" w:fill="auto"/>
            <w:noWrap/>
            <w:vAlign w:val="center"/>
          </w:tcPr>
          <w:p w14:paraId="7845250D"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b/>
                <w:bCs/>
                <w:color w:val="17365D"/>
                <w:sz w:val="18"/>
                <w:szCs w:val="18"/>
              </w:rPr>
              <w:t>1 649 548 055</w:t>
            </w:r>
          </w:p>
        </w:tc>
        <w:tc>
          <w:tcPr>
            <w:tcW w:w="1134" w:type="dxa"/>
            <w:tcBorders>
              <w:top w:val="single" w:sz="4" w:space="0" w:color="17365D"/>
              <w:bottom w:val="single" w:sz="4" w:space="0" w:color="17365D"/>
            </w:tcBorders>
            <w:shd w:val="clear" w:color="auto" w:fill="auto"/>
            <w:vAlign w:val="center"/>
          </w:tcPr>
          <w:p w14:paraId="0FAB6C65"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b/>
                <w:bCs/>
                <w:color w:val="17365D"/>
                <w:sz w:val="18"/>
                <w:szCs w:val="18"/>
              </w:rPr>
              <w:t>9.44</w:t>
            </w:r>
          </w:p>
        </w:tc>
      </w:tr>
      <w:tr w:rsidR="00B1750B" w:rsidRPr="005A0A54" w14:paraId="04D16D86"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0813B89B" w14:textId="77777777" w:rsidR="00B1750B" w:rsidRPr="005A0A54" w:rsidRDefault="00B1750B" w:rsidP="009A09DF">
            <w:pPr>
              <w:spacing w:after="0" w:line="240" w:lineRule="auto"/>
              <w:rPr>
                <w:rFonts w:eastAsia="Times New Roman" w:cs="Times New Roman"/>
                <w:bCs/>
                <w:color w:val="17365D"/>
                <w:sz w:val="18"/>
                <w:szCs w:val="18"/>
                <w:lang w:eastAsia="lv-LV"/>
              </w:rPr>
            </w:pPr>
            <w:r>
              <w:rPr>
                <w:color w:val="17365D"/>
                <w:sz w:val="18"/>
                <w:szCs w:val="18"/>
              </w:rPr>
              <w:t>Nodokļu ieņēmumi</w:t>
            </w:r>
          </w:p>
        </w:tc>
        <w:tc>
          <w:tcPr>
            <w:tcW w:w="886" w:type="dxa"/>
            <w:tcBorders>
              <w:top w:val="single" w:sz="4" w:space="0" w:color="17365D"/>
              <w:bottom w:val="single" w:sz="4" w:space="0" w:color="17365D"/>
            </w:tcBorders>
            <w:shd w:val="clear" w:color="auto" w:fill="auto"/>
            <w:noWrap/>
            <w:vAlign w:val="center"/>
          </w:tcPr>
          <w:p w14:paraId="779DBE23" w14:textId="77777777" w:rsidR="00B1750B" w:rsidRPr="002716E4" w:rsidRDefault="00B1750B" w:rsidP="009A09DF">
            <w:pPr>
              <w:spacing w:after="0" w:line="240" w:lineRule="auto"/>
              <w:jc w:val="center"/>
              <w:rPr>
                <w:rFonts w:eastAsia="Times New Roman" w:cs="Times New Roman"/>
                <w:color w:val="17365D"/>
                <w:sz w:val="18"/>
                <w:szCs w:val="18"/>
                <w:lang w:eastAsia="lv-LV"/>
              </w:rPr>
            </w:pPr>
            <w:r>
              <w:rPr>
                <w:color w:val="17365D"/>
                <w:sz w:val="18"/>
                <w:szCs w:val="18"/>
              </w:rPr>
              <w:t> </w:t>
            </w:r>
          </w:p>
        </w:tc>
        <w:tc>
          <w:tcPr>
            <w:tcW w:w="1592" w:type="dxa"/>
            <w:tcBorders>
              <w:top w:val="single" w:sz="4" w:space="0" w:color="17365D"/>
              <w:bottom w:val="single" w:sz="4" w:space="0" w:color="17365D"/>
            </w:tcBorders>
            <w:shd w:val="clear" w:color="F2F2F2" w:fill="FFFFFF"/>
            <w:noWrap/>
            <w:vAlign w:val="center"/>
          </w:tcPr>
          <w:p w14:paraId="79944EE1"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13 698 714 671</w:t>
            </w:r>
          </w:p>
        </w:tc>
        <w:tc>
          <w:tcPr>
            <w:tcW w:w="1559" w:type="dxa"/>
            <w:gridSpan w:val="2"/>
            <w:tcBorders>
              <w:top w:val="single" w:sz="4" w:space="0" w:color="17365D"/>
              <w:bottom w:val="single" w:sz="4" w:space="0" w:color="17365D"/>
            </w:tcBorders>
            <w:shd w:val="clear" w:color="F2F2F2" w:fill="FFFFFF"/>
            <w:noWrap/>
            <w:vAlign w:val="center"/>
          </w:tcPr>
          <w:p w14:paraId="49A30BD8"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12 630 112 242</w:t>
            </w:r>
          </w:p>
        </w:tc>
        <w:tc>
          <w:tcPr>
            <w:tcW w:w="1418" w:type="dxa"/>
            <w:tcBorders>
              <w:top w:val="single" w:sz="4" w:space="0" w:color="17365D"/>
              <w:bottom w:val="single" w:sz="4" w:space="0" w:color="17365D"/>
            </w:tcBorders>
            <w:shd w:val="clear" w:color="auto" w:fill="auto"/>
            <w:noWrap/>
            <w:vAlign w:val="center"/>
          </w:tcPr>
          <w:p w14:paraId="0F0A2BEC"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1 068 602 429</w:t>
            </w:r>
          </w:p>
        </w:tc>
        <w:tc>
          <w:tcPr>
            <w:tcW w:w="1134" w:type="dxa"/>
            <w:tcBorders>
              <w:top w:val="single" w:sz="4" w:space="0" w:color="17365D"/>
              <w:bottom w:val="single" w:sz="4" w:space="0" w:color="17365D"/>
            </w:tcBorders>
            <w:shd w:val="clear" w:color="auto" w:fill="auto"/>
            <w:vAlign w:val="center"/>
          </w:tcPr>
          <w:p w14:paraId="1443B708"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8.46</w:t>
            </w:r>
          </w:p>
        </w:tc>
      </w:tr>
      <w:tr w:rsidR="00B1750B" w:rsidRPr="005A0A54" w14:paraId="22438124"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71636952" w14:textId="77777777" w:rsidR="00B1750B" w:rsidRPr="005A0A54" w:rsidRDefault="00B1750B" w:rsidP="009A09DF">
            <w:pPr>
              <w:spacing w:after="0" w:line="240" w:lineRule="auto"/>
              <w:rPr>
                <w:rFonts w:eastAsia="Times New Roman" w:cs="Times New Roman"/>
                <w:bCs/>
                <w:color w:val="17365D"/>
                <w:sz w:val="18"/>
                <w:szCs w:val="18"/>
                <w:lang w:eastAsia="lv-LV"/>
              </w:rPr>
            </w:pPr>
            <w:proofErr w:type="spellStart"/>
            <w:r>
              <w:rPr>
                <w:color w:val="17365D"/>
                <w:sz w:val="18"/>
                <w:szCs w:val="18"/>
              </w:rPr>
              <w:t>Nenodokļu</w:t>
            </w:r>
            <w:proofErr w:type="spellEnd"/>
            <w:r>
              <w:rPr>
                <w:color w:val="17365D"/>
                <w:sz w:val="18"/>
                <w:szCs w:val="18"/>
              </w:rPr>
              <w:t xml:space="preserve"> ieņēmumi</w:t>
            </w:r>
          </w:p>
        </w:tc>
        <w:tc>
          <w:tcPr>
            <w:tcW w:w="886" w:type="dxa"/>
            <w:tcBorders>
              <w:top w:val="single" w:sz="4" w:space="0" w:color="17365D"/>
              <w:bottom w:val="single" w:sz="4" w:space="0" w:color="17365D"/>
            </w:tcBorders>
            <w:shd w:val="clear" w:color="auto" w:fill="auto"/>
            <w:noWrap/>
            <w:vAlign w:val="center"/>
          </w:tcPr>
          <w:p w14:paraId="0DCC5F1C" w14:textId="77777777" w:rsidR="00B1750B" w:rsidRPr="002716E4" w:rsidRDefault="00B1750B" w:rsidP="009A09DF">
            <w:pPr>
              <w:spacing w:after="0" w:line="240" w:lineRule="auto"/>
              <w:jc w:val="center"/>
              <w:rPr>
                <w:rFonts w:eastAsia="Times New Roman" w:cs="Times New Roman"/>
                <w:color w:val="17365D"/>
                <w:sz w:val="18"/>
                <w:szCs w:val="18"/>
                <w:lang w:eastAsia="lv-LV"/>
              </w:rPr>
            </w:pPr>
          </w:p>
        </w:tc>
        <w:tc>
          <w:tcPr>
            <w:tcW w:w="1592" w:type="dxa"/>
            <w:tcBorders>
              <w:top w:val="single" w:sz="4" w:space="0" w:color="17365D"/>
              <w:bottom w:val="single" w:sz="4" w:space="0" w:color="17365D"/>
            </w:tcBorders>
            <w:shd w:val="clear" w:color="F2F2F2" w:fill="FFFFFF"/>
            <w:noWrap/>
            <w:vAlign w:val="center"/>
          </w:tcPr>
          <w:p w14:paraId="7469736F"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966 068 550</w:t>
            </w:r>
          </w:p>
        </w:tc>
        <w:tc>
          <w:tcPr>
            <w:tcW w:w="1559" w:type="dxa"/>
            <w:gridSpan w:val="2"/>
            <w:tcBorders>
              <w:top w:val="single" w:sz="4" w:space="0" w:color="17365D"/>
              <w:bottom w:val="single" w:sz="4" w:space="0" w:color="17365D"/>
            </w:tcBorders>
            <w:shd w:val="clear" w:color="F2F2F2" w:fill="FFFFFF"/>
            <w:noWrap/>
            <w:vAlign w:val="center"/>
          </w:tcPr>
          <w:p w14:paraId="0C7E675B"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907 056 459</w:t>
            </w:r>
          </w:p>
        </w:tc>
        <w:tc>
          <w:tcPr>
            <w:tcW w:w="1418" w:type="dxa"/>
            <w:tcBorders>
              <w:top w:val="single" w:sz="4" w:space="0" w:color="17365D"/>
              <w:bottom w:val="single" w:sz="4" w:space="0" w:color="17365D"/>
            </w:tcBorders>
            <w:shd w:val="clear" w:color="auto" w:fill="auto"/>
            <w:noWrap/>
            <w:vAlign w:val="center"/>
          </w:tcPr>
          <w:p w14:paraId="684FD59D"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59 012 091</w:t>
            </w:r>
          </w:p>
        </w:tc>
        <w:tc>
          <w:tcPr>
            <w:tcW w:w="1134" w:type="dxa"/>
            <w:tcBorders>
              <w:top w:val="single" w:sz="4" w:space="0" w:color="17365D"/>
              <w:bottom w:val="single" w:sz="4" w:space="0" w:color="17365D"/>
            </w:tcBorders>
            <w:shd w:val="clear" w:color="auto" w:fill="auto"/>
            <w:vAlign w:val="center"/>
          </w:tcPr>
          <w:p w14:paraId="59C2D3C8"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6.51</w:t>
            </w:r>
          </w:p>
        </w:tc>
      </w:tr>
      <w:tr w:rsidR="00B1750B" w:rsidRPr="005A0A54" w14:paraId="7AB63BFA"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12BE019F" w14:textId="77777777" w:rsidR="00B1750B" w:rsidRPr="005A0A54" w:rsidRDefault="00B1750B" w:rsidP="009A09DF">
            <w:pPr>
              <w:spacing w:after="0" w:line="240" w:lineRule="auto"/>
              <w:rPr>
                <w:rFonts w:eastAsia="Times New Roman" w:cs="Times New Roman"/>
                <w:color w:val="17365D"/>
                <w:sz w:val="18"/>
                <w:szCs w:val="18"/>
                <w:lang w:eastAsia="lv-LV"/>
              </w:rPr>
            </w:pPr>
            <w:r>
              <w:rPr>
                <w:color w:val="17365D"/>
                <w:sz w:val="18"/>
                <w:szCs w:val="18"/>
              </w:rPr>
              <w:t>Maksas pakalpojumi un citi pašu ieņēmumi</w:t>
            </w:r>
          </w:p>
        </w:tc>
        <w:tc>
          <w:tcPr>
            <w:tcW w:w="886" w:type="dxa"/>
            <w:tcBorders>
              <w:top w:val="single" w:sz="4" w:space="0" w:color="17365D"/>
              <w:bottom w:val="single" w:sz="4" w:space="0" w:color="17365D"/>
            </w:tcBorders>
            <w:shd w:val="clear" w:color="auto" w:fill="auto"/>
            <w:noWrap/>
            <w:vAlign w:val="center"/>
          </w:tcPr>
          <w:p w14:paraId="1E50E570" w14:textId="77777777" w:rsidR="00B1750B" w:rsidRPr="002716E4" w:rsidRDefault="00B1750B" w:rsidP="009A09DF">
            <w:pPr>
              <w:spacing w:after="0" w:line="240" w:lineRule="auto"/>
              <w:jc w:val="center"/>
              <w:rPr>
                <w:rFonts w:eastAsia="Times New Roman" w:cs="Times New Roman"/>
                <w:color w:val="17365D"/>
                <w:sz w:val="18"/>
                <w:szCs w:val="18"/>
                <w:lang w:eastAsia="lv-LV"/>
              </w:rPr>
            </w:pPr>
            <w:r>
              <w:rPr>
                <w:color w:val="17365D"/>
                <w:sz w:val="18"/>
                <w:szCs w:val="18"/>
              </w:rPr>
              <w:t>FD.A13.</w:t>
            </w:r>
          </w:p>
        </w:tc>
        <w:tc>
          <w:tcPr>
            <w:tcW w:w="1592" w:type="dxa"/>
            <w:tcBorders>
              <w:top w:val="single" w:sz="4" w:space="0" w:color="17365D"/>
              <w:bottom w:val="single" w:sz="4" w:space="0" w:color="17365D"/>
            </w:tcBorders>
            <w:shd w:val="clear" w:color="F2F2F2" w:fill="FFFFFF"/>
            <w:noWrap/>
            <w:vAlign w:val="center"/>
          </w:tcPr>
          <w:p w14:paraId="207EC7C4"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619 742 147</w:t>
            </w:r>
          </w:p>
        </w:tc>
        <w:tc>
          <w:tcPr>
            <w:tcW w:w="1559" w:type="dxa"/>
            <w:gridSpan w:val="2"/>
            <w:tcBorders>
              <w:top w:val="single" w:sz="4" w:space="0" w:color="17365D"/>
              <w:bottom w:val="single" w:sz="4" w:space="0" w:color="17365D"/>
            </w:tcBorders>
            <w:shd w:val="clear" w:color="F2F2F2" w:fill="FFFFFF"/>
            <w:noWrap/>
            <w:vAlign w:val="center"/>
          </w:tcPr>
          <w:p w14:paraId="3AC26805"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511 066 889</w:t>
            </w:r>
          </w:p>
        </w:tc>
        <w:tc>
          <w:tcPr>
            <w:tcW w:w="1418" w:type="dxa"/>
            <w:tcBorders>
              <w:top w:val="single" w:sz="4" w:space="0" w:color="17365D"/>
              <w:bottom w:val="single" w:sz="4" w:space="0" w:color="17365D"/>
            </w:tcBorders>
            <w:shd w:val="clear" w:color="auto" w:fill="auto"/>
            <w:noWrap/>
            <w:vAlign w:val="center"/>
          </w:tcPr>
          <w:p w14:paraId="4F1D5C09"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108 675 258</w:t>
            </w:r>
          </w:p>
        </w:tc>
        <w:tc>
          <w:tcPr>
            <w:tcW w:w="1134" w:type="dxa"/>
            <w:tcBorders>
              <w:top w:val="single" w:sz="4" w:space="0" w:color="17365D"/>
              <w:bottom w:val="single" w:sz="4" w:space="0" w:color="17365D"/>
            </w:tcBorders>
            <w:shd w:val="clear" w:color="auto" w:fill="auto"/>
            <w:vAlign w:val="center"/>
          </w:tcPr>
          <w:p w14:paraId="3460A567"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21.26</w:t>
            </w:r>
          </w:p>
        </w:tc>
      </w:tr>
      <w:tr w:rsidR="00B1750B" w:rsidRPr="005A0A54" w14:paraId="6263EB2B"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3C27E4AD" w14:textId="77777777" w:rsidR="00B1750B" w:rsidRPr="005A0A54" w:rsidRDefault="00B1750B" w:rsidP="009A09DF">
            <w:pPr>
              <w:spacing w:after="0" w:line="240" w:lineRule="auto"/>
              <w:rPr>
                <w:rFonts w:eastAsia="Times New Roman" w:cs="Times New Roman"/>
                <w:color w:val="17365D"/>
                <w:sz w:val="18"/>
                <w:szCs w:val="18"/>
                <w:lang w:eastAsia="lv-LV"/>
              </w:rPr>
            </w:pPr>
            <w:r>
              <w:rPr>
                <w:color w:val="17365D"/>
                <w:sz w:val="18"/>
                <w:szCs w:val="18"/>
              </w:rPr>
              <w:t>Ārvalstu finanšu palīdzība</w:t>
            </w:r>
          </w:p>
        </w:tc>
        <w:tc>
          <w:tcPr>
            <w:tcW w:w="886" w:type="dxa"/>
            <w:tcBorders>
              <w:top w:val="single" w:sz="4" w:space="0" w:color="17365D"/>
              <w:bottom w:val="single" w:sz="4" w:space="0" w:color="17365D"/>
            </w:tcBorders>
            <w:shd w:val="clear" w:color="auto" w:fill="auto"/>
            <w:noWrap/>
            <w:vAlign w:val="center"/>
          </w:tcPr>
          <w:p w14:paraId="617C8841" w14:textId="77777777" w:rsidR="00B1750B" w:rsidRPr="002716E4" w:rsidRDefault="00B1750B" w:rsidP="009A09DF">
            <w:pPr>
              <w:spacing w:after="0" w:line="240" w:lineRule="auto"/>
              <w:jc w:val="center"/>
              <w:rPr>
                <w:rFonts w:eastAsia="Times New Roman" w:cs="Times New Roman"/>
                <w:color w:val="17365D"/>
                <w:sz w:val="18"/>
                <w:szCs w:val="18"/>
                <w:lang w:eastAsia="lv-LV"/>
              </w:rPr>
            </w:pPr>
            <w:r>
              <w:rPr>
                <w:color w:val="17365D"/>
                <w:sz w:val="18"/>
                <w:szCs w:val="18"/>
              </w:rPr>
              <w:t>FD.A14.</w:t>
            </w:r>
          </w:p>
        </w:tc>
        <w:tc>
          <w:tcPr>
            <w:tcW w:w="1592" w:type="dxa"/>
            <w:tcBorders>
              <w:top w:val="single" w:sz="4" w:space="0" w:color="17365D"/>
              <w:bottom w:val="single" w:sz="4" w:space="0" w:color="17365D"/>
            </w:tcBorders>
            <w:shd w:val="clear" w:color="F2F2F2" w:fill="FFFFFF"/>
            <w:noWrap/>
            <w:vAlign w:val="center"/>
          </w:tcPr>
          <w:p w14:paraId="0184036D"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1 789 203 853</w:t>
            </w:r>
          </w:p>
        </w:tc>
        <w:tc>
          <w:tcPr>
            <w:tcW w:w="1559" w:type="dxa"/>
            <w:gridSpan w:val="2"/>
            <w:tcBorders>
              <w:top w:val="single" w:sz="4" w:space="0" w:color="17365D"/>
              <w:bottom w:val="single" w:sz="4" w:space="0" w:color="17365D"/>
            </w:tcBorders>
            <w:shd w:val="clear" w:color="F2F2F2" w:fill="FFFFFF"/>
            <w:noWrap/>
            <w:vAlign w:val="center"/>
          </w:tcPr>
          <w:p w14:paraId="40842FF5"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1 416 752 955</w:t>
            </w:r>
          </w:p>
        </w:tc>
        <w:tc>
          <w:tcPr>
            <w:tcW w:w="1418" w:type="dxa"/>
            <w:tcBorders>
              <w:top w:val="single" w:sz="4" w:space="0" w:color="17365D"/>
              <w:bottom w:val="single" w:sz="4" w:space="0" w:color="17365D"/>
            </w:tcBorders>
            <w:shd w:val="clear" w:color="auto" w:fill="auto"/>
            <w:noWrap/>
            <w:vAlign w:val="center"/>
          </w:tcPr>
          <w:p w14:paraId="2A30AF29"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372 450 898</w:t>
            </w:r>
          </w:p>
        </w:tc>
        <w:tc>
          <w:tcPr>
            <w:tcW w:w="1134" w:type="dxa"/>
            <w:tcBorders>
              <w:top w:val="single" w:sz="4" w:space="0" w:color="17365D"/>
              <w:bottom w:val="single" w:sz="4" w:space="0" w:color="17365D"/>
            </w:tcBorders>
            <w:shd w:val="clear" w:color="auto" w:fill="auto"/>
            <w:vAlign w:val="center"/>
          </w:tcPr>
          <w:p w14:paraId="28BC7F14"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26.29</w:t>
            </w:r>
          </w:p>
        </w:tc>
      </w:tr>
      <w:tr w:rsidR="00B1750B" w:rsidRPr="005A0A54" w14:paraId="639987FF"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2E41C6B6" w14:textId="77777777" w:rsidR="00B1750B" w:rsidRDefault="00B1750B" w:rsidP="009A09DF">
            <w:pPr>
              <w:spacing w:after="0" w:line="240" w:lineRule="auto"/>
              <w:rPr>
                <w:color w:val="17365D"/>
                <w:sz w:val="18"/>
                <w:szCs w:val="18"/>
              </w:rPr>
            </w:pPr>
            <w:proofErr w:type="spellStart"/>
            <w:r>
              <w:rPr>
                <w:color w:val="17365D"/>
                <w:sz w:val="18"/>
                <w:szCs w:val="18"/>
              </w:rPr>
              <w:t>Transferti</w:t>
            </w:r>
            <w:proofErr w:type="spellEnd"/>
          </w:p>
        </w:tc>
        <w:tc>
          <w:tcPr>
            <w:tcW w:w="886" w:type="dxa"/>
            <w:tcBorders>
              <w:top w:val="single" w:sz="4" w:space="0" w:color="17365D"/>
              <w:bottom w:val="single" w:sz="4" w:space="0" w:color="17365D"/>
            </w:tcBorders>
            <w:shd w:val="clear" w:color="auto" w:fill="auto"/>
            <w:noWrap/>
            <w:vAlign w:val="center"/>
          </w:tcPr>
          <w:p w14:paraId="2C70F1C9" w14:textId="77777777" w:rsidR="00B1750B" w:rsidRDefault="00B1750B" w:rsidP="009A09DF">
            <w:pPr>
              <w:spacing w:after="0" w:line="240" w:lineRule="auto"/>
              <w:jc w:val="center"/>
              <w:rPr>
                <w:color w:val="17365D"/>
                <w:sz w:val="18"/>
                <w:szCs w:val="18"/>
              </w:rPr>
            </w:pPr>
          </w:p>
        </w:tc>
        <w:tc>
          <w:tcPr>
            <w:tcW w:w="1592" w:type="dxa"/>
            <w:tcBorders>
              <w:top w:val="single" w:sz="4" w:space="0" w:color="17365D"/>
              <w:bottom w:val="single" w:sz="4" w:space="0" w:color="17365D"/>
            </w:tcBorders>
            <w:shd w:val="clear" w:color="F2F2F2" w:fill="FFFFFF"/>
            <w:noWrap/>
            <w:vAlign w:val="center"/>
          </w:tcPr>
          <w:p w14:paraId="03F8724E" w14:textId="05D507DF" w:rsidR="00B1750B" w:rsidRDefault="0057580F" w:rsidP="009A09DF">
            <w:pPr>
              <w:spacing w:after="0" w:line="240" w:lineRule="auto"/>
              <w:jc w:val="right"/>
              <w:rPr>
                <w:color w:val="17365D"/>
                <w:sz w:val="18"/>
                <w:szCs w:val="18"/>
              </w:rPr>
            </w:pPr>
            <w:r>
              <w:rPr>
                <w:color w:val="17365D"/>
                <w:sz w:val="18"/>
                <w:szCs w:val="18"/>
              </w:rPr>
              <w:t>0</w:t>
            </w:r>
          </w:p>
        </w:tc>
        <w:tc>
          <w:tcPr>
            <w:tcW w:w="1559" w:type="dxa"/>
            <w:gridSpan w:val="2"/>
            <w:tcBorders>
              <w:top w:val="single" w:sz="4" w:space="0" w:color="17365D"/>
              <w:bottom w:val="single" w:sz="4" w:space="0" w:color="17365D"/>
            </w:tcBorders>
            <w:shd w:val="clear" w:color="F2F2F2" w:fill="FFFFFF"/>
            <w:noWrap/>
            <w:vAlign w:val="center"/>
          </w:tcPr>
          <w:p w14:paraId="6D45DC58" w14:textId="33F024D0" w:rsidR="00B1750B" w:rsidRDefault="0057580F" w:rsidP="009A09DF">
            <w:pPr>
              <w:spacing w:after="0" w:line="240" w:lineRule="auto"/>
              <w:jc w:val="right"/>
              <w:rPr>
                <w:color w:val="17365D"/>
                <w:sz w:val="18"/>
                <w:szCs w:val="18"/>
              </w:rPr>
            </w:pPr>
            <w:r>
              <w:rPr>
                <w:color w:val="17365D"/>
                <w:sz w:val="18"/>
                <w:szCs w:val="18"/>
              </w:rPr>
              <w:t>368 910</w:t>
            </w:r>
          </w:p>
        </w:tc>
        <w:tc>
          <w:tcPr>
            <w:tcW w:w="1418" w:type="dxa"/>
            <w:tcBorders>
              <w:top w:val="single" w:sz="4" w:space="0" w:color="17365D"/>
              <w:bottom w:val="single" w:sz="4" w:space="0" w:color="17365D"/>
            </w:tcBorders>
            <w:shd w:val="clear" w:color="auto" w:fill="auto"/>
            <w:noWrap/>
            <w:vAlign w:val="center"/>
          </w:tcPr>
          <w:p w14:paraId="2C231D26" w14:textId="1EC10BFE" w:rsidR="00B1750B" w:rsidRDefault="0057580F" w:rsidP="009A09DF">
            <w:pPr>
              <w:spacing w:after="0" w:line="240" w:lineRule="auto"/>
              <w:jc w:val="right"/>
              <w:rPr>
                <w:color w:val="17365D"/>
                <w:sz w:val="18"/>
                <w:szCs w:val="18"/>
              </w:rPr>
            </w:pPr>
            <w:r>
              <w:rPr>
                <w:color w:val="17365D"/>
                <w:sz w:val="18"/>
                <w:szCs w:val="18"/>
              </w:rPr>
              <w:t>-</w:t>
            </w:r>
            <w:r w:rsidR="00B1750B">
              <w:rPr>
                <w:color w:val="17365D"/>
                <w:sz w:val="18"/>
                <w:szCs w:val="18"/>
              </w:rPr>
              <w:t>368 910</w:t>
            </w:r>
          </w:p>
        </w:tc>
        <w:tc>
          <w:tcPr>
            <w:tcW w:w="1134" w:type="dxa"/>
            <w:tcBorders>
              <w:top w:val="single" w:sz="4" w:space="0" w:color="17365D"/>
              <w:bottom w:val="single" w:sz="4" w:space="0" w:color="17365D"/>
            </w:tcBorders>
            <w:shd w:val="clear" w:color="auto" w:fill="auto"/>
            <w:vAlign w:val="center"/>
          </w:tcPr>
          <w:p w14:paraId="5A21F3F9" w14:textId="41541E77" w:rsidR="00B1750B" w:rsidRDefault="0057580F" w:rsidP="009A09DF">
            <w:pPr>
              <w:spacing w:after="0" w:line="240" w:lineRule="auto"/>
              <w:jc w:val="right"/>
              <w:rPr>
                <w:color w:val="17365D"/>
                <w:sz w:val="18"/>
                <w:szCs w:val="18"/>
              </w:rPr>
            </w:pPr>
            <w:r>
              <w:rPr>
                <w:color w:val="17365D"/>
                <w:sz w:val="18"/>
                <w:szCs w:val="18"/>
              </w:rPr>
              <w:t>-10</w:t>
            </w:r>
            <w:r w:rsidR="00B1750B">
              <w:rPr>
                <w:color w:val="17365D"/>
                <w:sz w:val="18"/>
                <w:szCs w:val="18"/>
              </w:rPr>
              <w:t>0.00</w:t>
            </w:r>
          </w:p>
        </w:tc>
      </w:tr>
      <w:tr w:rsidR="00B1750B" w:rsidRPr="005A0A54" w14:paraId="0AC8244C"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14033B19" w14:textId="77777777" w:rsidR="00B1750B" w:rsidRPr="005A0A54" w:rsidRDefault="00B1750B" w:rsidP="009A09DF">
            <w:pPr>
              <w:spacing w:after="0" w:line="240" w:lineRule="auto"/>
              <w:rPr>
                <w:rFonts w:eastAsia="Times New Roman" w:cs="Times New Roman"/>
                <w:color w:val="17365D"/>
                <w:sz w:val="18"/>
                <w:szCs w:val="18"/>
                <w:lang w:eastAsia="lv-LV"/>
              </w:rPr>
            </w:pPr>
            <w:r>
              <w:rPr>
                <w:color w:val="17365D"/>
                <w:sz w:val="18"/>
                <w:szCs w:val="18"/>
              </w:rPr>
              <w:t>Ziedojumi un dāvinājumi</w:t>
            </w:r>
          </w:p>
        </w:tc>
        <w:tc>
          <w:tcPr>
            <w:tcW w:w="886" w:type="dxa"/>
            <w:tcBorders>
              <w:top w:val="single" w:sz="4" w:space="0" w:color="17365D"/>
              <w:bottom w:val="single" w:sz="4" w:space="0" w:color="17365D"/>
            </w:tcBorders>
            <w:shd w:val="clear" w:color="auto" w:fill="auto"/>
            <w:noWrap/>
            <w:vAlign w:val="center"/>
          </w:tcPr>
          <w:p w14:paraId="5AFEF26A" w14:textId="77777777" w:rsidR="00B1750B" w:rsidRPr="002716E4" w:rsidRDefault="00B1750B" w:rsidP="009A09DF">
            <w:pPr>
              <w:spacing w:after="0" w:line="240" w:lineRule="auto"/>
              <w:jc w:val="center"/>
              <w:rPr>
                <w:rFonts w:eastAsia="Times New Roman" w:cs="Times New Roman"/>
                <w:color w:val="17365D"/>
                <w:sz w:val="18"/>
                <w:szCs w:val="18"/>
                <w:lang w:eastAsia="lv-LV"/>
              </w:rPr>
            </w:pPr>
            <w:r>
              <w:rPr>
                <w:color w:val="17365D"/>
                <w:sz w:val="18"/>
                <w:szCs w:val="18"/>
              </w:rPr>
              <w:t> </w:t>
            </w:r>
          </w:p>
        </w:tc>
        <w:tc>
          <w:tcPr>
            <w:tcW w:w="1592" w:type="dxa"/>
            <w:tcBorders>
              <w:top w:val="single" w:sz="4" w:space="0" w:color="17365D"/>
              <w:bottom w:val="single" w:sz="4" w:space="0" w:color="17365D"/>
            </w:tcBorders>
            <w:shd w:val="clear" w:color="F2F2F2" w:fill="FFFFFF"/>
            <w:noWrap/>
            <w:vAlign w:val="center"/>
          </w:tcPr>
          <w:p w14:paraId="01A6BF87"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46 520 222</w:t>
            </w:r>
          </w:p>
        </w:tc>
        <w:tc>
          <w:tcPr>
            <w:tcW w:w="1559" w:type="dxa"/>
            <w:gridSpan w:val="2"/>
            <w:tcBorders>
              <w:top w:val="single" w:sz="4" w:space="0" w:color="17365D"/>
              <w:bottom w:val="single" w:sz="4" w:space="0" w:color="17365D"/>
            </w:tcBorders>
            <w:shd w:val="clear" w:color="F2F2F2" w:fill="FFFFFF"/>
            <w:noWrap/>
            <w:vAlign w:val="center"/>
          </w:tcPr>
          <w:p w14:paraId="750E4A8C"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55 399 798</w:t>
            </w:r>
          </w:p>
        </w:tc>
        <w:tc>
          <w:tcPr>
            <w:tcW w:w="1418" w:type="dxa"/>
            <w:tcBorders>
              <w:top w:val="single" w:sz="4" w:space="0" w:color="17365D"/>
              <w:bottom w:val="single" w:sz="4" w:space="0" w:color="17365D"/>
            </w:tcBorders>
            <w:shd w:val="clear" w:color="auto" w:fill="auto"/>
            <w:noWrap/>
            <w:vAlign w:val="center"/>
          </w:tcPr>
          <w:p w14:paraId="404ED904"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-8 879 576</w:t>
            </w:r>
          </w:p>
        </w:tc>
        <w:tc>
          <w:tcPr>
            <w:tcW w:w="1134" w:type="dxa"/>
            <w:tcBorders>
              <w:top w:val="single" w:sz="4" w:space="0" w:color="17365D"/>
              <w:bottom w:val="single" w:sz="4" w:space="0" w:color="17365D"/>
            </w:tcBorders>
            <w:shd w:val="clear" w:color="auto" w:fill="auto"/>
            <w:vAlign w:val="center"/>
          </w:tcPr>
          <w:p w14:paraId="2BE85315"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-16.03</w:t>
            </w:r>
          </w:p>
        </w:tc>
      </w:tr>
      <w:tr w:rsidR="00B1750B" w:rsidRPr="005A0A54" w14:paraId="7376A659"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3B253F04" w14:textId="77777777" w:rsidR="00B1750B" w:rsidRPr="005A0A54" w:rsidRDefault="00B1750B" w:rsidP="009A09DF">
            <w:pPr>
              <w:spacing w:after="0" w:line="240" w:lineRule="auto"/>
              <w:rPr>
                <w:rFonts w:eastAsia="Times New Roman" w:cs="Times New Roman"/>
                <w:color w:val="17365D"/>
                <w:sz w:val="18"/>
                <w:szCs w:val="18"/>
                <w:lang w:eastAsia="lv-LV"/>
              </w:rPr>
            </w:pPr>
            <w:r>
              <w:rPr>
                <w:color w:val="17365D"/>
                <w:sz w:val="18"/>
                <w:szCs w:val="18"/>
              </w:rPr>
              <w:t>Procentu ieņēmumi</w:t>
            </w:r>
          </w:p>
        </w:tc>
        <w:tc>
          <w:tcPr>
            <w:tcW w:w="886" w:type="dxa"/>
            <w:tcBorders>
              <w:top w:val="single" w:sz="4" w:space="0" w:color="17365D"/>
              <w:bottom w:val="single" w:sz="4" w:space="0" w:color="17365D"/>
            </w:tcBorders>
            <w:shd w:val="clear" w:color="auto" w:fill="auto"/>
            <w:noWrap/>
            <w:vAlign w:val="center"/>
          </w:tcPr>
          <w:p w14:paraId="1EEF5A44" w14:textId="77777777" w:rsidR="00B1750B" w:rsidRPr="002716E4" w:rsidRDefault="00B1750B" w:rsidP="009A09DF">
            <w:pPr>
              <w:spacing w:after="0" w:line="240" w:lineRule="auto"/>
              <w:jc w:val="center"/>
              <w:rPr>
                <w:rFonts w:eastAsia="Times New Roman" w:cs="Times New Roman"/>
                <w:color w:val="17365D"/>
                <w:sz w:val="18"/>
                <w:szCs w:val="18"/>
                <w:lang w:eastAsia="lv-LV"/>
              </w:rPr>
            </w:pPr>
          </w:p>
        </w:tc>
        <w:tc>
          <w:tcPr>
            <w:tcW w:w="1592" w:type="dxa"/>
            <w:tcBorders>
              <w:top w:val="single" w:sz="4" w:space="0" w:color="17365D"/>
              <w:bottom w:val="single" w:sz="4" w:space="0" w:color="17365D"/>
            </w:tcBorders>
            <w:shd w:val="clear" w:color="F2F2F2" w:fill="FFFFFF"/>
            <w:noWrap/>
            <w:vAlign w:val="center"/>
          </w:tcPr>
          <w:p w14:paraId="5F66A610"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223 919 530</w:t>
            </w:r>
          </w:p>
        </w:tc>
        <w:tc>
          <w:tcPr>
            <w:tcW w:w="1559" w:type="dxa"/>
            <w:gridSpan w:val="2"/>
            <w:tcBorders>
              <w:top w:val="single" w:sz="4" w:space="0" w:color="17365D"/>
              <w:bottom w:val="single" w:sz="4" w:space="0" w:color="17365D"/>
            </w:tcBorders>
            <w:shd w:val="clear" w:color="F2F2F2" w:fill="FFFFFF"/>
            <w:noWrap/>
            <w:vAlign w:val="center"/>
          </w:tcPr>
          <w:p w14:paraId="7FFD98F6"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173 777 043</w:t>
            </w:r>
          </w:p>
        </w:tc>
        <w:tc>
          <w:tcPr>
            <w:tcW w:w="1418" w:type="dxa"/>
            <w:tcBorders>
              <w:top w:val="single" w:sz="4" w:space="0" w:color="17365D"/>
              <w:bottom w:val="single" w:sz="4" w:space="0" w:color="17365D"/>
            </w:tcBorders>
            <w:shd w:val="clear" w:color="auto" w:fill="auto"/>
            <w:noWrap/>
            <w:vAlign w:val="center"/>
          </w:tcPr>
          <w:p w14:paraId="3EE21DD0"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50 142 487</w:t>
            </w:r>
          </w:p>
        </w:tc>
        <w:tc>
          <w:tcPr>
            <w:tcW w:w="1134" w:type="dxa"/>
            <w:tcBorders>
              <w:top w:val="single" w:sz="4" w:space="0" w:color="17365D"/>
              <w:bottom w:val="single" w:sz="4" w:space="0" w:color="17365D"/>
            </w:tcBorders>
            <w:shd w:val="clear" w:color="auto" w:fill="auto"/>
            <w:vAlign w:val="center"/>
          </w:tcPr>
          <w:p w14:paraId="039E8590"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28.85</w:t>
            </w:r>
          </w:p>
        </w:tc>
      </w:tr>
      <w:tr w:rsidR="00B1750B" w:rsidRPr="005A0A54" w14:paraId="7A2B9C42" w14:textId="77777777" w:rsidTr="009A4177">
        <w:trPr>
          <w:gridBefore w:val="1"/>
          <w:wBefore w:w="98" w:type="dxa"/>
          <w:trHeight w:val="261"/>
        </w:trPr>
        <w:tc>
          <w:tcPr>
            <w:tcW w:w="2884" w:type="dxa"/>
            <w:tcBorders>
              <w:top w:val="single" w:sz="4" w:space="0" w:color="17365D"/>
              <w:bottom w:val="single" w:sz="4" w:space="0" w:color="17365D"/>
            </w:tcBorders>
            <w:shd w:val="clear" w:color="auto" w:fill="auto"/>
            <w:vAlign w:val="center"/>
          </w:tcPr>
          <w:p w14:paraId="29D897A6" w14:textId="5E7F880B" w:rsidR="00B1750B" w:rsidRPr="005A0A54" w:rsidRDefault="00B1750B" w:rsidP="009A09DF">
            <w:pPr>
              <w:spacing w:after="0" w:line="240" w:lineRule="auto"/>
              <w:rPr>
                <w:rFonts w:eastAsia="Times New Roman" w:cs="Times New Roman"/>
                <w:color w:val="17365D"/>
                <w:sz w:val="18"/>
                <w:szCs w:val="18"/>
                <w:lang w:eastAsia="lv-LV"/>
              </w:rPr>
            </w:pPr>
            <w:r>
              <w:rPr>
                <w:color w:val="17365D"/>
                <w:sz w:val="18"/>
                <w:szCs w:val="18"/>
              </w:rPr>
              <w:t>Pārējie ieņēmumi</w:t>
            </w:r>
          </w:p>
        </w:tc>
        <w:tc>
          <w:tcPr>
            <w:tcW w:w="886" w:type="dxa"/>
            <w:tcBorders>
              <w:top w:val="single" w:sz="4" w:space="0" w:color="17365D"/>
              <w:bottom w:val="single" w:sz="4" w:space="0" w:color="17365D"/>
            </w:tcBorders>
            <w:shd w:val="clear" w:color="auto" w:fill="auto"/>
            <w:noWrap/>
            <w:vAlign w:val="center"/>
          </w:tcPr>
          <w:p w14:paraId="753E83C2" w14:textId="77777777" w:rsidR="00B1750B" w:rsidRPr="002716E4" w:rsidRDefault="00B1750B" w:rsidP="009A09DF">
            <w:pPr>
              <w:spacing w:after="0" w:line="240" w:lineRule="auto"/>
              <w:jc w:val="center"/>
              <w:rPr>
                <w:rFonts w:eastAsia="Times New Roman" w:cs="Times New Roman"/>
                <w:color w:val="17365D"/>
                <w:sz w:val="18"/>
                <w:szCs w:val="18"/>
                <w:lang w:eastAsia="lv-LV"/>
              </w:rPr>
            </w:pPr>
          </w:p>
        </w:tc>
        <w:tc>
          <w:tcPr>
            <w:tcW w:w="1592" w:type="dxa"/>
            <w:tcBorders>
              <w:top w:val="single" w:sz="4" w:space="0" w:color="17365D"/>
              <w:bottom w:val="single" w:sz="4" w:space="0" w:color="17365D"/>
            </w:tcBorders>
            <w:shd w:val="clear" w:color="F2F2F2" w:fill="FFFFFF"/>
            <w:noWrap/>
            <w:vAlign w:val="center"/>
          </w:tcPr>
          <w:p w14:paraId="7A519C1D"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1 784 534 896</w:t>
            </w:r>
          </w:p>
        </w:tc>
        <w:tc>
          <w:tcPr>
            <w:tcW w:w="1559" w:type="dxa"/>
            <w:gridSpan w:val="2"/>
            <w:tcBorders>
              <w:top w:val="single" w:sz="4" w:space="0" w:color="17365D"/>
              <w:bottom w:val="single" w:sz="4" w:space="0" w:color="17365D"/>
            </w:tcBorders>
            <w:shd w:val="clear" w:color="F2F2F2" w:fill="FFFFFF"/>
            <w:noWrap/>
            <w:vAlign w:val="center"/>
          </w:tcPr>
          <w:p w14:paraId="27DF0171"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1 784 621 518</w:t>
            </w:r>
          </w:p>
        </w:tc>
        <w:tc>
          <w:tcPr>
            <w:tcW w:w="1418" w:type="dxa"/>
            <w:tcBorders>
              <w:top w:val="single" w:sz="4" w:space="0" w:color="17365D"/>
              <w:bottom w:val="single" w:sz="4" w:space="0" w:color="17365D"/>
            </w:tcBorders>
            <w:shd w:val="clear" w:color="auto" w:fill="auto"/>
            <w:noWrap/>
            <w:vAlign w:val="center"/>
          </w:tcPr>
          <w:p w14:paraId="31471E19"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-86 622</w:t>
            </w:r>
          </w:p>
        </w:tc>
        <w:tc>
          <w:tcPr>
            <w:tcW w:w="1134" w:type="dxa"/>
            <w:tcBorders>
              <w:top w:val="single" w:sz="4" w:space="0" w:color="17365D"/>
              <w:bottom w:val="single" w:sz="4" w:space="0" w:color="17365D"/>
            </w:tcBorders>
            <w:shd w:val="clear" w:color="auto" w:fill="auto"/>
            <w:vAlign w:val="center"/>
          </w:tcPr>
          <w:p w14:paraId="105A7AF4" w14:textId="77777777" w:rsidR="00B1750B" w:rsidRPr="00942883" w:rsidRDefault="00B1750B" w:rsidP="009A09DF">
            <w:pPr>
              <w:spacing w:after="0" w:line="240" w:lineRule="auto"/>
              <w:jc w:val="right"/>
              <w:rPr>
                <w:rFonts w:eastAsia="Times New Roman" w:cs="Times New Roman"/>
                <w:color w:val="17365D"/>
                <w:sz w:val="18"/>
                <w:szCs w:val="18"/>
                <w:lang w:eastAsia="lv-LV"/>
              </w:rPr>
            </w:pPr>
            <w:r>
              <w:rPr>
                <w:color w:val="17365D"/>
                <w:sz w:val="18"/>
                <w:szCs w:val="18"/>
              </w:rPr>
              <w:t>0.00</w:t>
            </w:r>
          </w:p>
        </w:tc>
      </w:tr>
      <w:tr w:rsidR="00B1750B" w:rsidRPr="005A0A54" w14:paraId="2997CB52" w14:textId="77777777" w:rsidTr="005645F2">
        <w:tblPrEx>
          <w:tblBorders>
            <w:insideH w:val="single" w:sz="4" w:space="0" w:color="auto"/>
          </w:tblBorders>
        </w:tblPrEx>
        <w:trPr>
          <w:trHeight w:val="70"/>
        </w:trPr>
        <w:tc>
          <w:tcPr>
            <w:tcW w:w="3865" w:type="dxa"/>
            <w:gridSpan w:val="3"/>
            <w:tcBorders>
              <w:top w:val="single" w:sz="4" w:space="0" w:color="17365D"/>
            </w:tcBorders>
            <w:shd w:val="clear" w:color="auto" w:fill="B8CCE4"/>
            <w:vAlign w:val="center"/>
          </w:tcPr>
          <w:p w14:paraId="761683F6" w14:textId="77777777" w:rsidR="00B1750B" w:rsidRPr="005A0A54" w:rsidRDefault="00B1750B" w:rsidP="009A09DF">
            <w:pPr>
              <w:spacing w:after="0" w:line="240" w:lineRule="auto"/>
              <w:rPr>
                <w:rFonts w:eastAsia="Times New Roman" w:cs="Times New Roman"/>
                <w:color w:val="17365D"/>
                <w:sz w:val="18"/>
                <w:szCs w:val="18"/>
                <w:lang w:eastAsia="lv-LV"/>
              </w:rPr>
            </w:pPr>
          </w:p>
        </w:tc>
        <w:tc>
          <w:tcPr>
            <w:tcW w:w="2725" w:type="dxa"/>
            <w:gridSpan w:val="2"/>
            <w:tcBorders>
              <w:top w:val="single" w:sz="4" w:space="0" w:color="17365D"/>
            </w:tcBorders>
            <w:shd w:val="clear" w:color="auto" w:fill="B8CCE4"/>
            <w:vAlign w:val="center"/>
          </w:tcPr>
          <w:p w14:paraId="58D17B76" w14:textId="77777777" w:rsidR="00B1750B" w:rsidRPr="005A0A54" w:rsidRDefault="00B1750B" w:rsidP="009A09DF">
            <w:pPr>
              <w:spacing w:after="0" w:line="240" w:lineRule="auto"/>
              <w:jc w:val="right"/>
              <w:rPr>
                <w:rFonts w:eastAsia="Times New Roman" w:cs="Times New Roman"/>
                <w:color w:val="17365D"/>
                <w:sz w:val="18"/>
                <w:szCs w:val="18"/>
                <w:lang w:eastAsia="lv-LV"/>
              </w:rPr>
            </w:pPr>
          </w:p>
        </w:tc>
        <w:tc>
          <w:tcPr>
            <w:tcW w:w="2978" w:type="dxa"/>
            <w:gridSpan w:val="3"/>
            <w:tcBorders>
              <w:top w:val="single" w:sz="4" w:space="0" w:color="17365D"/>
            </w:tcBorders>
            <w:shd w:val="clear" w:color="auto" w:fill="B8CCE4"/>
          </w:tcPr>
          <w:p w14:paraId="777A4AE3" w14:textId="77777777" w:rsidR="00B1750B" w:rsidRPr="005A0A54" w:rsidRDefault="00B1750B" w:rsidP="009A09DF">
            <w:pPr>
              <w:spacing w:after="0" w:line="240" w:lineRule="auto"/>
              <w:jc w:val="right"/>
              <w:rPr>
                <w:rFonts w:eastAsia="Times New Roman" w:cs="Times New Roman"/>
                <w:color w:val="17365D"/>
                <w:sz w:val="18"/>
                <w:szCs w:val="18"/>
                <w:lang w:eastAsia="lv-LV"/>
              </w:rPr>
            </w:pPr>
          </w:p>
        </w:tc>
      </w:tr>
    </w:tbl>
    <w:p w14:paraId="3F5FCF26" w14:textId="77777777" w:rsidR="00B1750B" w:rsidRPr="00A27896" w:rsidRDefault="00B1750B" w:rsidP="00B1750B">
      <w:pPr>
        <w:pStyle w:val="Tabulasnosaukums1"/>
        <w:spacing w:before="0" w:line="240" w:lineRule="auto"/>
        <w:rPr>
          <w:rFonts w:eastAsia="Arial Unicode MS" w:cs="Times New Roman"/>
          <w:i/>
          <w:color w:val="17365D"/>
        </w:rPr>
      </w:pPr>
    </w:p>
    <w:p w14:paraId="599AADC9" w14:textId="5F9C396E" w:rsidR="00B1750B" w:rsidRDefault="00B1750B" w:rsidP="003202B7">
      <w:pPr>
        <w:pStyle w:val="Pamatteksts1"/>
      </w:pPr>
      <w:r w:rsidRPr="00082A8D">
        <w:t>Ieņēmumi</w:t>
      </w:r>
      <w:r w:rsidRPr="005A0A54">
        <w:rPr>
          <w:u w:val="single"/>
        </w:rPr>
        <w:t xml:space="preserve"> </w:t>
      </w:r>
      <w:r w:rsidRPr="005A0A54">
        <w:t>salīdzinājumā ar 202</w:t>
      </w:r>
      <w:r>
        <w:t>3</w:t>
      </w:r>
      <w:r w:rsidRPr="005A0A54">
        <w:t>. gadu palielinājušies par </w:t>
      </w:r>
      <w:r>
        <w:t>1</w:t>
      </w:r>
      <w:r w:rsidR="00EB1463">
        <w:t> </w:t>
      </w:r>
      <w:r>
        <w:t>649</w:t>
      </w:r>
      <w:r w:rsidR="00EB1463">
        <w:t>,</w:t>
      </w:r>
      <w:r>
        <w:t>5</w:t>
      </w:r>
      <w:r w:rsidR="00EB1463">
        <w:t xml:space="preserve"> </w:t>
      </w:r>
      <w:r w:rsidR="00EB1463" w:rsidRPr="00E03367">
        <w:rPr>
          <w:rFonts w:eastAsia="Times New Roman"/>
          <w:lang w:eastAsia="lv-LV"/>
        </w:rPr>
        <w:t>milj.</w:t>
      </w:r>
      <w:r>
        <w:t xml:space="preserve"> </w:t>
      </w:r>
      <w:r w:rsidRPr="005A0A54">
        <w:rPr>
          <w:i/>
        </w:rPr>
        <w:t>euro.</w:t>
      </w:r>
      <w:r w:rsidRPr="005A0A54">
        <w:t xml:space="preserve"> </w:t>
      </w:r>
    </w:p>
    <w:p w14:paraId="1E09CEB7" w14:textId="77777777" w:rsidR="00B1750B" w:rsidRPr="00F077CE" w:rsidRDefault="00B1750B" w:rsidP="003202B7">
      <w:pPr>
        <w:pStyle w:val="Pamatteksts1"/>
      </w:pPr>
      <w:r>
        <w:t>Nodokļu ieņēmumi sadalījumā pa veidiem norādīti 2.2.tabulā.</w:t>
      </w:r>
    </w:p>
    <w:p w14:paraId="794BFC06" w14:textId="77777777" w:rsidR="00B1750B" w:rsidRPr="005A0A54" w:rsidRDefault="00B1750B" w:rsidP="00324AC5">
      <w:pPr>
        <w:pStyle w:val="Tabnosauk"/>
      </w:pPr>
      <w:r>
        <w:t>2.2</w:t>
      </w:r>
      <w:r w:rsidRPr="005A0A54">
        <w:t>. tabula. Nodokļu ieņēmumi (euro)</w:t>
      </w:r>
    </w:p>
    <w:tbl>
      <w:tblPr>
        <w:tblW w:w="9503" w:type="dxa"/>
        <w:tblInd w:w="-5" w:type="dxa"/>
        <w:tblBorders>
          <w:insideH w:val="single" w:sz="4" w:space="0" w:color="auto"/>
        </w:tblBorders>
        <w:tblLook w:val="04A0" w:firstRow="1" w:lastRow="0" w:firstColumn="1" w:lastColumn="0" w:noHBand="0" w:noVBand="1"/>
      </w:tblPr>
      <w:tblGrid>
        <w:gridCol w:w="4825"/>
        <w:gridCol w:w="2552"/>
        <w:gridCol w:w="2126"/>
      </w:tblGrid>
      <w:tr w:rsidR="00B1750B" w:rsidRPr="005A0A54" w14:paraId="6F9B1D5D" w14:textId="77777777" w:rsidTr="009A4177">
        <w:trPr>
          <w:trHeight w:val="329"/>
        </w:trPr>
        <w:tc>
          <w:tcPr>
            <w:tcW w:w="4825" w:type="dxa"/>
            <w:tcBorders>
              <w:bottom w:val="single" w:sz="4" w:space="0" w:color="17365D"/>
            </w:tcBorders>
            <w:shd w:val="clear" w:color="auto" w:fill="B8CCE4"/>
            <w:vAlign w:val="center"/>
            <w:hideMark/>
          </w:tcPr>
          <w:p w14:paraId="73105F33" w14:textId="77777777" w:rsidR="00B1750B" w:rsidRPr="005A0A54" w:rsidRDefault="00B1750B" w:rsidP="009A09DF">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Nodokļa veids</w:t>
            </w:r>
          </w:p>
        </w:tc>
        <w:tc>
          <w:tcPr>
            <w:tcW w:w="2552" w:type="dxa"/>
            <w:tcBorders>
              <w:bottom w:val="single" w:sz="4" w:space="0" w:color="17365D"/>
            </w:tcBorders>
            <w:shd w:val="clear" w:color="auto" w:fill="B8CCE4"/>
            <w:vAlign w:val="center"/>
            <w:hideMark/>
          </w:tcPr>
          <w:p w14:paraId="56210C74" w14:textId="77777777" w:rsidR="00B1750B" w:rsidRPr="005A0A54" w:rsidRDefault="00B1750B" w:rsidP="009A09DF">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Pārskata periodā</w:t>
            </w:r>
          </w:p>
        </w:tc>
        <w:tc>
          <w:tcPr>
            <w:tcW w:w="2126" w:type="dxa"/>
            <w:tcBorders>
              <w:bottom w:val="single" w:sz="4" w:space="0" w:color="17365D"/>
            </w:tcBorders>
            <w:shd w:val="clear" w:color="auto" w:fill="B8CCE4"/>
            <w:vAlign w:val="center"/>
          </w:tcPr>
          <w:p w14:paraId="4CE7B1C1" w14:textId="77777777" w:rsidR="00B1750B" w:rsidRPr="005A0A54" w:rsidRDefault="00B1750B" w:rsidP="009A09DF">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Iepriekšējā pārskata periodā</w:t>
            </w:r>
          </w:p>
        </w:tc>
      </w:tr>
      <w:tr w:rsidR="00B1750B" w:rsidRPr="005A0A54" w14:paraId="62AA4E15" w14:textId="77777777" w:rsidTr="00B779A5">
        <w:trPr>
          <w:trHeight w:val="255"/>
        </w:trPr>
        <w:tc>
          <w:tcPr>
            <w:tcW w:w="4825" w:type="dxa"/>
            <w:tcBorders>
              <w:top w:val="single" w:sz="4" w:space="0" w:color="17365D"/>
              <w:bottom w:val="single" w:sz="4" w:space="0" w:color="17365D"/>
            </w:tcBorders>
            <w:shd w:val="clear" w:color="auto" w:fill="auto"/>
            <w:vAlign w:val="center"/>
            <w:hideMark/>
          </w:tcPr>
          <w:p w14:paraId="2CC27A56" w14:textId="77777777" w:rsidR="00B1750B" w:rsidRPr="005A0A54" w:rsidRDefault="00B1750B" w:rsidP="009A09DF">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A</w:t>
            </w:r>
          </w:p>
        </w:tc>
        <w:tc>
          <w:tcPr>
            <w:tcW w:w="2552" w:type="dxa"/>
            <w:tcBorders>
              <w:top w:val="single" w:sz="4" w:space="0" w:color="17365D"/>
              <w:bottom w:val="single" w:sz="4" w:space="0" w:color="17365D"/>
            </w:tcBorders>
            <w:shd w:val="clear" w:color="auto" w:fill="auto"/>
            <w:vAlign w:val="center"/>
            <w:hideMark/>
          </w:tcPr>
          <w:p w14:paraId="3BDC1154" w14:textId="77777777" w:rsidR="00B1750B" w:rsidRPr="005A0A54" w:rsidRDefault="00B1750B" w:rsidP="009A09DF">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1</w:t>
            </w:r>
          </w:p>
        </w:tc>
        <w:tc>
          <w:tcPr>
            <w:tcW w:w="2126" w:type="dxa"/>
            <w:tcBorders>
              <w:top w:val="single" w:sz="4" w:space="0" w:color="17365D"/>
              <w:bottom w:val="single" w:sz="4" w:space="0" w:color="17365D"/>
            </w:tcBorders>
            <w:vAlign w:val="center"/>
          </w:tcPr>
          <w:p w14:paraId="0491A66D" w14:textId="77777777" w:rsidR="00B1750B" w:rsidRPr="005A0A54" w:rsidRDefault="00B1750B" w:rsidP="009A09DF">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2</w:t>
            </w:r>
          </w:p>
        </w:tc>
      </w:tr>
      <w:tr w:rsidR="00B1750B" w:rsidRPr="005A0A54" w14:paraId="4EE915EE" w14:textId="77777777" w:rsidTr="00B779A5">
        <w:trPr>
          <w:trHeight w:val="255"/>
        </w:trPr>
        <w:tc>
          <w:tcPr>
            <w:tcW w:w="4825" w:type="dxa"/>
            <w:tcBorders>
              <w:top w:val="single" w:sz="4" w:space="0" w:color="17365D"/>
              <w:left w:val="nil"/>
              <w:bottom w:val="single" w:sz="4" w:space="0" w:color="17365D"/>
              <w:right w:val="nil"/>
            </w:tcBorders>
            <w:shd w:val="clear" w:color="auto" w:fill="auto"/>
            <w:vAlign w:val="center"/>
            <w:hideMark/>
          </w:tcPr>
          <w:p w14:paraId="3A825518" w14:textId="77777777" w:rsidR="00B1750B" w:rsidRPr="002716E4" w:rsidRDefault="00B1750B" w:rsidP="009A09DF">
            <w:pPr>
              <w:spacing w:after="0" w:line="240" w:lineRule="auto"/>
              <w:rPr>
                <w:rFonts w:eastAsia="Times New Roman" w:cs="Times New Roman"/>
                <w:b/>
                <w:color w:val="17365D"/>
                <w:sz w:val="18"/>
                <w:szCs w:val="18"/>
                <w:lang w:eastAsia="lv-LV"/>
              </w:rPr>
            </w:pPr>
            <w:r>
              <w:rPr>
                <w:rFonts w:eastAsia="Times New Roman" w:cs="Times New Roman"/>
                <w:b/>
                <w:color w:val="17365D"/>
                <w:sz w:val="18"/>
                <w:szCs w:val="18"/>
                <w:lang w:eastAsia="lv-LV"/>
              </w:rPr>
              <w:t>Nodokļu ieņēmumi</w:t>
            </w:r>
          </w:p>
        </w:tc>
        <w:tc>
          <w:tcPr>
            <w:tcW w:w="2552" w:type="dxa"/>
            <w:tcBorders>
              <w:top w:val="single" w:sz="4" w:space="0" w:color="17365D"/>
              <w:left w:val="nil"/>
              <w:bottom w:val="single" w:sz="4" w:space="0" w:color="17365D"/>
              <w:right w:val="nil"/>
            </w:tcBorders>
            <w:shd w:val="clear" w:color="auto" w:fill="auto"/>
            <w:vAlign w:val="center"/>
            <w:hideMark/>
          </w:tcPr>
          <w:p w14:paraId="35074EEA" w14:textId="77777777" w:rsidR="00B1750B" w:rsidRPr="005822EE" w:rsidRDefault="00B1750B" w:rsidP="009A09DF">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13 698 714 671</w:t>
            </w:r>
          </w:p>
        </w:tc>
        <w:tc>
          <w:tcPr>
            <w:tcW w:w="2126" w:type="dxa"/>
            <w:tcBorders>
              <w:top w:val="single" w:sz="4" w:space="0" w:color="17365D"/>
              <w:left w:val="nil"/>
              <w:bottom w:val="single" w:sz="4" w:space="0" w:color="17365D"/>
              <w:right w:val="nil"/>
            </w:tcBorders>
            <w:shd w:val="clear" w:color="auto" w:fill="auto"/>
            <w:vAlign w:val="center"/>
          </w:tcPr>
          <w:p w14:paraId="746B2EA3" w14:textId="77777777" w:rsidR="00B1750B" w:rsidRPr="005822EE" w:rsidRDefault="00B1750B" w:rsidP="009A09DF">
            <w:pPr>
              <w:spacing w:after="0" w:line="240" w:lineRule="auto"/>
              <w:jc w:val="right"/>
              <w:rPr>
                <w:rFonts w:eastAsia="Times New Roman" w:cs="Times New Roman"/>
                <w:b/>
                <w:color w:val="17365D"/>
                <w:sz w:val="18"/>
                <w:szCs w:val="18"/>
                <w:lang w:eastAsia="lv-LV"/>
              </w:rPr>
            </w:pPr>
            <w:r w:rsidRPr="00D95C2C">
              <w:rPr>
                <w:rFonts w:eastAsia="Times New Roman" w:cs="Times New Roman"/>
                <w:b/>
                <w:color w:val="17365D"/>
                <w:sz w:val="18"/>
                <w:szCs w:val="18"/>
                <w:lang w:eastAsia="lv-LV"/>
              </w:rPr>
              <w:t>12 630 112 242</w:t>
            </w:r>
          </w:p>
        </w:tc>
      </w:tr>
      <w:tr w:rsidR="00B1750B" w:rsidRPr="005A0A54" w14:paraId="5EFF27D6" w14:textId="77777777" w:rsidTr="00B779A5">
        <w:trPr>
          <w:trHeight w:val="255"/>
        </w:trPr>
        <w:tc>
          <w:tcPr>
            <w:tcW w:w="4825" w:type="dxa"/>
            <w:tcBorders>
              <w:top w:val="single" w:sz="4" w:space="0" w:color="17365D"/>
              <w:bottom w:val="single" w:sz="4" w:space="0" w:color="17365D"/>
              <w:right w:val="nil"/>
            </w:tcBorders>
            <w:shd w:val="clear" w:color="auto" w:fill="auto"/>
            <w:vAlign w:val="center"/>
            <w:hideMark/>
          </w:tcPr>
          <w:p w14:paraId="5EFB28E5" w14:textId="77777777" w:rsidR="00B1750B" w:rsidRPr="005A0A54" w:rsidRDefault="00B1750B" w:rsidP="009A09DF">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Ienākuma nodokļi</w:t>
            </w:r>
          </w:p>
        </w:tc>
        <w:tc>
          <w:tcPr>
            <w:tcW w:w="2552" w:type="dxa"/>
            <w:tcBorders>
              <w:top w:val="single" w:sz="4" w:space="0" w:color="17365D"/>
              <w:left w:val="nil"/>
              <w:bottom w:val="single" w:sz="4" w:space="0" w:color="17365D"/>
              <w:right w:val="nil"/>
            </w:tcBorders>
            <w:shd w:val="clear" w:color="auto" w:fill="auto"/>
            <w:vAlign w:val="center"/>
            <w:hideMark/>
          </w:tcPr>
          <w:p w14:paraId="645CC66F"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3 609 483 874</w:t>
            </w:r>
          </w:p>
        </w:tc>
        <w:tc>
          <w:tcPr>
            <w:tcW w:w="2126" w:type="dxa"/>
            <w:tcBorders>
              <w:top w:val="single" w:sz="4" w:space="0" w:color="17365D"/>
              <w:left w:val="nil"/>
              <w:bottom w:val="single" w:sz="4" w:space="0" w:color="17365D"/>
              <w:right w:val="nil"/>
            </w:tcBorders>
            <w:shd w:val="clear" w:color="auto" w:fill="auto"/>
            <w:vAlign w:val="center"/>
          </w:tcPr>
          <w:p w14:paraId="56358A15"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3</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087</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968</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044</w:t>
            </w:r>
          </w:p>
        </w:tc>
      </w:tr>
      <w:tr w:rsidR="00B1750B" w:rsidRPr="005A0A54" w14:paraId="33832BC6" w14:textId="77777777" w:rsidTr="00B779A5">
        <w:trPr>
          <w:trHeight w:val="257"/>
        </w:trPr>
        <w:tc>
          <w:tcPr>
            <w:tcW w:w="4825" w:type="dxa"/>
            <w:tcBorders>
              <w:top w:val="single" w:sz="4" w:space="0" w:color="17365D"/>
              <w:bottom w:val="single" w:sz="4" w:space="0" w:color="17365D"/>
              <w:right w:val="nil"/>
            </w:tcBorders>
            <w:shd w:val="clear" w:color="auto" w:fill="auto"/>
            <w:vAlign w:val="center"/>
            <w:hideMark/>
          </w:tcPr>
          <w:p w14:paraId="7DA81F45" w14:textId="77777777" w:rsidR="00B1750B" w:rsidRPr="005A0A54" w:rsidRDefault="00B1750B" w:rsidP="009A09DF">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Sociālās apdrošināšanas iemaksas</w:t>
            </w:r>
          </w:p>
        </w:tc>
        <w:tc>
          <w:tcPr>
            <w:tcW w:w="2552" w:type="dxa"/>
            <w:tcBorders>
              <w:top w:val="single" w:sz="4" w:space="0" w:color="17365D"/>
              <w:left w:val="nil"/>
              <w:bottom w:val="single" w:sz="4" w:space="0" w:color="17365D"/>
              <w:right w:val="nil"/>
            </w:tcBorders>
            <w:shd w:val="clear" w:color="auto" w:fill="auto"/>
            <w:vAlign w:val="center"/>
            <w:hideMark/>
          </w:tcPr>
          <w:p w14:paraId="35C494CD"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4 327 994 343</w:t>
            </w:r>
          </w:p>
        </w:tc>
        <w:tc>
          <w:tcPr>
            <w:tcW w:w="2126" w:type="dxa"/>
            <w:tcBorders>
              <w:top w:val="single" w:sz="4" w:space="0" w:color="17365D"/>
              <w:left w:val="nil"/>
              <w:bottom w:val="single" w:sz="4" w:space="0" w:color="17365D"/>
              <w:right w:val="nil"/>
            </w:tcBorders>
            <w:shd w:val="clear" w:color="auto" w:fill="auto"/>
            <w:vAlign w:val="center"/>
          </w:tcPr>
          <w:p w14:paraId="518D4454"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sidRPr="00162DB2">
              <w:rPr>
                <w:rFonts w:eastAsia="Times New Roman" w:cs="Times New Roman"/>
                <w:color w:val="17365D"/>
                <w:sz w:val="18"/>
                <w:szCs w:val="18"/>
                <w:lang w:eastAsia="lv-LV"/>
              </w:rPr>
              <w:t>3</w:t>
            </w:r>
            <w:r>
              <w:rPr>
                <w:rFonts w:eastAsia="Times New Roman" w:cs="Times New Roman"/>
                <w:color w:val="17365D"/>
                <w:sz w:val="18"/>
                <w:szCs w:val="18"/>
                <w:lang w:eastAsia="lv-LV"/>
              </w:rPr>
              <w:t xml:space="preserve"> </w:t>
            </w:r>
            <w:r w:rsidRPr="00162DB2">
              <w:rPr>
                <w:rFonts w:eastAsia="Times New Roman" w:cs="Times New Roman"/>
                <w:color w:val="17365D"/>
                <w:sz w:val="18"/>
                <w:szCs w:val="18"/>
                <w:lang w:eastAsia="lv-LV"/>
              </w:rPr>
              <w:t>983</w:t>
            </w:r>
            <w:r>
              <w:rPr>
                <w:rFonts w:eastAsia="Times New Roman" w:cs="Times New Roman"/>
                <w:color w:val="17365D"/>
                <w:sz w:val="18"/>
                <w:szCs w:val="18"/>
                <w:lang w:eastAsia="lv-LV"/>
              </w:rPr>
              <w:t xml:space="preserve"> </w:t>
            </w:r>
            <w:r w:rsidRPr="00162DB2">
              <w:rPr>
                <w:rFonts w:eastAsia="Times New Roman" w:cs="Times New Roman"/>
                <w:color w:val="17365D"/>
                <w:sz w:val="18"/>
                <w:szCs w:val="18"/>
                <w:lang w:eastAsia="lv-LV"/>
              </w:rPr>
              <w:t>870</w:t>
            </w:r>
            <w:r>
              <w:rPr>
                <w:rFonts w:eastAsia="Times New Roman" w:cs="Times New Roman"/>
                <w:color w:val="17365D"/>
                <w:sz w:val="18"/>
                <w:szCs w:val="18"/>
                <w:lang w:eastAsia="lv-LV"/>
              </w:rPr>
              <w:t xml:space="preserve"> </w:t>
            </w:r>
            <w:r w:rsidRPr="00162DB2">
              <w:rPr>
                <w:rFonts w:eastAsia="Times New Roman" w:cs="Times New Roman"/>
                <w:color w:val="17365D"/>
                <w:sz w:val="18"/>
                <w:szCs w:val="18"/>
                <w:lang w:eastAsia="lv-LV"/>
              </w:rPr>
              <w:t>956</w:t>
            </w:r>
          </w:p>
        </w:tc>
      </w:tr>
      <w:tr w:rsidR="00B1750B" w:rsidRPr="005A0A54" w14:paraId="4318E386" w14:textId="77777777" w:rsidTr="00B779A5">
        <w:trPr>
          <w:trHeight w:val="255"/>
        </w:trPr>
        <w:tc>
          <w:tcPr>
            <w:tcW w:w="4825" w:type="dxa"/>
            <w:tcBorders>
              <w:top w:val="single" w:sz="4" w:space="0" w:color="17365D"/>
              <w:bottom w:val="single" w:sz="4" w:space="0" w:color="17365D"/>
              <w:right w:val="nil"/>
            </w:tcBorders>
            <w:shd w:val="clear" w:color="auto" w:fill="auto"/>
            <w:vAlign w:val="center"/>
            <w:hideMark/>
          </w:tcPr>
          <w:p w14:paraId="4A331BED" w14:textId="77777777" w:rsidR="00B1750B" w:rsidRPr="005A0A54" w:rsidRDefault="00B1750B" w:rsidP="009A09DF">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Īpašuma nodokļi</w:t>
            </w:r>
          </w:p>
        </w:tc>
        <w:tc>
          <w:tcPr>
            <w:tcW w:w="2552" w:type="dxa"/>
            <w:tcBorders>
              <w:top w:val="single" w:sz="4" w:space="0" w:color="17365D"/>
              <w:left w:val="nil"/>
              <w:bottom w:val="single" w:sz="4" w:space="0" w:color="17365D"/>
              <w:right w:val="nil"/>
            </w:tcBorders>
            <w:shd w:val="clear" w:color="auto" w:fill="auto"/>
            <w:vAlign w:val="center"/>
            <w:hideMark/>
          </w:tcPr>
          <w:p w14:paraId="25C33A80"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237 721 505</w:t>
            </w:r>
          </w:p>
        </w:tc>
        <w:tc>
          <w:tcPr>
            <w:tcW w:w="2126" w:type="dxa"/>
            <w:tcBorders>
              <w:top w:val="single" w:sz="4" w:space="0" w:color="17365D"/>
              <w:left w:val="nil"/>
              <w:bottom w:val="single" w:sz="4" w:space="0" w:color="17365D"/>
              <w:right w:val="nil"/>
            </w:tcBorders>
            <w:shd w:val="clear" w:color="auto" w:fill="auto"/>
            <w:vAlign w:val="center"/>
          </w:tcPr>
          <w:p w14:paraId="4DA80D73"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235</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115</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804</w:t>
            </w:r>
          </w:p>
        </w:tc>
      </w:tr>
      <w:tr w:rsidR="00B1750B" w:rsidRPr="005A0A54" w14:paraId="0EC147A5" w14:textId="77777777" w:rsidTr="00B779A5">
        <w:trPr>
          <w:trHeight w:val="255"/>
        </w:trPr>
        <w:tc>
          <w:tcPr>
            <w:tcW w:w="4825" w:type="dxa"/>
            <w:tcBorders>
              <w:top w:val="single" w:sz="4" w:space="0" w:color="17365D"/>
              <w:bottom w:val="single" w:sz="4" w:space="0" w:color="17365D"/>
              <w:right w:val="nil"/>
            </w:tcBorders>
            <w:shd w:val="clear" w:color="auto" w:fill="auto"/>
            <w:vAlign w:val="center"/>
          </w:tcPr>
          <w:p w14:paraId="2CDD50FD" w14:textId="77777777" w:rsidR="00B1750B" w:rsidRPr="005A0A54" w:rsidRDefault="00B1750B" w:rsidP="009A09DF">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Muitas nodoklis</w:t>
            </w:r>
          </w:p>
        </w:tc>
        <w:tc>
          <w:tcPr>
            <w:tcW w:w="2552" w:type="dxa"/>
            <w:tcBorders>
              <w:top w:val="single" w:sz="4" w:space="0" w:color="17365D"/>
              <w:left w:val="nil"/>
              <w:bottom w:val="single" w:sz="4" w:space="0" w:color="17365D"/>
              <w:right w:val="nil"/>
            </w:tcBorders>
            <w:shd w:val="clear" w:color="auto" w:fill="auto"/>
            <w:vAlign w:val="center"/>
          </w:tcPr>
          <w:p w14:paraId="4178D46C"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62 705 841</w:t>
            </w:r>
          </w:p>
        </w:tc>
        <w:tc>
          <w:tcPr>
            <w:tcW w:w="2126" w:type="dxa"/>
            <w:tcBorders>
              <w:top w:val="single" w:sz="4" w:space="0" w:color="17365D"/>
              <w:left w:val="nil"/>
              <w:bottom w:val="single" w:sz="4" w:space="0" w:color="17365D"/>
              <w:right w:val="nil"/>
            </w:tcBorders>
            <w:shd w:val="clear" w:color="auto" w:fill="auto"/>
            <w:vAlign w:val="center"/>
          </w:tcPr>
          <w:p w14:paraId="537A1D42"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56 795 504</w:t>
            </w:r>
          </w:p>
        </w:tc>
      </w:tr>
      <w:tr w:rsidR="00B1750B" w:rsidRPr="005A0A54" w14:paraId="13267764" w14:textId="77777777" w:rsidTr="00B779A5">
        <w:trPr>
          <w:trHeight w:val="255"/>
        </w:trPr>
        <w:tc>
          <w:tcPr>
            <w:tcW w:w="4825" w:type="dxa"/>
            <w:tcBorders>
              <w:top w:val="single" w:sz="4" w:space="0" w:color="17365D"/>
              <w:bottom w:val="single" w:sz="4" w:space="0" w:color="17365D"/>
              <w:right w:val="nil"/>
            </w:tcBorders>
            <w:shd w:val="clear" w:color="auto" w:fill="auto"/>
            <w:vAlign w:val="center"/>
            <w:hideMark/>
          </w:tcPr>
          <w:p w14:paraId="27E6302D" w14:textId="77777777" w:rsidR="00B1750B" w:rsidRPr="005A0A54" w:rsidRDefault="00B1750B" w:rsidP="009A09DF">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Nodokļi par pakalpojumiem un precēm</w:t>
            </w:r>
          </w:p>
        </w:tc>
        <w:tc>
          <w:tcPr>
            <w:tcW w:w="2552" w:type="dxa"/>
            <w:tcBorders>
              <w:top w:val="single" w:sz="4" w:space="0" w:color="17365D"/>
              <w:left w:val="nil"/>
              <w:bottom w:val="single" w:sz="4" w:space="0" w:color="17365D"/>
              <w:right w:val="nil"/>
            </w:tcBorders>
            <w:shd w:val="clear" w:color="auto" w:fill="auto"/>
            <w:vAlign w:val="center"/>
            <w:hideMark/>
          </w:tcPr>
          <w:p w14:paraId="44D300C5"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5 435 083 502</w:t>
            </w:r>
          </w:p>
        </w:tc>
        <w:tc>
          <w:tcPr>
            <w:tcW w:w="2126" w:type="dxa"/>
            <w:tcBorders>
              <w:top w:val="single" w:sz="4" w:space="0" w:color="17365D"/>
              <w:left w:val="nil"/>
              <w:bottom w:val="single" w:sz="4" w:space="0" w:color="17365D"/>
              <w:right w:val="nil"/>
            </w:tcBorders>
            <w:shd w:val="clear" w:color="auto" w:fill="auto"/>
            <w:vAlign w:val="center"/>
          </w:tcPr>
          <w:p w14:paraId="6DD157E9" w14:textId="77777777" w:rsidR="00B1750B" w:rsidRPr="005822EE" w:rsidRDefault="00B1750B" w:rsidP="009A09DF">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5</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244</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761</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808</w:t>
            </w:r>
          </w:p>
        </w:tc>
      </w:tr>
      <w:tr w:rsidR="00B1750B" w:rsidRPr="005A0A54" w14:paraId="4998260C" w14:textId="77777777" w:rsidTr="00B779A5">
        <w:trPr>
          <w:trHeight w:val="255"/>
        </w:trPr>
        <w:tc>
          <w:tcPr>
            <w:tcW w:w="4825" w:type="dxa"/>
            <w:tcBorders>
              <w:top w:val="single" w:sz="4" w:space="0" w:color="17365D"/>
              <w:bottom w:val="single" w:sz="4" w:space="0" w:color="17365D"/>
              <w:right w:val="nil"/>
            </w:tcBorders>
            <w:shd w:val="clear" w:color="auto" w:fill="auto"/>
            <w:vAlign w:val="center"/>
          </w:tcPr>
          <w:p w14:paraId="45BEE09D" w14:textId="77777777" w:rsidR="00B1750B" w:rsidRPr="005A0A54" w:rsidRDefault="00B1750B" w:rsidP="009A09DF">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Ieņēmumi no speciālajiem nodokļu režīmiem</w:t>
            </w:r>
          </w:p>
        </w:tc>
        <w:tc>
          <w:tcPr>
            <w:tcW w:w="2552" w:type="dxa"/>
            <w:tcBorders>
              <w:top w:val="single" w:sz="4" w:space="0" w:color="17365D"/>
              <w:left w:val="nil"/>
              <w:bottom w:val="single" w:sz="4" w:space="0" w:color="17365D"/>
              <w:right w:val="nil"/>
            </w:tcBorders>
            <w:shd w:val="clear" w:color="auto" w:fill="auto"/>
            <w:vAlign w:val="center"/>
          </w:tcPr>
          <w:p w14:paraId="46BBC419" w14:textId="77777777" w:rsidR="00B1750B" w:rsidRPr="002716E4"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25 725 606</w:t>
            </w:r>
          </w:p>
        </w:tc>
        <w:tc>
          <w:tcPr>
            <w:tcW w:w="2126" w:type="dxa"/>
            <w:tcBorders>
              <w:top w:val="single" w:sz="4" w:space="0" w:color="17365D"/>
              <w:left w:val="nil"/>
              <w:bottom w:val="single" w:sz="4" w:space="0" w:color="17365D"/>
              <w:right w:val="nil"/>
            </w:tcBorders>
            <w:shd w:val="clear" w:color="auto" w:fill="auto"/>
            <w:vAlign w:val="center"/>
          </w:tcPr>
          <w:p w14:paraId="2C5EBD7D" w14:textId="77777777" w:rsidR="00B1750B" w:rsidRPr="002716E4" w:rsidRDefault="00B1750B" w:rsidP="009A09DF">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21</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600</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126</w:t>
            </w:r>
          </w:p>
        </w:tc>
      </w:tr>
      <w:tr w:rsidR="00B1750B" w:rsidRPr="005A0A54" w14:paraId="01C0E482" w14:textId="77777777" w:rsidTr="00B779A5">
        <w:trPr>
          <w:trHeight w:val="70"/>
        </w:trPr>
        <w:tc>
          <w:tcPr>
            <w:tcW w:w="4825" w:type="dxa"/>
            <w:tcBorders>
              <w:top w:val="single" w:sz="4" w:space="0" w:color="17365D"/>
            </w:tcBorders>
            <w:shd w:val="clear" w:color="auto" w:fill="B8CCE4"/>
            <w:vAlign w:val="center"/>
          </w:tcPr>
          <w:p w14:paraId="6CF878B1" w14:textId="77777777" w:rsidR="00B1750B" w:rsidRPr="005A0A54" w:rsidRDefault="00B1750B" w:rsidP="009A09DF">
            <w:pPr>
              <w:spacing w:after="0" w:line="240" w:lineRule="auto"/>
              <w:rPr>
                <w:rFonts w:eastAsia="Times New Roman" w:cs="Times New Roman"/>
                <w:color w:val="17365D"/>
                <w:sz w:val="18"/>
                <w:szCs w:val="18"/>
                <w:lang w:eastAsia="lv-LV"/>
              </w:rPr>
            </w:pPr>
          </w:p>
        </w:tc>
        <w:tc>
          <w:tcPr>
            <w:tcW w:w="2552" w:type="dxa"/>
            <w:tcBorders>
              <w:top w:val="single" w:sz="4" w:space="0" w:color="17365D"/>
            </w:tcBorders>
            <w:shd w:val="clear" w:color="auto" w:fill="B8CCE4"/>
            <w:vAlign w:val="center"/>
          </w:tcPr>
          <w:p w14:paraId="133B1271" w14:textId="77777777" w:rsidR="00B1750B" w:rsidRPr="005A0A54" w:rsidRDefault="00B1750B" w:rsidP="009A09DF">
            <w:pPr>
              <w:spacing w:after="0" w:line="240" w:lineRule="auto"/>
              <w:jc w:val="center"/>
              <w:rPr>
                <w:rFonts w:eastAsia="Times New Roman" w:cs="Times New Roman"/>
                <w:color w:val="17365D"/>
                <w:sz w:val="18"/>
                <w:szCs w:val="18"/>
                <w:lang w:eastAsia="lv-LV"/>
              </w:rPr>
            </w:pPr>
          </w:p>
        </w:tc>
        <w:tc>
          <w:tcPr>
            <w:tcW w:w="2126" w:type="dxa"/>
            <w:tcBorders>
              <w:top w:val="single" w:sz="4" w:space="0" w:color="17365D"/>
            </w:tcBorders>
            <w:shd w:val="clear" w:color="auto" w:fill="B8CCE4"/>
          </w:tcPr>
          <w:p w14:paraId="5C3F4181" w14:textId="77777777" w:rsidR="00B1750B" w:rsidRPr="005A0A54" w:rsidRDefault="00B1750B" w:rsidP="009A09DF">
            <w:pPr>
              <w:spacing w:after="0" w:line="240" w:lineRule="auto"/>
              <w:jc w:val="right"/>
              <w:rPr>
                <w:rFonts w:eastAsia="Times New Roman" w:cs="Times New Roman"/>
                <w:color w:val="17365D"/>
                <w:sz w:val="18"/>
                <w:szCs w:val="18"/>
                <w:lang w:eastAsia="lv-LV"/>
              </w:rPr>
            </w:pPr>
          </w:p>
        </w:tc>
      </w:tr>
    </w:tbl>
    <w:p w14:paraId="600AFF41" w14:textId="77777777" w:rsidR="00B1750B" w:rsidRPr="00E05702" w:rsidRDefault="00B1750B" w:rsidP="00B1750B">
      <w:pPr>
        <w:pStyle w:val="Heading4"/>
        <w:rPr>
          <w:rFonts w:cs="Times New Roman"/>
        </w:rPr>
      </w:pPr>
      <w:r w:rsidRPr="00E05702">
        <w:rPr>
          <w:rFonts w:cs="Times New Roman"/>
        </w:rPr>
        <w:t>Piezīme N</w:t>
      </w:r>
      <w:r>
        <w:rPr>
          <w:rFonts w:cs="Times New Roman"/>
        </w:rPr>
        <w:t>r</w:t>
      </w:r>
      <w:r w:rsidRPr="00E05702">
        <w:rPr>
          <w:rFonts w:cs="Times New Roman"/>
        </w:rPr>
        <w:t>. FD.A1</w:t>
      </w:r>
      <w:r>
        <w:rPr>
          <w:rFonts w:cs="Times New Roman"/>
        </w:rPr>
        <w:t>3</w:t>
      </w:r>
      <w:r w:rsidRPr="00E05702">
        <w:rPr>
          <w:rFonts w:cs="Times New Roman"/>
        </w:rPr>
        <w:t xml:space="preserve">. </w:t>
      </w:r>
      <w:r>
        <w:rPr>
          <w:rFonts w:cs="Times New Roman"/>
        </w:rPr>
        <w:t>Maksas pakalpojumi un citi pašu ieņēmumi</w:t>
      </w:r>
    </w:p>
    <w:p w14:paraId="23A60460" w14:textId="77777777" w:rsidR="003A2813" w:rsidRPr="009C6F0C" w:rsidRDefault="003A2813" w:rsidP="003A2813">
      <w:pPr>
        <w:spacing w:after="120" w:line="240" w:lineRule="auto"/>
        <w:ind w:left="284"/>
        <w:jc w:val="both"/>
        <w:rPr>
          <w:rFonts w:eastAsia="Arial Unicode MS" w:cs="Times New Roman"/>
          <w:color w:val="17365D"/>
          <w:szCs w:val="24"/>
        </w:rPr>
      </w:pPr>
      <w:bookmarkStart w:id="70" w:name="_Hlk198108682"/>
      <w:r>
        <w:rPr>
          <w:rFonts w:eastAsia="Arial Unicode MS" w:cs="Times New Roman"/>
          <w:color w:val="17365D"/>
          <w:szCs w:val="24"/>
        </w:rPr>
        <w:t>Lielākais palielinājums šajā postenī</w:t>
      </w:r>
      <w:r w:rsidRPr="009C6F0C">
        <w:rPr>
          <w:rFonts w:eastAsia="Arial Unicode MS" w:cs="Times New Roman"/>
          <w:color w:val="17365D"/>
          <w:szCs w:val="24"/>
        </w:rPr>
        <w:t xml:space="preserve"> veidojās:</w:t>
      </w:r>
    </w:p>
    <w:p w14:paraId="3302A15B" w14:textId="55EF58DF" w:rsidR="003A2813" w:rsidRDefault="003A2813" w:rsidP="003A2813">
      <w:pPr>
        <w:numPr>
          <w:ilvl w:val="0"/>
          <w:numId w:val="29"/>
        </w:numPr>
        <w:spacing w:after="120" w:line="240" w:lineRule="auto"/>
        <w:ind w:left="567" w:hanging="284"/>
        <w:jc w:val="both"/>
        <w:rPr>
          <w:rFonts w:eastAsia="Arial Unicode MS" w:cs="Times New Roman"/>
          <w:color w:val="17365D"/>
          <w:szCs w:val="24"/>
        </w:rPr>
      </w:pPr>
      <w:r w:rsidRPr="009B3D3C">
        <w:rPr>
          <w:rFonts w:eastAsia="Arial Unicode MS" w:cs="Times New Roman"/>
          <w:color w:val="17365D"/>
          <w:szCs w:val="24"/>
        </w:rPr>
        <w:t xml:space="preserve">Ekonomikas ministrijai 109,4 </w:t>
      </w:r>
      <w:r w:rsidRPr="009B3D3C">
        <w:rPr>
          <w:rFonts w:eastAsia="Times New Roman" w:cs="Times New Roman"/>
          <w:color w:val="17365D"/>
          <w:szCs w:val="24"/>
          <w:lang w:eastAsia="lv-LV"/>
        </w:rPr>
        <w:t xml:space="preserve">milj. </w:t>
      </w:r>
      <w:proofErr w:type="spellStart"/>
      <w:r w:rsidRPr="009B3D3C">
        <w:rPr>
          <w:rFonts w:eastAsia="Arial Unicode MS" w:cs="Times New Roman"/>
          <w:i/>
          <w:color w:val="17365D"/>
          <w:szCs w:val="24"/>
        </w:rPr>
        <w:t>euro</w:t>
      </w:r>
      <w:proofErr w:type="spellEnd"/>
      <w:r w:rsidRPr="009B3D3C">
        <w:rPr>
          <w:rFonts w:eastAsia="Arial Unicode MS" w:cs="Times New Roman"/>
          <w:color w:val="17365D"/>
          <w:szCs w:val="24"/>
        </w:rPr>
        <w:t xml:space="preserve"> vērtībā </w:t>
      </w:r>
      <w:r w:rsidR="00526A0C">
        <w:rPr>
          <w:rFonts w:eastAsia="Arial Unicode MS" w:cs="Times New Roman"/>
          <w:color w:val="17365D"/>
          <w:szCs w:val="24"/>
        </w:rPr>
        <w:t>p</w:t>
      </w:r>
      <w:r w:rsidRPr="009B3D3C">
        <w:rPr>
          <w:rFonts w:eastAsia="Arial Unicode MS" w:cs="Times New Roman"/>
          <w:color w:val="17365D"/>
          <w:szCs w:val="24"/>
        </w:rPr>
        <w:t xml:space="preserve">ar </w:t>
      </w:r>
      <w:r w:rsidR="00526A0C">
        <w:rPr>
          <w:rFonts w:eastAsia="Arial Unicode MS" w:cs="Times New Roman"/>
          <w:color w:val="17365D"/>
          <w:szCs w:val="24"/>
        </w:rPr>
        <w:t xml:space="preserve">naftas </w:t>
      </w:r>
      <w:r w:rsidR="00526A0C" w:rsidRPr="00526A0C">
        <w:rPr>
          <w:rFonts w:eastAsia="Arial Unicode MS" w:cs="Times New Roman"/>
          <w:color w:val="17365D"/>
          <w:szCs w:val="24"/>
        </w:rPr>
        <w:t>drošības rezervju pakalpojuma maks</w:t>
      </w:r>
      <w:r w:rsidR="00526A0C">
        <w:rPr>
          <w:rFonts w:eastAsia="Arial Unicode MS" w:cs="Times New Roman"/>
          <w:color w:val="17365D"/>
          <w:szCs w:val="24"/>
        </w:rPr>
        <w:t>u</w:t>
      </w:r>
      <w:r>
        <w:rPr>
          <w:rFonts w:eastAsia="Arial Unicode MS" w:cs="Times New Roman"/>
          <w:color w:val="17365D"/>
          <w:szCs w:val="24"/>
        </w:rPr>
        <w:t>;</w:t>
      </w:r>
    </w:p>
    <w:bookmarkEnd w:id="70"/>
    <w:p w14:paraId="06F4E8AB" w14:textId="66207729" w:rsidR="003A2813" w:rsidRPr="00A171FB" w:rsidRDefault="003A2813" w:rsidP="003A2813">
      <w:pPr>
        <w:numPr>
          <w:ilvl w:val="0"/>
          <w:numId w:val="29"/>
        </w:numPr>
        <w:spacing w:after="120" w:line="240" w:lineRule="auto"/>
        <w:ind w:left="567" w:hanging="284"/>
        <w:jc w:val="both"/>
        <w:rPr>
          <w:rFonts w:eastAsia="Arial Unicode MS" w:cs="Times New Roman"/>
          <w:color w:val="17365D"/>
          <w:szCs w:val="24"/>
        </w:rPr>
      </w:pPr>
      <w:r w:rsidRPr="00A171FB">
        <w:rPr>
          <w:rFonts w:eastAsia="Arial Unicode MS" w:cs="Times New Roman"/>
          <w:color w:val="17365D"/>
          <w:szCs w:val="24"/>
        </w:rPr>
        <w:t>Aizsardzības ministrijai</w:t>
      </w:r>
      <w:r>
        <w:rPr>
          <w:rFonts w:eastAsia="Arial Unicode MS" w:cs="Times New Roman"/>
          <w:color w:val="17365D"/>
          <w:szCs w:val="24"/>
        </w:rPr>
        <w:t xml:space="preserve"> </w:t>
      </w:r>
      <w:r w:rsidRPr="00A171FB">
        <w:rPr>
          <w:rFonts w:eastAsia="Arial Unicode MS" w:cs="Times New Roman"/>
          <w:color w:val="17365D"/>
          <w:szCs w:val="24"/>
        </w:rPr>
        <w:t xml:space="preserve">23,7 milj. </w:t>
      </w:r>
      <w:proofErr w:type="spellStart"/>
      <w:r w:rsidRPr="00840322">
        <w:rPr>
          <w:rFonts w:eastAsia="Arial Unicode MS" w:cs="Times New Roman"/>
          <w:i/>
          <w:iCs/>
          <w:color w:val="17365D"/>
          <w:szCs w:val="24"/>
        </w:rPr>
        <w:t>euro</w:t>
      </w:r>
      <w:proofErr w:type="spellEnd"/>
      <w:r w:rsidRPr="00A171FB">
        <w:rPr>
          <w:rFonts w:eastAsia="Arial Unicode MS" w:cs="Times New Roman"/>
          <w:color w:val="17365D"/>
          <w:szCs w:val="24"/>
        </w:rPr>
        <w:t xml:space="preserve"> vērtībā</w:t>
      </w:r>
      <w:r w:rsidR="00526A0C">
        <w:rPr>
          <w:rFonts w:eastAsia="Arial Unicode MS" w:cs="Times New Roman"/>
          <w:color w:val="17365D"/>
          <w:szCs w:val="24"/>
        </w:rPr>
        <w:t xml:space="preserve"> p</w:t>
      </w:r>
      <w:r w:rsidRPr="00A171FB">
        <w:rPr>
          <w:rFonts w:eastAsia="Arial Unicode MS" w:cs="Times New Roman"/>
          <w:color w:val="17365D"/>
          <w:szCs w:val="24"/>
        </w:rPr>
        <w:t xml:space="preserve">ar ieņēmumu palielinājumu no NATO dalībvalstu </w:t>
      </w:r>
      <w:proofErr w:type="spellStart"/>
      <w:r w:rsidRPr="00A171FB">
        <w:rPr>
          <w:rFonts w:eastAsia="Arial Unicode MS" w:cs="Times New Roman"/>
          <w:color w:val="17365D"/>
          <w:szCs w:val="24"/>
        </w:rPr>
        <w:t>līdzmaksājumiem</w:t>
      </w:r>
      <w:proofErr w:type="spellEnd"/>
      <w:r w:rsidRPr="00A171FB">
        <w:rPr>
          <w:rFonts w:eastAsia="Arial Unicode MS" w:cs="Times New Roman"/>
          <w:color w:val="17365D"/>
          <w:szCs w:val="24"/>
        </w:rPr>
        <w:t xml:space="preserve"> par aktivitātēm Latvijas Republikas teritorijā</w:t>
      </w:r>
      <w:r>
        <w:rPr>
          <w:rFonts w:eastAsia="Arial Unicode MS" w:cs="Times New Roman"/>
          <w:color w:val="17365D"/>
          <w:szCs w:val="24"/>
        </w:rPr>
        <w:t>.</w:t>
      </w:r>
    </w:p>
    <w:p w14:paraId="06026D9C" w14:textId="2B04E573" w:rsidR="003A2813" w:rsidRPr="00A171FB" w:rsidRDefault="003A2813" w:rsidP="00840322">
      <w:pPr>
        <w:spacing w:after="120" w:line="240" w:lineRule="auto"/>
        <w:jc w:val="both"/>
        <w:rPr>
          <w:rFonts w:eastAsia="Arial Unicode MS" w:cs="Times New Roman"/>
          <w:color w:val="17365D"/>
          <w:szCs w:val="24"/>
        </w:rPr>
      </w:pPr>
      <w:r>
        <w:rPr>
          <w:rFonts w:eastAsia="Arial Unicode MS" w:cs="Times New Roman"/>
          <w:color w:val="17365D"/>
          <w:szCs w:val="24"/>
        </w:rPr>
        <w:t>Lielākais samazinājums šajā postenī</w:t>
      </w:r>
      <w:r w:rsidRPr="009C6F0C">
        <w:rPr>
          <w:rFonts w:eastAsia="Arial Unicode MS" w:cs="Times New Roman"/>
          <w:color w:val="17365D"/>
          <w:szCs w:val="24"/>
        </w:rPr>
        <w:t xml:space="preserve"> veidojās</w:t>
      </w:r>
      <w:r w:rsidR="000A2AFF">
        <w:rPr>
          <w:rFonts w:eastAsia="Arial Unicode MS" w:cs="Times New Roman"/>
          <w:color w:val="17365D"/>
          <w:szCs w:val="24"/>
        </w:rPr>
        <w:t xml:space="preserve"> </w:t>
      </w:r>
      <w:r w:rsidRPr="00A171FB">
        <w:rPr>
          <w:rFonts w:eastAsia="Arial Unicode MS" w:cs="Times New Roman"/>
          <w:color w:val="17365D"/>
          <w:szCs w:val="24"/>
        </w:rPr>
        <w:t>Tieslietu ministrijai</w:t>
      </w:r>
      <w:r>
        <w:rPr>
          <w:rFonts w:eastAsia="Arial Unicode MS" w:cs="Times New Roman"/>
          <w:color w:val="17365D"/>
          <w:szCs w:val="24"/>
        </w:rPr>
        <w:t xml:space="preserve"> </w:t>
      </w:r>
      <w:r w:rsidRPr="00A171FB">
        <w:rPr>
          <w:rFonts w:eastAsia="Arial Unicode MS" w:cs="Times New Roman"/>
          <w:color w:val="17365D"/>
          <w:szCs w:val="24"/>
        </w:rPr>
        <w:t xml:space="preserve">(25,0) </w:t>
      </w:r>
      <w:r w:rsidRPr="00A171FB">
        <w:rPr>
          <w:rFonts w:eastAsia="Times New Roman" w:cs="Times New Roman"/>
          <w:color w:val="17365D"/>
          <w:szCs w:val="24"/>
          <w:lang w:eastAsia="lv-LV"/>
        </w:rPr>
        <w:t>milj.</w:t>
      </w:r>
      <w:r w:rsidR="000A2AFF">
        <w:rPr>
          <w:rFonts w:eastAsia="Times New Roman" w:cs="Times New Roman"/>
          <w:color w:val="17365D"/>
          <w:szCs w:val="24"/>
          <w:lang w:eastAsia="lv-LV"/>
        </w:rPr>
        <w:t> </w:t>
      </w:r>
      <w:proofErr w:type="spellStart"/>
      <w:r w:rsidRPr="00A171FB">
        <w:rPr>
          <w:rFonts w:eastAsia="Arial Unicode MS" w:cs="Times New Roman"/>
          <w:i/>
          <w:color w:val="17365D"/>
          <w:szCs w:val="24"/>
        </w:rPr>
        <w:t>euro</w:t>
      </w:r>
      <w:proofErr w:type="spellEnd"/>
      <w:r w:rsidRPr="00A171FB">
        <w:rPr>
          <w:rFonts w:eastAsia="Arial Unicode MS" w:cs="Times New Roman"/>
          <w:color w:val="17365D"/>
          <w:szCs w:val="24"/>
        </w:rPr>
        <w:t xml:space="preserve"> vērtībā</w:t>
      </w:r>
      <w:r>
        <w:rPr>
          <w:rFonts w:eastAsia="Arial Unicode MS" w:cs="Times New Roman"/>
          <w:color w:val="17365D"/>
          <w:szCs w:val="24"/>
        </w:rPr>
        <w:t xml:space="preserve">, </w:t>
      </w:r>
      <w:r w:rsidR="00526A0C">
        <w:rPr>
          <w:rFonts w:eastAsia="Arial Unicode MS" w:cs="Times New Roman"/>
          <w:color w:val="17365D"/>
          <w:szCs w:val="24"/>
        </w:rPr>
        <w:t xml:space="preserve"> samazinoties </w:t>
      </w:r>
      <w:r w:rsidR="000A2AFF">
        <w:rPr>
          <w:rFonts w:eastAsia="Arial Unicode MS" w:cs="Times New Roman"/>
          <w:color w:val="17365D"/>
          <w:szCs w:val="24"/>
        </w:rPr>
        <w:t>ieņēmum</w:t>
      </w:r>
      <w:r w:rsidR="00526A0C">
        <w:rPr>
          <w:rFonts w:eastAsia="Arial Unicode MS" w:cs="Times New Roman"/>
          <w:color w:val="17365D"/>
          <w:szCs w:val="24"/>
        </w:rPr>
        <w:t xml:space="preserve">iem </w:t>
      </w:r>
      <w:r w:rsidR="000A2AFF">
        <w:rPr>
          <w:rFonts w:eastAsia="Arial Unicode MS" w:cs="Times New Roman"/>
          <w:color w:val="17365D"/>
          <w:szCs w:val="24"/>
        </w:rPr>
        <w:t xml:space="preserve">par prasībām </w:t>
      </w:r>
      <w:r>
        <w:rPr>
          <w:rFonts w:eastAsia="Arial Unicode MS" w:cs="Times New Roman"/>
          <w:color w:val="17365D"/>
          <w:szCs w:val="24"/>
        </w:rPr>
        <w:t xml:space="preserve">pret uzturlīdzekļu parādniekiem par izmaksātajiem uzturlīdzekļiem. </w:t>
      </w:r>
    </w:p>
    <w:p w14:paraId="1572391D" w14:textId="77777777" w:rsidR="00B1750B" w:rsidRPr="00F159D0" w:rsidRDefault="00B1750B" w:rsidP="00B1750B">
      <w:pPr>
        <w:pStyle w:val="Heading4"/>
        <w:rPr>
          <w:rFonts w:cs="Times New Roman"/>
        </w:rPr>
      </w:pPr>
      <w:r w:rsidRPr="00E05702">
        <w:rPr>
          <w:rFonts w:cs="Times New Roman"/>
        </w:rPr>
        <w:t>Piezīme N</w:t>
      </w:r>
      <w:r>
        <w:rPr>
          <w:rFonts w:cs="Times New Roman"/>
        </w:rPr>
        <w:t>r.</w:t>
      </w:r>
      <w:r w:rsidRPr="00F159D0">
        <w:rPr>
          <w:rFonts w:cs="Times New Roman"/>
        </w:rPr>
        <w:t xml:space="preserve"> FD.A1</w:t>
      </w:r>
      <w:r>
        <w:rPr>
          <w:rFonts w:cs="Times New Roman"/>
        </w:rPr>
        <w:t>4</w:t>
      </w:r>
      <w:r w:rsidRPr="00F159D0">
        <w:rPr>
          <w:rFonts w:cs="Times New Roman"/>
        </w:rPr>
        <w:t xml:space="preserve">. </w:t>
      </w:r>
      <w:r>
        <w:rPr>
          <w:rFonts w:cs="Times New Roman"/>
        </w:rPr>
        <w:t>Ārvalstu finanšu palīdzība</w:t>
      </w:r>
    </w:p>
    <w:p w14:paraId="5A05CE32" w14:textId="440CAF70" w:rsidR="00B1750B" w:rsidRDefault="00B1750B" w:rsidP="00B1750B">
      <w:pPr>
        <w:pStyle w:val="Pamatteksts1"/>
      </w:pPr>
      <w:r w:rsidRPr="00E60F26">
        <w:t>Lielāk</w:t>
      </w:r>
      <w:r w:rsidR="007413BD">
        <w:t>ā</w:t>
      </w:r>
      <w:r w:rsidRPr="00E60F26">
        <w:t xml:space="preserve">s šī posteņa </w:t>
      </w:r>
      <w:r w:rsidR="007413BD">
        <w:t>izmaiņas</w:t>
      </w:r>
      <w:r w:rsidRPr="00E60F26">
        <w:t xml:space="preserve"> </w:t>
      </w:r>
      <w:r>
        <w:t>bija</w:t>
      </w:r>
      <w:r w:rsidRPr="00E60F26">
        <w:t xml:space="preserve"> </w:t>
      </w:r>
      <w:r>
        <w:t>v</w:t>
      </w:r>
      <w:r w:rsidRPr="00E60F26">
        <w:t>alsts budžeta finanšu uzskaitē</w:t>
      </w:r>
      <w:r>
        <w:t>:</w:t>
      </w:r>
      <w:r w:rsidRPr="00E60F26">
        <w:t xml:space="preserve"> </w:t>
      </w:r>
    </w:p>
    <w:p w14:paraId="2BC44B00" w14:textId="10FFC3FF" w:rsidR="00B1750B" w:rsidRPr="00E60F26" w:rsidRDefault="00B1750B" w:rsidP="003202B7">
      <w:pPr>
        <w:pStyle w:val="Bullets"/>
      </w:pPr>
      <w:r w:rsidRPr="00E60F26">
        <w:t xml:space="preserve">izmaiņas </w:t>
      </w:r>
      <w:r>
        <w:t>361,</w:t>
      </w:r>
      <w:r w:rsidR="0048279B">
        <w:t>6</w:t>
      </w:r>
      <w:r>
        <w:t xml:space="preserve"> </w:t>
      </w:r>
      <w:r w:rsidRPr="00E03367">
        <w:t>milj.</w:t>
      </w:r>
      <w:r w:rsidRPr="00E60F26">
        <w:t xml:space="preserve"> </w:t>
      </w:r>
      <w:r w:rsidRPr="00E60F26">
        <w:rPr>
          <w:i/>
        </w:rPr>
        <w:t>euro</w:t>
      </w:r>
      <w:r w:rsidRPr="00E60F26">
        <w:t xml:space="preserve"> vērtībā saistītas ar atzītajiem</w:t>
      </w:r>
      <w:r>
        <w:t xml:space="preserve"> </w:t>
      </w:r>
      <w:r w:rsidRPr="00E60F26">
        <w:t xml:space="preserve">ieņēmumiem </w:t>
      </w:r>
      <w:r>
        <w:t xml:space="preserve">no </w:t>
      </w:r>
      <w:r w:rsidRPr="00780E92">
        <w:t>Eiropas</w:t>
      </w:r>
      <w:r>
        <w:t xml:space="preserve"> Savienības, tai ska</w:t>
      </w:r>
      <w:r w:rsidR="00845526">
        <w:t>i</w:t>
      </w:r>
      <w:r>
        <w:t>tā  no Eiropas Atveseļošanās fonda;</w:t>
      </w:r>
    </w:p>
    <w:p w14:paraId="5D9773EB" w14:textId="66375FA8" w:rsidR="007413BD" w:rsidRPr="00E60F26" w:rsidRDefault="00B1750B" w:rsidP="003202B7">
      <w:pPr>
        <w:pStyle w:val="Bullets"/>
      </w:pPr>
      <w:r>
        <w:lastRenderedPageBreak/>
        <w:t>izmaiņas</w:t>
      </w:r>
      <w:r w:rsidRPr="00E60F26">
        <w:t xml:space="preserve"> </w:t>
      </w:r>
      <w:r>
        <w:t>10</w:t>
      </w:r>
      <w:r w:rsidR="0048279B">
        <w:t>6</w:t>
      </w:r>
      <w:r>
        <w:t>,</w:t>
      </w:r>
      <w:r w:rsidR="0048279B">
        <w:t>0</w:t>
      </w:r>
      <w:r>
        <w:t xml:space="preserve"> </w:t>
      </w:r>
      <w:r w:rsidRPr="00E03367">
        <w:t>milj.</w:t>
      </w:r>
      <w:r w:rsidRPr="00E60F26">
        <w:t xml:space="preserve"> </w:t>
      </w:r>
      <w:r w:rsidRPr="00E60F26">
        <w:rPr>
          <w:i/>
        </w:rPr>
        <w:t>euro</w:t>
      </w:r>
      <w:r w:rsidRPr="00E60F26">
        <w:t xml:space="preserve"> vērtībā saistītas ar atzītajiem</w:t>
      </w:r>
      <w:r>
        <w:t xml:space="preserve"> ieņēmumiem no Eiropas Kohēzijas fonda</w:t>
      </w:r>
      <w:r w:rsidRPr="00E60F26">
        <w:t>;</w:t>
      </w:r>
    </w:p>
    <w:p w14:paraId="15047C59" w14:textId="453AC71C" w:rsidR="00B1750B" w:rsidRPr="00F077CE" w:rsidRDefault="00B1750B" w:rsidP="003202B7">
      <w:pPr>
        <w:pStyle w:val="Bullets"/>
      </w:pPr>
      <w:r>
        <w:t>izmaiņas</w:t>
      </w:r>
      <w:r w:rsidRPr="00E60F26">
        <w:t xml:space="preserve"> </w:t>
      </w:r>
      <w:r>
        <w:t>(120,7)</w:t>
      </w:r>
      <w:r w:rsidRPr="00E60F26">
        <w:t xml:space="preserve"> </w:t>
      </w:r>
      <w:r w:rsidRPr="00E03367">
        <w:t>milj.</w:t>
      </w:r>
      <w:r>
        <w:t xml:space="preserve"> </w:t>
      </w:r>
      <w:r w:rsidRPr="00E60F26">
        <w:rPr>
          <w:i/>
        </w:rPr>
        <w:t>euro</w:t>
      </w:r>
      <w:r w:rsidRPr="00E60F26">
        <w:t xml:space="preserve"> vērtībā</w:t>
      </w:r>
      <w:r>
        <w:t xml:space="preserve"> par atzītiem ieņēmumiem no Eiropas Reģionālās attīstības fonda</w:t>
      </w:r>
      <w:r w:rsidRPr="00E60F26">
        <w:t>.</w:t>
      </w:r>
    </w:p>
    <w:p w14:paraId="68232817" w14:textId="77777777" w:rsidR="00B1750B" w:rsidRPr="00F077CE" w:rsidRDefault="00B1750B" w:rsidP="003202B7">
      <w:pPr>
        <w:pStyle w:val="Pamatteksts1"/>
      </w:pPr>
      <w:r>
        <w:t>Procentu ieņēmumi sadalījumā pa darījuma veidiem norādīti 2.3.tabulā.</w:t>
      </w:r>
    </w:p>
    <w:p w14:paraId="27C5D851" w14:textId="77777777" w:rsidR="00B1750B" w:rsidRPr="00A27896" w:rsidRDefault="00B1750B" w:rsidP="00324AC5">
      <w:pPr>
        <w:pStyle w:val="Tabnosauk"/>
      </w:pPr>
      <w:r>
        <w:t>2.3.</w:t>
      </w:r>
      <w:r w:rsidRPr="00A27896">
        <w:t xml:space="preserve"> tabula. Procentu ieņēmumi (euro)</w:t>
      </w:r>
    </w:p>
    <w:tbl>
      <w:tblPr>
        <w:tblW w:w="9503" w:type="dxa"/>
        <w:tblInd w:w="-5" w:type="dxa"/>
        <w:tblLook w:val="04A0" w:firstRow="1" w:lastRow="0" w:firstColumn="1" w:lastColumn="0" w:noHBand="0" w:noVBand="1"/>
      </w:tblPr>
      <w:tblGrid>
        <w:gridCol w:w="10"/>
        <w:gridCol w:w="5382"/>
        <w:gridCol w:w="1269"/>
        <w:gridCol w:w="999"/>
        <w:gridCol w:w="702"/>
        <w:gridCol w:w="1141"/>
      </w:tblGrid>
      <w:tr w:rsidR="00B1750B" w:rsidRPr="008A1CD6" w14:paraId="6D04EECF" w14:textId="77777777" w:rsidTr="009A4177">
        <w:trPr>
          <w:gridBefore w:val="1"/>
          <w:wBefore w:w="10" w:type="dxa"/>
          <w:trHeight w:val="255"/>
          <w:tblHeader/>
        </w:trPr>
        <w:tc>
          <w:tcPr>
            <w:tcW w:w="5382" w:type="dxa"/>
            <w:tcBorders>
              <w:bottom w:val="single" w:sz="4" w:space="0" w:color="17365D"/>
            </w:tcBorders>
            <w:shd w:val="clear" w:color="auto" w:fill="B8CCE4" w:themeFill="accent1" w:themeFillTint="66"/>
            <w:vAlign w:val="center"/>
            <w:hideMark/>
          </w:tcPr>
          <w:p w14:paraId="6C086CB8" w14:textId="77777777" w:rsidR="00B1750B" w:rsidRPr="008A1CD6" w:rsidRDefault="00B1750B" w:rsidP="009A09DF">
            <w:pPr>
              <w:spacing w:after="0" w:line="240" w:lineRule="auto"/>
              <w:jc w:val="center"/>
              <w:rPr>
                <w:rFonts w:eastAsia="Arial Unicode MS" w:cs="Times New Roman"/>
                <w:b/>
                <w:color w:val="17365D"/>
                <w:sz w:val="18"/>
                <w:szCs w:val="18"/>
              </w:rPr>
            </w:pPr>
            <w:r w:rsidRPr="008A1CD6">
              <w:rPr>
                <w:rFonts w:eastAsia="Arial Unicode MS" w:cs="Times New Roman"/>
                <w:b/>
                <w:color w:val="17365D"/>
                <w:sz w:val="18"/>
                <w:szCs w:val="18"/>
              </w:rPr>
              <w:t>Darījuma apraksts</w:t>
            </w:r>
          </w:p>
        </w:tc>
        <w:tc>
          <w:tcPr>
            <w:tcW w:w="2268" w:type="dxa"/>
            <w:gridSpan w:val="2"/>
            <w:tcBorders>
              <w:bottom w:val="single" w:sz="4" w:space="0" w:color="17365D"/>
            </w:tcBorders>
            <w:shd w:val="clear" w:color="auto" w:fill="B8CCE4" w:themeFill="accent1" w:themeFillTint="66"/>
            <w:vAlign w:val="center"/>
            <w:hideMark/>
          </w:tcPr>
          <w:p w14:paraId="1A3FD21F" w14:textId="77777777" w:rsidR="00B1750B" w:rsidRPr="008A1CD6" w:rsidRDefault="00B1750B" w:rsidP="009A09DF">
            <w:pPr>
              <w:spacing w:after="0" w:line="240" w:lineRule="auto"/>
              <w:jc w:val="center"/>
              <w:rPr>
                <w:rFonts w:eastAsia="Arial Unicode MS" w:cs="Times New Roman"/>
                <w:b/>
                <w:color w:val="17365D"/>
                <w:sz w:val="18"/>
                <w:szCs w:val="18"/>
              </w:rPr>
            </w:pPr>
            <w:r w:rsidRPr="008A1CD6">
              <w:rPr>
                <w:rFonts w:eastAsia="Arial Unicode MS" w:cs="Times New Roman"/>
                <w:b/>
                <w:color w:val="17365D"/>
                <w:sz w:val="18"/>
                <w:szCs w:val="18"/>
              </w:rPr>
              <w:t>Pārskata periodā</w:t>
            </w:r>
          </w:p>
        </w:tc>
        <w:tc>
          <w:tcPr>
            <w:tcW w:w="1843" w:type="dxa"/>
            <w:gridSpan w:val="2"/>
            <w:tcBorders>
              <w:bottom w:val="single" w:sz="4" w:space="0" w:color="17365D"/>
            </w:tcBorders>
            <w:shd w:val="clear" w:color="auto" w:fill="B8CCE4" w:themeFill="accent1" w:themeFillTint="66"/>
          </w:tcPr>
          <w:p w14:paraId="1D6CABBB" w14:textId="77777777" w:rsidR="00B1750B" w:rsidRPr="008A1CD6" w:rsidRDefault="00B1750B" w:rsidP="009A09DF">
            <w:pPr>
              <w:spacing w:after="0" w:line="240" w:lineRule="auto"/>
              <w:jc w:val="center"/>
              <w:rPr>
                <w:rFonts w:eastAsia="Arial Unicode MS" w:cs="Times New Roman"/>
                <w:b/>
                <w:color w:val="17365D"/>
                <w:sz w:val="18"/>
                <w:szCs w:val="18"/>
              </w:rPr>
            </w:pPr>
            <w:r w:rsidRPr="008A1CD6">
              <w:rPr>
                <w:rFonts w:eastAsia="Arial Unicode MS" w:cs="Times New Roman"/>
                <w:b/>
                <w:color w:val="17365D"/>
                <w:sz w:val="18"/>
                <w:szCs w:val="18"/>
              </w:rPr>
              <w:t>Iepriekšējā pārskata periodā</w:t>
            </w:r>
          </w:p>
        </w:tc>
      </w:tr>
      <w:tr w:rsidR="00B1750B" w:rsidRPr="008A1CD6" w14:paraId="5A201083" w14:textId="77777777" w:rsidTr="005645F2">
        <w:trPr>
          <w:gridBefore w:val="1"/>
          <w:wBefore w:w="10" w:type="dxa"/>
          <w:trHeight w:val="255"/>
          <w:tblHeader/>
        </w:trPr>
        <w:tc>
          <w:tcPr>
            <w:tcW w:w="5382" w:type="dxa"/>
            <w:tcBorders>
              <w:top w:val="single" w:sz="4" w:space="0" w:color="17365D"/>
              <w:bottom w:val="single" w:sz="4" w:space="0" w:color="000000"/>
            </w:tcBorders>
            <w:shd w:val="clear" w:color="auto" w:fill="auto"/>
            <w:vAlign w:val="center"/>
            <w:hideMark/>
          </w:tcPr>
          <w:p w14:paraId="714A7F25" w14:textId="77777777" w:rsidR="00B1750B" w:rsidRPr="00475A10" w:rsidRDefault="00B1750B" w:rsidP="009A09DF">
            <w:pPr>
              <w:spacing w:after="0" w:line="240" w:lineRule="auto"/>
              <w:jc w:val="center"/>
              <w:rPr>
                <w:rFonts w:eastAsia="Arial Unicode MS" w:cs="Times New Roman"/>
                <w:b/>
                <w:color w:val="17365D"/>
                <w:sz w:val="18"/>
                <w:szCs w:val="18"/>
              </w:rPr>
            </w:pPr>
            <w:r w:rsidRPr="00475A10">
              <w:rPr>
                <w:rFonts w:eastAsia="Arial Unicode MS" w:cs="Times New Roman"/>
                <w:b/>
                <w:color w:val="17365D"/>
                <w:sz w:val="18"/>
                <w:szCs w:val="18"/>
              </w:rPr>
              <w:t>A</w:t>
            </w:r>
          </w:p>
        </w:tc>
        <w:tc>
          <w:tcPr>
            <w:tcW w:w="2268" w:type="dxa"/>
            <w:gridSpan w:val="2"/>
            <w:tcBorders>
              <w:top w:val="single" w:sz="4" w:space="0" w:color="17365D"/>
              <w:bottom w:val="single" w:sz="4" w:space="0" w:color="000000"/>
            </w:tcBorders>
            <w:shd w:val="clear" w:color="auto" w:fill="auto"/>
            <w:vAlign w:val="center"/>
            <w:hideMark/>
          </w:tcPr>
          <w:p w14:paraId="51FCA9B3" w14:textId="77777777" w:rsidR="00B1750B" w:rsidRPr="00475A10" w:rsidRDefault="00B1750B" w:rsidP="009A09DF">
            <w:pPr>
              <w:spacing w:after="0" w:line="240" w:lineRule="auto"/>
              <w:jc w:val="center"/>
              <w:rPr>
                <w:rFonts w:eastAsia="Arial Unicode MS" w:cs="Times New Roman"/>
                <w:b/>
                <w:color w:val="17365D"/>
                <w:sz w:val="18"/>
                <w:szCs w:val="18"/>
              </w:rPr>
            </w:pPr>
            <w:r w:rsidRPr="00475A10">
              <w:rPr>
                <w:rFonts w:eastAsia="Arial Unicode MS" w:cs="Times New Roman"/>
                <w:b/>
                <w:color w:val="17365D"/>
                <w:sz w:val="18"/>
                <w:szCs w:val="18"/>
              </w:rPr>
              <w:t>1</w:t>
            </w:r>
          </w:p>
        </w:tc>
        <w:tc>
          <w:tcPr>
            <w:tcW w:w="1843" w:type="dxa"/>
            <w:gridSpan w:val="2"/>
            <w:tcBorders>
              <w:top w:val="single" w:sz="4" w:space="0" w:color="17365D"/>
              <w:bottom w:val="single" w:sz="4" w:space="0" w:color="000000"/>
            </w:tcBorders>
            <w:shd w:val="clear" w:color="auto" w:fill="auto"/>
            <w:vAlign w:val="center"/>
          </w:tcPr>
          <w:p w14:paraId="65070A39" w14:textId="77777777" w:rsidR="00B1750B" w:rsidRPr="00475A10" w:rsidRDefault="00B1750B" w:rsidP="009A09DF">
            <w:pPr>
              <w:spacing w:after="0" w:line="240" w:lineRule="auto"/>
              <w:jc w:val="center"/>
              <w:rPr>
                <w:rFonts w:eastAsia="Arial Unicode MS" w:cs="Times New Roman"/>
                <w:b/>
                <w:color w:val="17365D"/>
                <w:sz w:val="18"/>
                <w:szCs w:val="18"/>
              </w:rPr>
            </w:pPr>
            <w:r w:rsidRPr="00475A10">
              <w:rPr>
                <w:rFonts w:eastAsia="Arial Unicode MS" w:cs="Times New Roman"/>
                <w:b/>
                <w:color w:val="17365D"/>
                <w:sz w:val="18"/>
                <w:szCs w:val="18"/>
              </w:rPr>
              <w:t>2</w:t>
            </w:r>
          </w:p>
        </w:tc>
      </w:tr>
      <w:tr w:rsidR="00B1750B" w:rsidRPr="008A1CD6" w14:paraId="402BDF12"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tcPr>
          <w:p w14:paraId="1B264955" w14:textId="77777777" w:rsidR="00B1750B" w:rsidRPr="008A1CD6" w:rsidRDefault="00B1750B" w:rsidP="009A09DF">
            <w:pPr>
              <w:spacing w:after="0" w:line="240" w:lineRule="auto"/>
              <w:rPr>
                <w:rFonts w:eastAsia="Times New Roman" w:cs="Times New Roman"/>
                <w:color w:val="17365D"/>
                <w:sz w:val="18"/>
                <w:szCs w:val="18"/>
                <w:lang w:eastAsia="lv-LV"/>
              </w:rPr>
            </w:pPr>
            <w:r w:rsidRPr="008A1CD6">
              <w:rPr>
                <w:rFonts w:eastAsia="Times New Roman" w:cs="Times New Roman"/>
                <w:b/>
                <w:color w:val="17365D"/>
                <w:sz w:val="18"/>
                <w:szCs w:val="18"/>
                <w:lang w:eastAsia="lv-LV"/>
              </w:rPr>
              <w:t>Procentu ieņēmumi</w:t>
            </w:r>
          </w:p>
        </w:tc>
        <w:tc>
          <w:tcPr>
            <w:tcW w:w="2268" w:type="dxa"/>
            <w:gridSpan w:val="2"/>
            <w:tcBorders>
              <w:top w:val="single" w:sz="4" w:space="0" w:color="000000"/>
              <w:bottom w:val="single" w:sz="4" w:space="0" w:color="000000"/>
            </w:tcBorders>
            <w:shd w:val="clear" w:color="auto" w:fill="auto"/>
            <w:vAlign w:val="center"/>
          </w:tcPr>
          <w:p w14:paraId="26D81041" w14:textId="77777777" w:rsidR="00B1750B" w:rsidRPr="008A1CD6" w:rsidRDefault="00B1750B" w:rsidP="009A09DF">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223 919 530</w:t>
            </w:r>
          </w:p>
        </w:tc>
        <w:tc>
          <w:tcPr>
            <w:tcW w:w="1843" w:type="dxa"/>
            <w:gridSpan w:val="2"/>
            <w:tcBorders>
              <w:top w:val="single" w:sz="4" w:space="0" w:color="000000"/>
              <w:bottom w:val="single" w:sz="4" w:space="0" w:color="000000"/>
            </w:tcBorders>
            <w:shd w:val="clear" w:color="auto" w:fill="auto"/>
            <w:vAlign w:val="center"/>
          </w:tcPr>
          <w:p w14:paraId="49F4674D" w14:textId="77777777" w:rsidR="00B1750B" w:rsidRPr="008A1CD6" w:rsidRDefault="00B1750B" w:rsidP="009A09DF">
            <w:pPr>
              <w:spacing w:after="0" w:line="240" w:lineRule="auto"/>
              <w:jc w:val="right"/>
              <w:rPr>
                <w:rFonts w:eastAsia="Times New Roman" w:cs="Times New Roman"/>
                <w:b/>
                <w:color w:val="17365D"/>
                <w:sz w:val="18"/>
                <w:szCs w:val="18"/>
                <w:lang w:eastAsia="lv-LV"/>
              </w:rPr>
            </w:pPr>
            <w:r w:rsidRPr="008A1CD6">
              <w:rPr>
                <w:rFonts w:eastAsia="Times New Roman" w:cs="Times New Roman"/>
                <w:b/>
                <w:color w:val="17365D"/>
                <w:sz w:val="18"/>
                <w:szCs w:val="18"/>
                <w:lang w:eastAsia="lv-LV"/>
              </w:rPr>
              <w:t>173 777 043</w:t>
            </w:r>
          </w:p>
        </w:tc>
      </w:tr>
      <w:tr w:rsidR="00B1750B" w:rsidRPr="008A1CD6" w14:paraId="04AA2554"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tcPr>
          <w:p w14:paraId="6E19972B" w14:textId="77777777" w:rsidR="00B1750B" w:rsidRPr="008A1CD6" w:rsidRDefault="00B1750B" w:rsidP="009A09DF">
            <w:pPr>
              <w:spacing w:after="0" w:line="240" w:lineRule="auto"/>
              <w:rPr>
                <w:rFonts w:eastAsia="Times New Roman" w:cs="Times New Roman"/>
                <w:color w:val="17365D"/>
                <w:sz w:val="18"/>
                <w:szCs w:val="18"/>
                <w:lang w:eastAsia="lv-LV"/>
              </w:rPr>
            </w:pPr>
            <w:r w:rsidRPr="008A1CD6">
              <w:rPr>
                <w:rFonts w:eastAsia="Times New Roman" w:cs="Times New Roman"/>
                <w:color w:val="17365D"/>
                <w:sz w:val="18"/>
                <w:szCs w:val="18"/>
                <w:lang w:eastAsia="lv-LV"/>
              </w:rPr>
              <w:t>Procentu ieņēmumi par kontu atlikumiem un naudas līdzekļu ekvivalentiem</w:t>
            </w:r>
          </w:p>
        </w:tc>
        <w:tc>
          <w:tcPr>
            <w:tcW w:w="2268" w:type="dxa"/>
            <w:gridSpan w:val="2"/>
            <w:tcBorders>
              <w:top w:val="single" w:sz="4" w:space="0" w:color="000000"/>
              <w:bottom w:val="single" w:sz="4" w:space="0" w:color="000000"/>
            </w:tcBorders>
            <w:shd w:val="clear" w:color="auto" w:fill="auto"/>
            <w:vAlign w:val="center"/>
          </w:tcPr>
          <w:p w14:paraId="66C94075"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87 135 361</w:t>
            </w:r>
          </w:p>
        </w:tc>
        <w:tc>
          <w:tcPr>
            <w:tcW w:w="1843" w:type="dxa"/>
            <w:gridSpan w:val="2"/>
            <w:tcBorders>
              <w:top w:val="single" w:sz="4" w:space="0" w:color="000000"/>
              <w:bottom w:val="single" w:sz="4" w:space="0" w:color="000000"/>
            </w:tcBorders>
            <w:shd w:val="clear" w:color="auto" w:fill="auto"/>
            <w:vAlign w:val="center"/>
          </w:tcPr>
          <w:p w14:paraId="51BAC1D0"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79 116 707</w:t>
            </w:r>
          </w:p>
        </w:tc>
      </w:tr>
      <w:tr w:rsidR="00B1750B" w:rsidRPr="008A1CD6" w14:paraId="0DF2A52F"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hideMark/>
          </w:tcPr>
          <w:p w14:paraId="0E66B60D" w14:textId="77777777" w:rsidR="00B1750B" w:rsidRPr="008A1CD6" w:rsidRDefault="00B1750B" w:rsidP="009A09DF">
            <w:pPr>
              <w:spacing w:after="0" w:line="240" w:lineRule="auto"/>
              <w:rPr>
                <w:rFonts w:eastAsia="Times New Roman" w:cs="Times New Roman"/>
                <w:color w:val="17365D"/>
                <w:sz w:val="18"/>
                <w:szCs w:val="18"/>
                <w:lang w:eastAsia="lv-LV"/>
              </w:rPr>
            </w:pPr>
            <w:r w:rsidRPr="008A1CD6">
              <w:rPr>
                <w:rFonts w:eastAsia="Times New Roman" w:cs="Times New Roman"/>
                <w:color w:val="17365D"/>
                <w:sz w:val="18"/>
                <w:szCs w:val="18"/>
                <w:lang w:eastAsia="lv-LV"/>
              </w:rPr>
              <w:t>Procentu ieņēmumi par finanšu instrumentiem, izņemot PVFA un PVFS:</w:t>
            </w:r>
          </w:p>
        </w:tc>
        <w:tc>
          <w:tcPr>
            <w:tcW w:w="2268" w:type="dxa"/>
            <w:gridSpan w:val="2"/>
            <w:tcBorders>
              <w:top w:val="single" w:sz="4" w:space="0" w:color="000000"/>
              <w:bottom w:val="single" w:sz="4" w:space="0" w:color="000000"/>
            </w:tcBorders>
            <w:shd w:val="clear" w:color="auto" w:fill="auto"/>
            <w:vAlign w:val="center"/>
          </w:tcPr>
          <w:p w14:paraId="1562BC7C"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130 297 804</w:t>
            </w:r>
          </w:p>
        </w:tc>
        <w:tc>
          <w:tcPr>
            <w:tcW w:w="1843" w:type="dxa"/>
            <w:gridSpan w:val="2"/>
            <w:tcBorders>
              <w:top w:val="single" w:sz="4" w:space="0" w:color="000000"/>
              <w:bottom w:val="single" w:sz="4" w:space="0" w:color="000000"/>
            </w:tcBorders>
            <w:shd w:val="clear" w:color="auto" w:fill="auto"/>
            <w:vAlign w:val="center"/>
          </w:tcPr>
          <w:p w14:paraId="07E59786"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89 458 164</w:t>
            </w:r>
          </w:p>
        </w:tc>
      </w:tr>
      <w:tr w:rsidR="00B1750B" w:rsidRPr="008A1CD6" w14:paraId="0F075152"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tcPr>
          <w:p w14:paraId="30B7A3B6" w14:textId="77777777" w:rsidR="00B1750B" w:rsidRPr="008A1CD6" w:rsidRDefault="00B1750B" w:rsidP="009A09DF">
            <w:pPr>
              <w:spacing w:after="0" w:line="240" w:lineRule="auto"/>
              <w:ind w:left="175"/>
              <w:rPr>
                <w:rFonts w:eastAsia="Times New Roman" w:cs="Times New Roman"/>
                <w:color w:val="17365D"/>
                <w:sz w:val="18"/>
                <w:szCs w:val="18"/>
                <w:lang w:eastAsia="lv-LV"/>
              </w:rPr>
            </w:pPr>
            <w:r w:rsidRPr="008A1CD6">
              <w:rPr>
                <w:rFonts w:eastAsia="Times New Roman" w:cs="Times New Roman"/>
                <w:color w:val="17365D"/>
                <w:sz w:val="18"/>
                <w:szCs w:val="18"/>
                <w:lang w:eastAsia="lv-LV"/>
              </w:rPr>
              <w:t>Līdz termiņa beigām turētie ieguldījumi</w:t>
            </w:r>
          </w:p>
        </w:tc>
        <w:tc>
          <w:tcPr>
            <w:tcW w:w="2268" w:type="dxa"/>
            <w:gridSpan w:val="2"/>
            <w:tcBorders>
              <w:top w:val="single" w:sz="4" w:space="0" w:color="000000"/>
              <w:bottom w:val="single" w:sz="4" w:space="0" w:color="000000"/>
            </w:tcBorders>
            <w:shd w:val="clear" w:color="auto" w:fill="auto"/>
            <w:vAlign w:val="center"/>
          </w:tcPr>
          <w:p w14:paraId="10105A55"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65 844 405</w:t>
            </w:r>
          </w:p>
        </w:tc>
        <w:tc>
          <w:tcPr>
            <w:tcW w:w="1843" w:type="dxa"/>
            <w:gridSpan w:val="2"/>
            <w:tcBorders>
              <w:top w:val="single" w:sz="4" w:space="0" w:color="000000"/>
              <w:bottom w:val="single" w:sz="4" w:space="0" w:color="000000"/>
            </w:tcBorders>
            <w:shd w:val="clear" w:color="auto" w:fill="auto"/>
            <w:vAlign w:val="center"/>
          </w:tcPr>
          <w:p w14:paraId="5E6620DB"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21 222 923</w:t>
            </w:r>
          </w:p>
        </w:tc>
      </w:tr>
      <w:tr w:rsidR="00B1750B" w:rsidRPr="008A1CD6" w14:paraId="10015D20"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hideMark/>
          </w:tcPr>
          <w:p w14:paraId="26C76F83" w14:textId="77777777" w:rsidR="00B1750B" w:rsidRPr="008A1CD6" w:rsidRDefault="00B1750B" w:rsidP="009A09DF">
            <w:pPr>
              <w:spacing w:after="0" w:line="240" w:lineRule="auto"/>
              <w:ind w:left="175"/>
              <w:rPr>
                <w:rFonts w:eastAsia="Times New Roman" w:cs="Times New Roman"/>
                <w:color w:val="17365D"/>
                <w:sz w:val="18"/>
                <w:szCs w:val="18"/>
                <w:lang w:eastAsia="lv-LV"/>
              </w:rPr>
            </w:pPr>
            <w:r w:rsidRPr="008A1CD6">
              <w:rPr>
                <w:rFonts w:eastAsia="Times New Roman" w:cs="Times New Roman"/>
                <w:color w:val="17365D"/>
                <w:sz w:val="18"/>
                <w:szCs w:val="18"/>
                <w:lang w:eastAsia="lv-LV"/>
              </w:rPr>
              <w:t>Aizdevumi un prasības</w:t>
            </w:r>
          </w:p>
        </w:tc>
        <w:tc>
          <w:tcPr>
            <w:tcW w:w="2268" w:type="dxa"/>
            <w:gridSpan w:val="2"/>
            <w:tcBorders>
              <w:top w:val="single" w:sz="4" w:space="0" w:color="000000"/>
              <w:bottom w:val="single" w:sz="4" w:space="0" w:color="000000"/>
            </w:tcBorders>
            <w:shd w:val="clear" w:color="auto" w:fill="auto"/>
            <w:vAlign w:val="center"/>
          </w:tcPr>
          <w:p w14:paraId="4C0DBB52"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45 032 441</w:t>
            </w:r>
          </w:p>
        </w:tc>
        <w:tc>
          <w:tcPr>
            <w:tcW w:w="1843" w:type="dxa"/>
            <w:gridSpan w:val="2"/>
            <w:tcBorders>
              <w:top w:val="single" w:sz="4" w:space="0" w:color="000000"/>
              <w:bottom w:val="single" w:sz="4" w:space="0" w:color="000000"/>
            </w:tcBorders>
            <w:shd w:val="clear" w:color="auto" w:fill="auto"/>
            <w:vAlign w:val="center"/>
          </w:tcPr>
          <w:p w14:paraId="45D8249C"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46 730 723</w:t>
            </w:r>
          </w:p>
        </w:tc>
      </w:tr>
      <w:tr w:rsidR="00B1750B" w:rsidRPr="008A1CD6" w14:paraId="1E60299B"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hideMark/>
          </w:tcPr>
          <w:p w14:paraId="1F5E500C" w14:textId="77777777" w:rsidR="00B1750B" w:rsidRPr="008A1CD6" w:rsidRDefault="00B1750B" w:rsidP="009A09DF">
            <w:pPr>
              <w:spacing w:after="0" w:line="240" w:lineRule="auto"/>
              <w:ind w:left="175"/>
              <w:rPr>
                <w:rFonts w:eastAsia="Times New Roman" w:cs="Times New Roman"/>
                <w:color w:val="17365D"/>
                <w:sz w:val="18"/>
                <w:szCs w:val="18"/>
                <w:lang w:eastAsia="lv-LV"/>
              </w:rPr>
            </w:pPr>
            <w:r w:rsidRPr="008A1CD6">
              <w:rPr>
                <w:rFonts w:eastAsia="Times New Roman" w:cs="Times New Roman"/>
                <w:color w:val="17365D"/>
                <w:sz w:val="18"/>
                <w:szCs w:val="18"/>
                <w:lang w:eastAsia="lv-LV"/>
              </w:rPr>
              <w:t>Pārdošanai pieejamie finanšu aktīvi</w:t>
            </w:r>
          </w:p>
        </w:tc>
        <w:tc>
          <w:tcPr>
            <w:tcW w:w="2268" w:type="dxa"/>
            <w:gridSpan w:val="2"/>
            <w:tcBorders>
              <w:top w:val="single" w:sz="4" w:space="0" w:color="000000"/>
              <w:bottom w:val="single" w:sz="4" w:space="0" w:color="000000"/>
            </w:tcBorders>
            <w:shd w:val="clear" w:color="auto" w:fill="auto"/>
            <w:vAlign w:val="center"/>
          </w:tcPr>
          <w:p w14:paraId="0031916A"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115 030</w:t>
            </w:r>
          </w:p>
        </w:tc>
        <w:tc>
          <w:tcPr>
            <w:tcW w:w="1843" w:type="dxa"/>
            <w:gridSpan w:val="2"/>
            <w:tcBorders>
              <w:top w:val="single" w:sz="4" w:space="0" w:color="000000"/>
              <w:bottom w:val="single" w:sz="4" w:space="0" w:color="000000"/>
            </w:tcBorders>
            <w:shd w:val="clear" w:color="auto" w:fill="auto"/>
            <w:vAlign w:val="center"/>
          </w:tcPr>
          <w:p w14:paraId="08A433B4"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75 667</w:t>
            </w:r>
          </w:p>
        </w:tc>
      </w:tr>
      <w:tr w:rsidR="00B1750B" w:rsidRPr="008A1CD6" w14:paraId="07069178"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hideMark/>
          </w:tcPr>
          <w:p w14:paraId="6A28DD6A" w14:textId="77777777" w:rsidR="00B1750B" w:rsidRPr="008A1CD6" w:rsidRDefault="00B1750B" w:rsidP="009A09DF">
            <w:pPr>
              <w:spacing w:after="0" w:line="240" w:lineRule="auto"/>
              <w:ind w:left="175"/>
              <w:rPr>
                <w:rFonts w:eastAsia="Times New Roman" w:cs="Times New Roman"/>
                <w:color w:val="17365D"/>
                <w:sz w:val="18"/>
                <w:szCs w:val="18"/>
                <w:lang w:eastAsia="lv-LV"/>
              </w:rPr>
            </w:pPr>
            <w:r w:rsidRPr="008A1CD6">
              <w:rPr>
                <w:rFonts w:eastAsia="Times New Roman" w:cs="Times New Roman"/>
                <w:color w:val="17365D"/>
                <w:sz w:val="18"/>
                <w:szCs w:val="18"/>
                <w:lang w:eastAsia="lv-LV"/>
              </w:rPr>
              <w:t>Finanšu saistības, kas novērtētas amortizētajā vērtībā, un citas finanšu saistības</w:t>
            </w:r>
          </w:p>
        </w:tc>
        <w:tc>
          <w:tcPr>
            <w:tcW w:w="2268" w:type="dxa"/>
            <w:gridSpan w:val="2"/>
            <w:tcBorders>
              <w:top w:val="single" w:sz="4" w:space="0" w:color="000000"/>
              <w:bottom w:val="single" w:sz="4" w:space="0" w:color="000000"/>
            </w:tcBorders>
            <w:shd w:val="clear" w:color="auto" w:fill="auto"/>
            <w:vAlign w:val="center"/>
          </w:tcPr>
          <w:p w14:paraId="3CC30C5A"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19 305 928</w:t>
            </w:r>
          </w:p>
        </w:tc>
        <w:tc>
          <w:tcPr>
            <w:tcW w:w="1843" w:type="dxa"/>
            <w:gridSpan w:val="2"/>
            <w:tcBorders>
              <w:top w:val="single" w:sz="4" w:space="0" w:color="000000"/>
              <w:bottom w:val="single" w:sz="4" w:space="0" w:color="000000"/>
            </w:tcBorders>
            <w:shd w:val="clear" w:color="auto" w:fill="auto"/>
            <w:vAlign w:val="center"/>
          </w:tcPr>
          <w:p w14:paraId="21BDBCF4"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21 428 851</w:t>
            </w:r>
          </w:p>
        </w:tc>
      </w:tr>
      <w:tr w:rsidR="00B1750B" w:rsidRPr="008A1CD6" w14:paraId="5ABB2DD5" w14:textId="77777777" w:rsidTr="00B779A5">
        <w:trPr>
          <w:gridBefore w:val="1"/>
          <w:wBefore w:w="10" w:type="dxa"/>
          <w:trHeight w:val="261"/>
        </w:trPr>
        <w:tc>
          <w:tcPr>
            <w:tcW w:w="5382" w:type="dxa"/>
            <w:tcBorders>
              <w:top w:val="single" w:sz="4" w:space="0" w:color="000000"/>
              <w:bottom w:val="single" w:sz="4" w:space="0" w:color="000000"/>
            </w:tcBorders>
            <w:shd w:val="clear" w:color="auto" w:fill="auto"/>
            <w:vAlign w:val="center"/>
            <w:hideMark/>
          </w:tcPr>
          <w:p w14:paraId="22075E3F" w14:textId="77777777" w:rsidR="00B1750B" w:rsidRPr="008A1CD6" w:rsidRDefault="00B1750B" w:rsidP="009A09DF">
            <w:pPr>
              <w:spacing w:after="0" w:line="240" w:lineRule="auto"/>
              <w:rPr>
                <w:rFonts w:eastAsia="Times New Roman" w:cs="Times New Roman"/>
                <w:color w:val="17365D"/>
                <w:sz w:val="18"/>
                <w:szCs w:val="18"/>
                <w:lang w:eastAsia="lv-LV"/>
              </w:rPr>
            </w:pPr>
            <w:r w:rsidRPr="008A1CD6">
              <w:rPr>
                <w:rFonts w:eastAsia="Times New Roman" w:cs="Times New Roman"/>
                <w:color w:val="17365D"/>
                <w:sz w:val="18"/>
                <w:szCs w:val="18"/>
                <w:lang w:eastAsia="lv-LV"/>
              </w:rPr>
              <w:t>Pārējie procentu ieņēmumi</w:t>
            </w:r>
          </w:p>
        </w:tc>
        <w:tc>
          <w:tcPr>
            <w:tcW w:w="2268" w:type="dxa"/>
            <w:gridSpan w:val="2"/>
            <w:tcBorders>
              <w:top w:val="single" w:sz="4" w:space="0" w:color="000000"/>
              <w:bottom w:val="single" w:sz="4" w:space="0" w:color="000000"/>
            </w:tcBorders>
            <w:shd w:val="clear" w:color="auto" w:fill="auto"/>
            <w:vAlign w:val="center"/>
          </w:tcPr>
          <w:p w14:paraId="0FB74C77"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6 486 365</w:t>
            </w:r>
          </w:p>
        </w:tc>
        <w:tc>
          <w:tcPr>
            <w:tcW w:w="1843" w:type="dxa"/>
            <w:gridSpan w:val="2"/>
            <w:tcBorders>
              <w:top w:val="single" w:sz="4" w:space="0" w:color="000000"/>
              <w:bottom w:val="single" w:sz="4" w:space="0" w:color="000000"/>
            </w:tcBorders>
            <w:shd w:val="clear" w:color="auto" w:fill="auto"/>
            <w:vAlign w:val="center"/>
          </w:tcPr>
          <w:p w14:paraId="05FD1FD7" w14:textId="77777777" w:rsidR="00B1750B" w:rsidRPr="008A1CD6" w:rsidRDefault="00B1750B" w:rsidP="009A09DF">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5 202 172</w:t>
            </w:r>
          </w:p>
        </w:tc>
      </w:tr>
      <w:tr w:rsidR="00B1750B" w:rsidRPr="005A0A54" w14:paraId="55BADFA7" w14:textId="77777777" w:rsidTr="005645F2">
        <w:tblPrEx>
          <w:tblBorders>
            <w:insideH w:val="single" w:sz="4" w:space="0" w:color="auto"/>
          </w:tblBorders>
        </w:tblPrEx>
        <w:trPr>
          <w:trHeight w:val="70"/>
        </w:trPr>
        <w:tc>
          <w:tcPr>
            <w:tcW w:w="6661" w:type="dxa"/>
            <w:gridSpan w:val="3"/>
            <w:tcBorders>
              <w:top w:val="single" w:sz="4" w:space="0" w:color="auto"/>
              <w:bottom w:val="nil"/>
            </w:tcBorders>
            <w:shd w:val="clear" w:color="auto" w:fill="B8CCE4"/>
            <w:vAlign w:val="center"/>
          </w:tcPr>
          <w:p w14:paraId="59DA1D18" w14:textId="77777777" w:rsidR="00B1750B" w:rsidRPr="005A0A54" w:rsidRDefault="00B1750B" w:rsidP="009A09DF">
            <w:pPr>
              <w:spacing w:after="0" w:line="240" w:lineRule="auto"/>
              <w:rPr>
                <w:rFonts w:eastAsia="Times New Roman" w:cs="Times New Roman"/>
                <w:color w:val="17365D"/>
                <w:sz w:val="18"/>
                <w:szCs w:val="18"/>
                <w:lang w:eastAsia="lv-LV"/>
              </w:rPr>
            </w:pPr>
          </w:p>
        </w:tc>
        <w:tc>
          <w:tcPr>
            <w:tcW w:w="1701" w:type="dxa"/>
            <w:gridSpan w:val="2"/>
            <w:tcBorders>
              <w:top w:val="single" w:sz="4" w:space="0" w:color="auto"/>
              <w:bottom w:val="nil"/>
            </w:tcBorders>
            <w:shd w:val="clear" w:color="auto" w:fill="B8CCE4"/>
            <w:vAlign w:val="center"/>
          </w:tcPr>
          <w:p w14:paraId="1F9AFDF5" w14:textId="77777777" w:rsidR="00B1750B" w:rsidRPr="005A0A54" w:rsidRDefault="00B1750B" w:rsidP="009A09DF">
            <w:pPr>
              <w:spacing w:after="0" w:line="240" w:lineRule="auto"/>
              <w:jc w:val="center"/>
              <w:rPr>
                <w:rFonts w:eastAsia="Times New Roman" w:cs="Times New Roman"/>
                <w:color w:val="17365D"/>
                <w:sz w:val="18"/>
                <w:szCs w:val="18"/>
                <w:lang w:eastAsia="lv-LV"/>
              </w:rPr>
            </w:pPr>
          </w:p>
        </w:tc>
        <w:tc>
          <w:tcPr>
            <w:tcW w:w="1136" w:type="dxa"/>
            <w:tcBorders>
              <w:top w:val="single" w:sz="4" w:space="0" w:color="auto"/>
              <w:bottom w:val="nil"/>
            </w:tcBorders>
            <w:shd w:val="clear" w:color="auto" w:fill="B8CCE4"/>
          </w:tcPr>
          <w:p w14:paraId="180D6A7C" w14:textId="77777777" w:rsidR="00B1750B" w:rsidRPr="005A0A54" w:rsidRDefault="00B1750B" w:rsidP="009A09DF">
            <w:pPr>
              <w:spacing w:after="0" w:line="240" w:lineRule="auto"/>
              <w:jc w:val="right"/>
              <w:rPr>
                <w:rFonts w:eastAsia="Times New Roman" w:cs="Times New Roman"/>
                <w:color w:val="17365D"/>
                <w:sz w:val="18"/>
                <w:szCs w:val="18"/>
                <w:lang w:eastAsia="lv-LV"/>
              </w:rPr>
            </w:pPr>
          </w:p>
        </w:tc>
      </w:tr>
    </w:tbl>
    <w:p w14:paraId="63C9B362" w14:textId="77777777" w:rsidR="006E6B94" w:rsidRDefault="006E6B94" w:rsidP="00845526">
      <w:pPr>
        <w:pStyle w:val="Pamatteksts1"/>
        <w:rPr>
          <w:lang w:eastAsia="lv-LV"/>
        </w:rPr>
      </w:pPr>
    </w:p>
    <w:p w14:paraId="61D0FBB0" w14:textId="01BDA759" w:rsidR="00B952A9" w:rsidRDefault="00B952A9" w:rsidP="00845526">
      <w:pPr>
        <w:pStyle w:val="Pamatteksts1"/>
        <w:rPr>
          <w:lang w:eastAsia="lv-LV"/>
        </w:rPr>
      </w:pPr>
      <w:r w:rsidRPr="00AC0CAE">
        <w:rPr>
          <w:lang w:eastAsia="lv-LV"/>
        </w:rPr>
        <w:t xml:space="preserve">Informācija par </w:t>
      </w:r>
      <w:r w:rsidR="00D74D94">
        <w:rPr>
          <w:lang w:eastAsia="lv-LV"/>
        </w:rPr>
        <w:t>pārējiem</w:t>
      </w:r>
      <w:r w:rsidRPr="00AC0CAE">
        <w:rPr>
          <w:lang w:eastAsia="lv-LV"/>
        </w:rPr>
        <w:t xml:space="preserve"> ieņēmumiem </w:t>
      </w:r>
      <w:r w:rsidRPr="009C6F0C">
        <w:rPr>
          <w:lang w:eastAsia="lv-LV"/>
        </w:rPr>
        <w:t>uzrādīta 2.4. tabulā.</w:t>
      </w:r>
    </w:p>
    <w:p w14:paraId="29546DA6" w14:textId="6086CCA2" w:rsidR="00B952A9" w:rsidRPr="00AC0CAE" w:rsidRDefault="00B952A9" w:rsidP="00324AC5">
      <w:pPr>
        <w:pStyle w:val="Tabnosauk"/>
      </w:pPr>
      <w:r>
        <w:t xml:space="preserve">2.4. tabula. </w:t>
      </w:r>
      <w:r w:rsidR="00E807EB">
        <w:t>Pārējie</w:t>
      </w:r>
      <w:r>
        <w:t xml:space="preserve"> ieņēmumi (euro)</w:t>
      </w:r>
    </w:p>
    <w:tbl>
      <w:tblPr>
        <w:tblW w:w="9497" w:type="dxa"/>
        <w:tblLook w:val="04A0" w:firstRow="1" w:lastRow="0" w:firstColumn="1" w:lastColumn="0" w:noHBand="0" w:noVBand="1"/>
      </w:tblPr>
      <w:tblGrid>
        <w:gridCol w:w="5245"/>
        <w:gridCol w:w="2410"/>
        <w:gridCol w:w="1842"/>
      </w:tblGrid>
      <w:tr w:rsidR="00B952A9" w:rsidRPr="00AC0CAE" w14:paraId="279C9926" w14:textId="77777777" w:rsidTr="009A4177">
        <w:trPr>
          <w:trHeight w:val="510"/>
          <w:tblHeader/>
        </w:trPr>
        <w:tc>
          <w:tcPr>
            <w:tcW w:w="5245" w:type="dxa"/>
            <w:tcBorders>
              <w:bottom w:val="single" w:sz="4" w:space="0" w:color="17365D"/>
            </w:tcBorders>
            <w:shd w:val="clear" w:color="auto" w:fill="B8CCE4" w:themeFill="accent1" w:themeFillTint="66"/>
            <w:vAlign w:val="center"/>
            <w:hideMark/>
          </w:tcPr>
          <w:p w14:paraId="26FF438F"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Darījuma apraksts</w:t>
            </w:r>
          </w:p>
        </w:tc>
        <w:tc>
          <w:tcPr>
            <w:tcW w:w="2410" w:type="dxa"/>
            <w:tcBorders>
              <w:bottom w:val="single" w:sz="4" w:space="0" w:color="17365D"/>
            </w:tcBorders>
            <w:shd w:val="clear" w:color="auto" w:fill="B8CCE4" w:themeFill="accent1" w:themeFillTint="66"/>
            <w:vAlign w:val="center"/>
            <w:hideMark/>
          </w:tcPr>
          <w:p w14:paraId="29CF9F04"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Pārskata periodā</w:t>
            </w:r>
          </w:p>
        </w:tc>
        <w:tc>
          <w:tcPr>
            <w:tcW w:w="1842" w:type="dxa"/>
            <w:tcBorders>
              <w:bottom w:val="single" w:sz="4" w:space="0" w:color="17365D"/>
            </w:tcBorders>
            <w:shd w:val="clear" w:color="auto" w:fill="B8CCE4" w:themeFill="accent1" w:themeFillTint="66"/>
            <w:vAlign w:val="center"/>
          </w:tcPr>
          <w:p w14:paraId="1D141CAB"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Iepriekšējā pārskata periodā</w:t>
            </w:r>
          </w:p>
        </w:tc>
      </w:tr>
      <w:tr w:rsidR="00B952A9" w:rsidRPr="00AC0CAE" w14:paraId="5A4DEA6F" w14:textId="77777777" w:rsidTr="005645F2">
        <w:trPr>
          <w:trHeight w:val="255"/>
          <w:tblHeader/>
        </w:trPr>
        <w:tc>
          <w:tcPr>
            <w:tcW w:w="5245" w:type="dxa"/>
            <w:tcBorders>
              <w:top w:val="single" w:sz="4" w:space="0" w:color="17365D"/>
              <w:bottom w:val="single" w:sz="4" w:space="0" w:color="000000"/>
            </w:tcBorders>
            <w:shd w:val="clear" w:color="auto" w:fill="auto"/>
            <w:vAlign w:val="center"/>
            <w:hideMark/>
          </w:tcPr>
          <w:p w14:paraId="3DAC1627"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A</w:t>
            </w:r>
          </w:p>
        </w:tc>
        <w:tc>
          <w:tcPr>
            <w:tcW w:w="2410" w:type="dxa"/>
            <w:tcBorders>
              <w:top w:val="single" w:sz="4" w:space="0" w:color="17365D"/>
              <w:bottom w:val="single" w:sz="4" w:space="0" w:color="000000"/>
            </w:tcBorders>
            <w:shd w:val="clear" w:color="auto" w:fill="auto"/>
            <w:vAlign w:val="center"/>
            <w:hideMark/>
          </w:tcPr>
          <w:p w14:paraId="0DDABDB9"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1</w:t>
            </w:r>
          </w:p>
        </w:tc>
        <w:tc>
          <w:tcPr>
            <w:tcW w:w="1842" w:type="dxa"/>
            <w:tcBorders>
              <w:top w:val="single" w:sz="4" w:space="0" w:color="17365D"/>
              <w:bottom w:val="single" w:sz="4" w:space="0" w:color="000000"/>
            </w:tcBorders>
          </w:tcPr>
          <w:p w14:paraId="1BAD16BC"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2</w:t>
            </w:r>
          </w:p>
        </w:tc>
      </w:tr>
      <w:tr w:rsidR="00D74D94" w:rsidRPr="00AC0CAE" w14:paraId="3A14F473" w14:textId="77777777" w:rsidTr="00B779A5">
        <w:trPr>
          <w:trHeight w:val="261"/>
        </w:trPr>
        <w:tc>
          <w:tcPr>
            <w:tcW w:w="5245" w:type="dxa"/>
            <w:tcBorders>
              <w:top w:val="single" w:sz="4" w:space="0" w:color="000000"/>
              <w:bottom w:val="single" w:sz="4" w:space="0" w:color="000000"/>
            </w:tcBorders>
            <w:shd w:val="clear" w:color="auto" w:fill="auto"/>
            <w:vAlign w:val="center"/>
          </w:tcPr>
          <w:p w14:paraId="7A2790BE" w14:textId="13DCD726" w:rsidR="00D74D94" w:rsidRPr="00AC0CAE" w:rsidRDefault="00D74D94" w:rsidP="00D74D94">
            <w:pPr>
              <w:spacing w:after="0" w:line="240" w:lineRule="auto"/>
              <w:rPr>
                <w:rFonts w:eastAsia="Arial Unicode MS" w:cs="Times New Roman"/>
                <w:b/>
                <w:color w:val="17365D"/>
                <w:sz w:val="18"/>
                <w:szCs w:val="18"/>
              </w:rPr>
            </w:pPr>
            <w:r>
              <w:rPr>
                <w:rFonts w:eastAsia="Arial Unicode MS" w:cs="Times New Roman"/>
                <w:b/>
                <w:color w:val="17365D"/>
                <w:sz w:val="18"/>
                <w:szCs w:val="18"/>
              </w:rPr>
              <w:t>Pārējie i</w:t>
            </w:r>
            <w:r w:rsidRPr="00AC0CAE">
              <w:rPr>
                <w:rFonts w:eastAsia="Arial Unicode MS" w:cs="Times New Roman"/>
                <w:b/>
                <w:color w:val="17365D"/>
                <w:sz w:val="18"/>
                <w:szCs w:val="18"/>
              </w:rPr>
              <w:t>eņēmum</w:t>
            </w:r>
            <w:r>
              <w:rPr>
                <w:rFonts w:eastAsia="Arial Unicode MS" w:cs="Times New Roman"/>
                <w:b/>
                <w:color w:val="17365D"/>
                <w:sz w:val="18"/>
                <w:szCs w:val="18"/>
              </w:rPr>
              <w:t>i</w:t>
            </w:r>
          </w:p>
        </w:tc>
        <w:tc>
          <w:tcPr>
            <w:tcW w:w="2410" w:type="dxa"/>
            <w:tcBorders>
              <w:top w:val="single" w:sz="4" w:space="0" w:color="000000"/>
              <w:bottom w:val="single" w:sz="4" w:space="0" w:color="000000"/>
            </w:tcBorders>
            <w:shd w:val="clear" w:color="auto" w:fill="auto"/>
            <w:vAlign w:val="center"/>
          </w:tcPr>
          <w:p w14:paraId="5AE8C2DB" w14:textId="7E1B1D9F" w:rsidR="00D74D94" w:rsidRPr="00AC0CAE" w:rsidRDefault="00D74D94" w:rsidP="00D74D94">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1 166 665 210</w:t>
            </w:r>
          </w:p>
        </w:tc>
        <w:tc>
          <w:tcPr>
            <w:tcW w:w="1842" w:type="dxa"/>
            <w:tcBorders>
              <w:top w:val="single" w:sz="4" w:space="0" w:color="000000"/>
              <w:bottom w:val="single" w:sz="4" w:space="0" w:color="000000"/>
            </w:tcBorders>
            <w:shd w:val="clear" w:color="auto" w:fill="auto"/>
            <w:vAlign w:val="center"/>
          </w:tcPr>
          <w:p w14:paraId="2E8832E3" w14:textId="7284EC25" w:rsidR="00D74D94" w:rsidRPr="00AC0CAE" w:rsidRDefault="00D74D94" w:rsidP="00D74D94">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1 241 890 913</w:t>
            </w:r>
          </w:p>
        </w:tc>
      </w:tr>
      <w:tr w:rsidR="00D74D94" w:rsidRPr="00AC0CAE" w14:paraId="26188798" w14:textId="77777777" w:rsidTr="00B779A5">
        <w:trPr>
          <w:trHeight w:val="261"/>
        </w:trPr>
        <w:tc>
          <w:tcPr>
            <w:tcW w:w="5245" w:type="dxa"/>
            <w:tcBorders>
              <w:top w:val="single" w:sz="4" w:space="0" w:color="000000"/>
              <w:bottom w:val="single" w:sz="4" w:space="0" w:color="000000"/>
            </w:tcBorders>
            <w:shd w:val="clear" w:color="auto" w:fill="auto"/>
            <w:vAlign w:val="center"/>
          </w:tcPr>
          <w:p w14:paraId="50F2AC47"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saistību, kas nav finanšu instrumenti, dzēšanas</w:t>
            </w:r>
          </w:p>
        </w:tc>
        <w:tc>
          <w:tcPr>
            <w:tcW w:w="2410" w:type="dxa"/>
            <w:tcBorders>
              <w:top w:val="single" w:sz="4" w:space="0" w:color="000000"/>
              <w:bottom w:val="single" w:sz="4" w:space="0" w:color="000000"/>
            </w:tcBorders>
            <w:shd w:val="clear" w:color="auto" w:fill="auto"/>
            <w:vAlign w:val="center"/>
          </w:tcPr>
          <w:p w14:paraId="08C80B18" w14:textId="3E672DE6"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10 441 781</w:t>
            </w:r>
          </w:p>
        </w:tc>
        <w:tc>
          <w:tcPr>
            <w:tcW w:w="1842" w:type="dxa"/>
            <w:tcBorders>
              <w:top w:val="single" w:sz="4" w:space="0" w:color="000000"/>
              <w:bottom w:val="single" w:sz="4" w:space="0" w:color="000000"/>
            </w:tcBorders>
            <w:shd w:val="clear" w:color="auto" w:fill="auto"/>
            <w:vAlign w:val="center"/>
          </w:tcPr>
          <w:p w14:paraId="7D5E4F63" w14:textId="16A5CEB8" w:rsidR="00D74D94" w:rsidRPr="00AC0CAE" w:rsidRDefault="00D74D94" w:rsidP="00D74D94">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7 932 929</w:t>
            </w:r>
          </w:p>
        </w:tc>
      </w:tr>
      <w:tr w:rsidR="00D74D94" w:rsidRPr="00AC0CAE" w14:paraId="57D38D89"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1616AB29"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ilgtermiņa aktīvu sākotnējās atzīšanas, izņemot bioloģiskos aktīvus lauksaimnieciskajai darbībai</w:t>
            </w:r>
          </w:p>
        </w:tc>
        <w:tc>
          <w:tcPr>
            <w:tcW w:w="2410" w:type="dxa"/>
            <w:tcBorders>
              <w:top w:val="single" w:sz="4" w:space="0" w:color="000000"/>
              <w:bottom w:val="single" w:sz="4" w:space="0" w:color="000000"/>
            </w:tcBorders>
            <w:shd w:val="clear" w:color="auto" w:fill="auto"/>
            <w:vAlign w:val="center"/>
            <w:hideMark/>
          </w:tcPr>
          <w:p w14:paraId="7EB10EAB" w14:textId="78963A1A"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129 400 508</w:t>
            </w:r>
          </w:p>
        </w:tc>
        <w:tc>
          <w:tcPr>
            <w:tcW w:w="1842" w:type="dxa"/>
            <w:tcBorders>
              <w:top w:val="single" w:sz="4" w:space="0" w:color="000000"/>
              <w:bottom w:val="single" w:sz="4" w:space="0" w:color="000000"/>
            </w:tcBorders>
            <w:shd w:val="clear" w:color="auto" w:fill="auto"/>
            <w:vAlign w:val="center"/>
          </w:tcPr>
          <w:p w14:paraId="698CC0F6" w14:textId="03AE2A5F"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154 077 247</w:t>
            </w:r>
          </w:p>
        </w:tc>
      </w:tr>
      <w:tr w:rsidR="00D74D94" w:rsidRPr="00AC0CAE" w14:paraId="1949A7EE"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69E99762"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īstermiņa aktīvu sākotnējās atzīšanas, izņemot lauksaimniecības produktus</w:t>
            </w:r>
          </w:p>
        </w:tc>
        <w:tc>
          <w:tcPr>
            <w:tcW w:w="2410" w:type="dxa"/>
            <w:tcBorders>
              <w:top w:val="single" w:sz="4" w:space="0" w:color="000000"/>
              <w:bottom w:val="single" w:sz="4" w:space="0" w:color="000000"/>
            </w:tcBorders>
            <w:shd w:val="clear" w:color="auto" w:fill="auto"/>
            <w:vAlign w:val="center"/>
            <w:hideMark/>
          </w:tcPr>
          <w:p w14:paraId="416189E8" w14:textId="1ADBA9ED"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78 371 005</w:t>
            </w:r>
          </w:p>
        </w:tc>
        <w:tc>
          <w:tcPr>
            <w:tcW w:w="1842" w:type="dxa"/>
            <w:tcBorders>
              <w:top w:val="single" w:sz="4" w:space="0" w:color="000000"/>
              <w:bottom w:val="single" w:sz="4" w:space="0" w:color="000000"/>
            </w:tcBorders>
            <w:shd w:val="clear" w:color="auto" w:fill="auto"/>
            <w:vAlign w:val="center"/>
          </w:tcPr>
          <w:p w14:paraId="55F4540F" w14:textId="5B17FA65"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19 914 205</w:t>
            </w:r>
          </w:p>
        </w:tc>
      </w:tr>
      <w:tr w:rsidR="00D74D94" w:rsidRPr="00AC0CAE" w14:paraId="4F2DF483"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39BC1F31"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uzkrājumu norakstīšanas</w:t>
            </w:r>
          </w:p>
        </w:tc>
        <w:tc>
          <w:tcPr>
            <w:tcW w:w="2410" w:type="dxa"/>
            <w:tcBorders>
              <w:top w:val="single" w:sz="4" w:space="0" w:color="000000"/>
              <w:bottom w:val="single" w:sz="4" w:space="0" w:color="000000"/>
            </w:tcBorders>
            <w:shd w:val="clear" w:color="auto" w:fill="auto"/>
            <w:vAlign w:val="center"/>
            <w:hideMark/>
          </w:tcPr>
          <w:p w14:paraId="01056A74" w14:textId="77F6E3D6"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72 238 630</w:t>
            </w:r>
          </w:p>
        </w:tc>
        <w:tc>
          <w:tcPr>
            <w:tcW w:w="1842" w:type="dxa"/>
            <w:tcBorders>
              <w:top w:val="single" w:sz="4" w:space="0" w:color="000000"/>
              <w:bottom w:val="single" w:sz="4" w:space="0" w:color="000000"/>
            </w:tcBorders>
            <w:shd w:val="clear" w:color="auto" w:fill="auto"/>
            <w:vAlign w:val="center"/>
          </w:tcPr>
          <w:p w14:paraId="47D19AD7" w14:textId="7DF05F78"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184 841 779</w:t>
            </w:r>
          </w:p>
        </w:tc>
      </w:tr>
      <w:tr w:rsidR="00D74D94" w:rsidRPr="00AC0CAE" w14:paraId="12EA8648"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310A12B1"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bioloģisko aktīvu lauksaimnieciskajai darbībai un lauksaimniecības produktu sākotnējās atzīšanas un uzskaites vērtības izmaiņām pārskata perioda beigās</w:t>
            </w:r>
          </w:p>
        </w:tc>
        <w:tc>
          <w:tcPr>
            <w:tcW w:w="2410" w:type="dxa"/>
            <w:tcBorders>
              <w:top w:val="single" w:sz="4" w:space="0" w:color="000000"/>
              <w:bottom w:val="single" w:sz="4" w:space="0" w:color="000000"/>
            </w:tcBorders>
            <w:shd w:val="clear" w:color="auto" w:fill="auto"/>
            <w:vAlign w:val="center"/>
            <w:hideMark/>
          </w:tcPr>
          <w:p w14:paraId="6A7BE69E" w14:textId="2BFD3214"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38 680 253</w:t>
            </w:r>
          </w:p>
        </w:tc>
        <w:tc>
          <w:tcPr>
            <w:tcW w:w="1842" w:type="dxa"/>
            <w:tcBorders>
              <w:top w:val="single" w:sz="4" w:space="0" w:color="000000"/>
              <w:bottom w:val="single" w:sz="4" w:space="0" w:color="000000"/>
            </w:tcBorders>
            <w:shd w:val="clear" w:color="auto" w:fill="auto"/>
            <w:vAlign w:val="center"/>
          </w:tcPr>
          <w:p w14:paraId="2E4B1ED4" w14:textId="4EA7DF32" w:rsidR="00D74D94" w:rsidRPr="00AC0CAE" w:rsidRDefault="00D74D94" w:rsidP="00D74D94">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42 123 842</w:t>
            </w:r>
          </w:p>
        </w:tc>
      </w:tr>
      <w:tr w:rsidR="00D74D94" w:rsidRPr="00AC0CAE" w14:paraId="7C0EDE80"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4A2E34C6"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Kompensācija no trešajām pusēm par ilgtermiņa ieguldījuma vērtības samazināšanos, zaudētu vai atdotu ilgtermiņa ieguldījumu</w:t>
            </w:r>
          </w:p>
        </w:tc>
        <w:tc>
          <w:tcPr>
            <w:tcW w:w="2410" w:type="dxa"/>
            <w:tcBorders>
              <w:top w:val="single" w:sz="4" w:space="0" w:color="000000"/>
              <w:bottom w:val="single" w:sz="4" w:space="0" w:color="000000"/>
            </w:tcBorders>
            <w:shd w:val="clear" w:color="auto" w:fill="auto"/>
            <w:vAlign w:val="center"/>
            <w:hideMark/>
          </w:tcPr>
          <w:p w14:paraId="69AB67BE" w14:textId="6E14985C"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1 334 657</w:t>
            </w:r>
          </w:p>
        </w:tc>
        <w:tc>
          <w:tcPr>
            <w:tcW w:w="1842" w:type="dxa"/>
            <w:tcBorders>
              <w:top w:val="single" w:sz="4" w:space="0" w:color="000000"/>
              <w:bottom w:val="single" w:sz="4" w:space="0" w:color="000000"/>
            </w:tcBorders>
            <w:shd w:val="clear" w:color="auto" w:fill="auto"/>
            <w:vAlign w:val="center"/>
          </w:tcPr>
          <w:p w14:paraId="6FB7DFBA" w14:textId="0B8CE909" w:rsidR="00D74D94" w:rsidRPr="00AC0CAE" w:rsidRDefault="00D74D94" w:rsidP="00D74D94">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596 890</w:t>
            </w:r>
          </w:p>
        </w:tc>
      </w:tr>
      <w:tr w:rsidR="00D74D94" w:rsidRPr="00AC0CAE" w14:paraId="2C88329C"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617ABF1F"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ilgtermiņa finanšu ieguldījumu pārvērtēšanas vai pārsnieguma</w:t>
            </w:r>
          </w:p>
        </w:tc>
        <w:tc>
          <w:tcPr>
            <w:tcW w:w="2410" w:type="dxa"/>
            <w:tcBorders>
              <w:top w:val="single" w:sz="4" w:space="0" w:color="000000"/>
              <w:bottom w:val="single" w:sz="4" w:space="0" w:color="000000"/>
            </w:tcBorders>
            <w:shd w:val="clear" w:color="auto" w:fill="auto"/>
            <w:vAlign w:val="center"/>
            <w:hideMark/>
          </w:tcPr>
          <w:p w14:paraId="3D02F462" w14:textId="0BC8744F"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602 605 896</w:t>
            </w:r>
          </w:p>
        </w:tc>
        <w:tc>
          <w:tcPr>
            <w:tcW w:w="1842" w:type="dxa"/>
            <w:tcBorders>
              <w:top w:val="single" w:sz="4" w:space="0" w:color="000000"/>
              <w:bottom w:val="single" w:sz="4" w:space="0" w:color="000000"/>
            </w:tcBorders>
            <w:shd w:val="clear" w:color="auto" w:fill="auto"/>
            <w:vAlign w:val="center"/>
          </w:tcPr>
          <w:p w14:paraId="35663190" w14:textId="70E53350"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771 046 281</w:t>
            </w:r>
          </w:p>
        </w:tc>
      </w:tr>
      <w:tr w:rsidR="00D74D94" w:rsidRPr="00AC0CAE" w14:paraId="7819701B" w14:textId="77777777" w:rsidTr="00B779A5">
        <w:trPr>
          <w:trHeight w:val="261"/>
        </w:trPr>
        <w:tc>
          <w:tcPr>
            <w:tcW w:w="5245" w:type="dxa"/>
            <w:tcBorders>
              <w:top w:val="single" w:sz="4" w:space="0" w:color="000000"/>
              <w:bottom w:val="single" w:sz="4" w:space="0" w:color="000000"/>
            </w:tcBorders>
            <w:shd w:val="clear" w:color="auto" w:fill="auto"/>
            <w:vAlign w:val="center"/>
            <w:hideMark/>
          </w:tcPr>
          <w:p w14:paraId="000A6796"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mantiska ieguldījuma radniecīgajās un asociētajās kapitālsabiedrībās</w:t>
            </w:r>
          </w:p>
        </w:tc>
        <w:tc>
          <w:tcPr>
            <w:tcW w:w="2410" w:type="dxa"/>
            <w:tcBorders>
              <w:top w:val="single" w:sz="4" w:space="0" w:color="000000"/>
              <w:bottom w:val="single" w:sz="4" w:space="0" w:color="000000"/>
            </w:tcBorders>
            <w:shd w:val="clear" w:color="auto" w:fill="auto"/>
            <w:vAlign w:val="center"/>
            <w:hideMark/>
          </w:tcPr>
          <w:p w14:paraId="2A34A1F6" w14:textId="5EB2CEAA"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64 151 053</w:t>
            </w:r>
          </w:p>
        </w:tc>
        <w:tc>
          <w:tcPr>
            <w:tcW w:w="1842" w:type="dxa"/>
            <w:tcBorders>
              <w:top w:val="single" w:sz="4" w:space="0" w:color="000000"/>
              <w:bottom w:val="single" w:sz="4" w:space="0" w:color="000000"/>
            </w:tcBorders>
            <w:shd w:val="clear" w:color="auto" w:fill="auto"/>
            <w:vAlign w:val="center"/>
          </w:tcPr>
          <w:p w14:paraId="40362440" w14:textId="7CC1934C" w:rsidR="00D74D94" w:rsidRPr="00AC0CAE" w:rsidRDefault="00D74D94" w:rsidP="00D74D94">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17 199 891</w:t>
            </w:r>
          </w:p>
        </w:tc>
      </w:tr>
      <w:tr w:rsidR="00D74D94" w:rsidRPr="00AC0CAE" w14:paraId="64B792F0" w14:textId="77777777" w:rsidTr="00B779A5">
        <w:trPr>
          <w:trHeight w:val="261"/>
        </w:trPr>
        <w:tc>
          <w:tcPr>
            <w:tcW w:w="5245" w:type="dxa"/>
            <w:tcBorders>
              <w:top w:val="single" w:sz="4" w:space="0" w:color="000000"/>
              <w:bottom w:val="single" w:sz="4" w:space="0" w:color="000000"/>
            </w:tcBorders>
            <w:shd w:val="clear" w:color="auto" w:fill="auto"/>
            <w:vAlign w:val="center"/>
          </w:tcPr>
          <w:p w14:paraId="02EEB93E"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valūtas kursu svārstībām, kas neattiecas uz finanšu instrumentiem</w:t>
            </w:r>
          </w:p>
        </w:tc>
        <w:tc>
          <w:tcPr>
            <w:tcW w:w="2410" w:type="dxa"/>
            <w:tcBorders>
              <w:top w:val="single" w:sz="4" w:space="0" w:color="000000"/>
              <w:bottom w:val="single" w:sz="4" w:space="0" w:color="000000"/>
            </w:tcBorders>
            <w:shd w:val="clear" w:color="auto" w:fill="auto"/>
            <w:vAlign w:val="center"/>
          </w:tcPr>
          <w:p w14:paraId="1B4535B3" w14:textId="620888F4"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45 337 162</w:t>
            </w:r>
          </w:p>
        </w:tc>
        <w:tc>
          <w:tcPr>
            <w:tcW w:w="1842" w:type="dxa"/>
            <w:tcBorders>
              <w:top w:val="single" w:sz="4" w:space="0" w:color="000000"/>
              <w:bottom w:val="single" w:sz="4" w:space="0" w:color="000000"/>
            </w:tcBorders>
            <w:shd w:val="clear" w:color="auto" w:fill="auto"/>
            <w:vAlign w:val="center"/>
          </w:tcPr>
          <w:p w14:paraId="4929D405" w14:textId="1A7A13B1" w:rsidR="00D74D94" w:rsidRPr="00AC0CAE" w:rsidRDefault="00D74D94" w:rsidP="00D74D94">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2 648 591</w:t>
            </w:r>
          </w:p>
        </w:tc>
      </w:tr>
      <w:tr w:rsidR="00D74D94" w:rsidRPr="00AC0CAE" w14:paraId="4FD80ED4" w14:textId="77777777" w:rsidTr="00B779A5">
        <w:trPr>
          <w:trHeight w:val="261"/>
        </w:trPr>
        <w:tc>
          <w:tcPr>
            <w:tcW w:w="5245" w:type="dxa"/>
            <w:tcBorders>
              <w:top w:val="single" w:sz="4" w:space="0" w:color="000000"/>
              <w:bottom w:val="single" w:sz="4" w:space="0" w:color="000000"/>
            </w:tcBorders>
            <w:shd w:val="clear" w:color="auto" w:fill="auto"/>
            <w:vAlign w:val="center"/>
          </w:tcPr>
          <w:p w14:paraId="718CFA32"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Pārējie darījumi</w:t>
            </w:r>
          </w:p>
        </w:tc>
        <w:tc>
          <w:tcPr>
            <w:tcW w:w="2410" w:type="dxa"/>
            <w:tcBorders>
              <w:top w:val="single" w:sz="4" w:space="0" w:color="000000"/>
              <w:bottom w:val="single" w:sz="4" w:space="0" w:color="000000"/>
            </w:tcBorders>
            <w:shd w:val="clear" w:color="auto" w:fill="auto"/>
            <w:vAlign w:val="center"/>
          </w:tcPr>
          <w:p w14:paraId="4867376A" w14:textId="6FF1F5E4"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113 094 376</w:t>
            </w:r>
          </w:p>
        </w:tc>
        <w:tc>
          <w:tcPr>
            <w:tcW w:w="1842" w:type="dxa"/>
            <w:tcBorders>
              <w:top w:val="single" w:sz="4" w:space="0" w:color="000000"/>
              <w:bottom w:val="single" w:sz="4" w:space="0" w:color="000000"/>
            </w:tcBorders>
            <w:shd w:val="clear" w:color="auto" w:fill="auto"/>
            <w:vAlign w:val="center"/>
          </w:tcPr>
          <w:p w14:paraId="3AC5C309" w14:textId="2D181C50"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28 050 372</w:t>
            </w:r>
          </w:p>
        </w:tc>
      </w:tr>
      <w:tr w:rsidR="00D74D94" w:rsidRPr="00AC0CAE" w14:paraId="4EDAD3CE" w14:textId="77777777" w:rsidTr="00B779A5">
        <w:trPr>
          <w:trHeight w:val="261"/>
        </w:trPr>
        <w:tc>
          <w:tcPr>
            <w:tcW w:w="5245" w:type="dxa"/>
            <w:tcBorders>
              <w:top w:val="single" w:sz="4" w:space="0" w:color="000000"/>
              <w:bottom w:val="single" w:sz="4" w:space="0" w:color="17365D"/>
            </w:tcBorders>
            <w:shd w:val="clear" w:color="auto" w:fill="auto"/>
            <w:vAlign w:val="center"/>
          </w:tcPr>
          <w:p w14:paraId="2EBDBDB3" w14:textId="77777777" w:rsidR="00D74D94" w:rsidRPr="00AC0CAE" w:rsidRDefault="00D74D94" w:rsidP="00D74D94">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pārējo rezervju izslēgšanas</w:t>
            </w:r>
          </w:p>
        </w:tc>
        <w:tc>
          <w:tcPr>
            <w:tcW w:w="2410" w:type="dxa"/>
            <w:tcBorders>
              <w:top w:val="single" w:sz="4" w:space="0" w:color="000000"/>
              <w:bottom w:val="single" w:sz="4" w:space="0" w:color="17365D"/>
            </w:tcBorders>
            <w:shd w:val="clear" w:color="auto" w:fill="auto"/>
            <w:vAlign w:val="center"/>
          </w:tcPr>
          <w:p w14:paraId="402337F8" w14:textId="02D01E90" w:rsidR="00D74D94" w:rsidRPr="00AC0CAE" w:rsidRDefault="00D74D94" w:rsidP="00D74D94">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11 009 889</w:t>
            </w:r>
          </w:p>
        </w:tc>
        <w:tc>
          <w:tcPr>
            <w:tcW w:w="1842" w:type="dxa"/>
            <w:tcBorders>
              <w:top w:val="single" w:sz="4" w:space="0" w:color="000000"/>
              <w:bottom w:val="single" w:sz="4" w:space="0" w:color="17365D"/>
            </w:tcBorders>
            <w:shd w:val="clear" w:color="auto" w:fill="auto"/>
            <w:vAlign w:val="center"/>
          </w:tcPr>
          <w:p w14:paraId="22270AEC" w14:textId="7F7F1DFE" w:rsidR="00D74D94" w:rsidRPr="00AC0CAE" w:rsidRDefault="00D74D94" w:rsidP="00D74D94">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13 458 886</w:t>
            </w:r>
          </w:p>
        </w:tc>
      </w:tr>
      <w:tr w:rsidR="00B952A9" w:rsidRPr="00AC0CAE" w14:paraId="54094D4C" w14:textId="77777777" w:rsidTr="005645F2">
        <w:trPr>
          <w:trHeight w:val="159"/>
        </w:trPr>
        <w:tc>
          <w:tcPr>
            <w:tcW w:w="5245" w:type="dxa"/>
            <w:tcBorders>
              <w:top w:val="single" w:sz="4" w:space="0" w:color="17365D"/>
              <w:bottom w:val="nil"/>
              <w:right w:val="nil"/>
            </w:tcBorders>
            <w:shd w:val="clear" w:color="auto" w:fill="B8CCE4" w:themeFill="accent1" w:themeFillTint="66"/>
            <w:vAlign w:val="center"/>
          </w:tcPr>
          <w:p w14:paraId="3BFC5808" w14:textId="77777777" w:rsidR="00B952A9" w:rsidRPr="00A27896" w:rsidRDefault="00B952A9" w:rsidP="002A1FD2">
            <w:pPr>
              <w:spacing w:after="0" w:line="240" w:lineRule="auto"/>
              <w:rPr>
                <w:rFonts w:eastAsia="Arial Unicode MS" w:cs="Times New Roman"/>
                <w:b/>
                <w:color w:val="17365D"/>
                <w:sz w:val="18"/>
                <w:szCs w:val="18"/>
              </w:rPr>
            </w:pPr>
          </w:p>
        </w:tc>
        <w:tc>
          <w:tcPr>
            <w:tcW w:w="2410" w:type="dxa"/>
            <w:tcBorders>
              <w:top w:val="single" w:sz="4" w:space="0" w:color="17365D"/>
              <w:left w:val="nil"/>
              <w:bottom w:val="nil"/>
              <w:right w:val="nil"/>
            </w:tcBorders>
            <w:shd w:val="clear" w:color="auto" w:fill="B8CCE4" w:themeFill="accent1" w:themeFillTint="66"/>
            <w:vAlign w:val="center"/>
          </w:tcPr>
          <w:p w14:paraId="5ACA0EB6" w14:textId="77777777" w:rsidR="00B952A9" w:rsidRPr="00A27896" w:rsidRDefault="00B952A9" w:rsidP="002A1FD2">
            <w:pPr>
              <w:spacing w:after="0" w:line="240" w:lineRule="auto"/>
              <w:jc w:val="right"/>
              <w:rPr>
                <w:rFonts w:eastAsia="Arial Unicode MS" w:cs="Times New Roman"/>
                <w:b/>
                <w:color w:val="17365D"/>
                <w:sz w:val="18"/>
                <w:szCs w:val="18"/>
              </w:rPr>
            </w:pPr>
          </w:p>
        </w:tc>
        <w:tc>
          <w:tcPr>
            <w:tcW w:w="1842" w:type="dxa"/>
            <w:tcBorders>
              <w:top w:val="single" w:sz="4" w:space="0" w:color="17365D"/>
              <w:left w:val="nil"/>
              <w:bottom w:val="nil"/>
              <w:right w:val="nil"/>
            </w:tcBorders>
            <w:shd w:val="clear" w:color="auto" w:fill="B8CCE4" w:themeFill="accent1" w:themeFillTint="66"/>
            <w:vAlign w:val="center"/>
          </w:tcPr>
          <w:p w14:paraId="14A333DC" w14:textId="77777777" w:rsidR="00B952A9" w:rsidRPr="00A27896" w:rsidRDefault="00B952A9" w:rsidP="002A1FD2">
            <w:pPr>
              <w:spacing w:after="0" w:line="240" w:lineRule="auto"/>
              <w:jc w:val="right"/>
              <w:rPr>
                <w:rFonts w:eastAsia="Arial Unicode MS" w:cs="Times New Roman"/>
                <w:b/>
                <w:color w:val="17365D"/>
                <w:sz w:val="18"/>
                <w:szCs w:val="18"/>
              </w:rPr>
            </w:pPr>
          </w:p>
        </w:tc>
      </w:tr>
    </w:tbl>
    <w:p w14:paraId="5BE7917B" w14:textId="77777777" w:rsidR="006E6B94" w:rsidRDefault="006E6B94" w:rsidP="003202B7">
      <w:pPr>
        <w:pStyle w:val="Pamatteksts1"/>
      </w:pPr>
    </w:p>
    <w:p w14:paraId="1973CE08" w14:textId="4BF39D55" w:rsidR="00B952A9" w:rsidRDefault="00B952A9" w:rsidP="003202B7">
      <w:pPr>
        <w:pStyle w:val="Pamatteksts1"/>
      </w:pPr>
      <w:r w:rsidRPr="003202B7">
        <w:t>Informācija par ieņēmumiem no aktīvu vērtības samazinājuma norakstīšanas uzrādīta 2.5. tabulā.</w:t>
      </w:r>
    </w:p>
    <w:p w14:paraId="02C48327" w14:textId="77777777" w:rsidR="008B42E4" w:rsidRDefault="008B42E4" w:rsidP="003202B7">
      <w:pPr>
        <w:pStyle w:val="Pamatteksts1"/>
      </w:pPr>
    </w:p>
    <w:p w14:paraId="372C39C2" w14:textId="77777777" w:rsidR="008B42E4" w:rsidRDefault="008B42E4" w:rsidP="003202B7">
      <w:pPr>
        <w:pStyle w:val="Pamatteksts1"/>
      </w:pPr>
    </w:p>
    <w:p w14:paraId="2F9724D7" w14:textId="77777777" w:rsidR="008B42E4" w:rsidRDefault="008B42E4" w:rsidP="003202B7">
      <w:pPr>
        <w:pStyle w:val="Pamatteksts1"/>
      </w:pPr>
    </w:p>
    <w:p w14:paraId="318C9D9A" w14:textId="77777777" w:rsidR="008B42E4" w:rsidRDefault="008B42E4" w:rsidP="00324AC5">
      <w:pPr>
        <w:pStyle w:val="Tabnosauk"/>
      </w:pPr>
    </w:p>
    <w:p w14:paraId="0AB3DB42" w14:textId="36B0A3E7" w:rsidR="00B952A9" w:rsidRPr="00E6180B" w:rsidRDefault="00B952A9" w:rsidP="00324AC5">
      <w:pPr>
        <w:pStyle w:val="Tabnosauk"/>
      </w:pPr>
      <w:r>
        <w:lastRenderedPageBreak/>
        <w:t>2.5</w:t>
      </w:r>
      <w:r w:rsidRPr="00E6180B">
        <w:t>. tabula. Ieņēmumi no aktīvu vērtības samazinājuma norakstīšanas (euro)</w:t>
      </w:r>
    </w:p>
    <w:tbl>
      <w:tblPr>
        <w:tblW w:w="9497" w:type="dxa"/>
        <w:tblLook w:val="04A0" w:firstRow="1" w:lastRow="0" w:firstColumn="1" w:lastColumn="0" w:noHBand="0" w:noVBand="1"/>
      </w:tblPr>
      <w:tblGrid>
        <w:gridCol w:w="5670"/>
        <w:gridCol w:w="1984"/>
        <w:gridCol w:w="1843"/>
      </w:tblGrid>
      <w:tr w:rsidR="00B952A9" w:rsidRPr="00E6180B" w14:paraId="45F724BB" w14:textId="77777777" w:rsidTr="009A4177">
        <w:trPr>
          <w:trHeight w:val="255"/>
          <w:tblHeader/>
        </w:trPr>
        <w:tc>
          <w:tcPr>
            <w:tcW w:w="5670" w:type="dxa"/>
            <w:tcBorders>
              <w:top w:val="nil"/>
              <w:bottom w:val="single" w:sz="4" w:space="0" w:color="17365D"/>
            </w:tcBorders>
            <w:shd w:val="clear" w:color="auto" w:fill="B8CCE4" w:themeFill="accent1" w:themeFillTint="66"/>
            <w:vAlign w:val="center"/>
            <w:hideMark/>
          </w:tcPr>
          <w:p w14:paraId="30EF17FE"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Darījuma apraksts</w:t>
            </w:r>
          </w:p>
        </w:tc>
        <w:tc>
          <w:tcPr>
            <w:tcW w:w="1984" w:type="dxa"/>
            <w:tcBorders>
              <w:top w:val="nil"/>
              <w:bottom w:val="single" w:sz="4" w:space="0" w:color="17365D"/>
            </w:tcBorders>
            <w:shd w:val="clear" w:color="auto" w:fill="B8CCE4" w:themeFill="accent1" w:themeFillTint="66"/>
            <w:vAlign w:val="center"/>
            <w:hideMark/>
          </w:tcPr>
          <w:p w14:paraId="5F783AC5"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Pārskata periodā</w:t>
            </w:r>
          </w:p>
        </w:tc>
        <w:tc>
          <w:tcPr>
            <w:tcW w:w="1843" w:type="dxa"/>
            <w:tcBorders>
              <w:top w:val="nil"/>
              <w:bottom w:val="single" w:sz="4" w:space="0" w:color="17365D"/>
            </w:tcBorders>
            <w:shd w:val="clear" w:color="auto" w:fill="B8CCE4" w:themeFill="accent1" w:themeFillTint="66"/>
            <w:vAlign w:val="center"/>
          </w:tcPr>
          <w:p w14:paraId="22738D0E"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Iepriekšējā pārskata periodā</w:t>
            </w:r>
          </w:p>
        </w:tc>
      </w:tr>
      <w:tr w:rsidR="00B952A9" w:rsidRPr="00E6180B" w14:paraId="619AC2C3" w14:textId="77777777" w:rsidTr="005645F2">
        <w:trPr>
          <w:trHeight w:val="255"/>
          <w:tblHeader/>
        </w:trPr>
        <w:tc>
          <w:tcPr>
            <w:tcW w:w="5670" w:type="dxa"/>
            <w:tcBorders>
              <w:top w:val="single" w:sz="4" w:space="0" w:color="17365D"/>
              <w:bottom w:val="single" w:sz="4" w:space="0" w:color="000000"/>
            </w:tcBorders>
            <w:shd w:val="clear" w:color="auto" w:fill="auto"/>
            <w:vAlign w:val="center"/>
            <w:hideMark/>
          </w:tcPr>
          <w:p w14:paraId="35490130"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A</w:t>
            </w:r>
          </w:p>
        </w:tc>
        <w:tc>
          <w:tcPr>
            <w:tcW w:w="1984" w:type="dxa"/>
            <w:tcBorders>
              <w:top w:val="single" w:sz="4" w:space="0" w:color="17365D"/>
              <w:bottom w:val="single" w:sz="4" w:space="0" w:color="000000"/>
            </w:tcBorders>
            <w:shd w:val="clear" w:color="auto" w:fill="auto"/>
            <w:vAlign w:val="center"/>
            <w:hideMark/>
          </w:tcPr>
          <w:p w14:paraId="4CBF4D74"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1</w:t>
            </w:r>
          </w:p>
        </w:tc>
        <w:tc>
          <w:tcPr>
            <w:tcW w:w="1843" w:type="dxa"/>
            <w:tcBorders>
              <w:top w:val="single" w:sz="4" w:space="0" w:color="17365D"/>
              <w:bottom w:val="single" w:sz="4" w:space="0" w:color="000000"/>
            </w:tcBorders>
          </w:tcPr>
          <w:p w14:paraId="620B2BC3" w14:textId="77777777" w:rsidR="00B952A9" w:rsidRPr="00E6180B" w:rsidRDefault="00B952A9" w:rsidP="002A1FD2">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2</w:t>
            </w:r>
          </w:p>
        </w:tc>
      </w:tr>
      <w:tr w:rsidR="00E75BD2" w:rsidRPr="00E6180B" w14:paraId="511C2FE2" w14:textId="77777777" w:rsidTr="00B779A5">
        <w:trPr>
          <w:trHeight w:val="261"/>
        </w:trPr>
        <w:tc>
          <w:tcPr>
            <w:tcW w:w="5670" w:type="dxa"/>
            <w:tcBorders>
              <w:top w:val="single" w:sz="4" w:space="0" w:color="000000"/>
              <w:bottom w:val="single" w:sz="4" w:space="0" w:color="000000"/>
            </w:tcBorders>
            <w:shd w:val="clear" w:color="auto" w:fill="auto"/>
            <w:vAlign w:val="center"/>
          </w:tcPr>
          <w:p w14:paraId="092E9466" w14:textId="77777777" w:rsidR="00E75BD2" w:rsidRPr="00E6180B" w:rsidRDefault="00E75BD2" w:rsidP="00E75BD2">
            <w:pPr>
              <w:spacing w:after="0" w:line="240" w:lineRule="auto"/>
              <w:rPr>
                <w:rFonts w:eastAsia="Arial Unicode MS" w:cs="Times New Roman"/>
                <w:b/>
                <w:color w:val="17365D"/>
                <w:sz w:val="18"/>
                <w:szCs w:val="18"/>
              </w:rPr>
            </w:pPr>
            <w:r w:rsidRPr="00E6180B">
              <w:rPr>
                <w:rFonts w:eastAsia="Arial Unicode MS" w:cs="Times New Roman"/>
                <w:b/>
                <w:color w:val="17365D"/>
                <w:sz w:val="18"/>
                <w:szCs w:val="18"/>
              </w:rPr>
              <w:t>Ieņēmumi no aktīvu vērtības samazinājuma norakstīšanas</w:t>
            </w:r>
          </w:p>
        </w:tc>
        <w:tc>
          <w:tcPr>
            <w:tcW w:w="1984" w:type="dxa"/>
            <w:tcBorders>
              <w:top w:val="single" w:sz="4" w:space="0" w:color="000000"/>
              <w:bottom w:val="single" w:sz="4" w:space="0" w:color="000000"/>
            </w:tcBorders>
            <w:shd w:val="clear" w:color="auto" w:fill="auto"/>
            <w:vAlign w:val="center"/>
          </w:tcPr>
          <w:p w14:paraId="5AFFD390" w14:textId="1CCE9817" w:rsidR="00E75BD2" w:rsidRPr="00E6180B" w:rsidRDefault="00E75BD2" w:rsidP="00E75BD2">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617 869 686</w:t>
            </w:r>
          </w:p>
        </w:tc>
        <w:tc>
          <w:tcPr>
            <w:tcW w:w="1843" w:type="dxa"/>
            <w:tcBorders>
              <w:top w:val="single" w:sz="4" w:space="0" w:color="000000"/>
              <w:bottom w:val="single" w:sz="4" w:space="0" w:color="000000"/>
            </w:tcBorders>
            <w:shd w:val="clear" w:color="auto" w:fill="auto"/>
            <w:vAlign w:val="center"/>
          </w:tcPr>
          <w:p w14:paraId="2364123B" w14:textId="66A9EFDC" w:rsidR="00E75BD2" w:rsidRPr="00E6180B" w:rsidRDefault="00E75BD2" w:rsidP="00E75BD2">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542 730 605</w:t>
            </w:r>
          </w:p>
        </w:tc>
      </w:tr>
      <w:tr w:rsidR="00E75BD2" w:rsidRPr="00E6180B" w14:paraId="6079FCC2" w14:textId="77777777" w:rsidTr="00B779A5">
        <w:trPr>
          <w:trHeight w:val="261"/>
        </w:trPr>
        <w:tc>
          <w:tcPr>
            <w:tcW w:w="5670" w:type="dxa"/>
            <w:tcBorders>
              <w:top w:val="single" w:sz="4" w:space="0" w:color="000000"/>
              <w:bottom w:val="single" w:sz="4" w:space="0" w:color="000000"/>
            </w:tcBorders>
            <w:shd w:val="clear" w:color="auto" w:fill="auto"/>
            <w:vAlign w:val="center"/>
          </w:tcPr>
          <w:p w14:paraId="4165D1C2"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 xml:space="preserve">Ieņēmumi no vērtības samazinājuma norakstīšanas avansa maksājumiem par </w:t>
            </w:r>
            <w:proofErr w:type="spellStart"/>
            <w:r w:rsidRPr="00E6180B">
              <w:rPr>
                <w:rFonts w:eastAsia="Arial Unicode MS" w:cs="Times New Roman"/>
                <w:color w:val="17365D"/>
                <w:sz w:val="18"/>
                <w:szCs w:val="18"/>
              </w:rPr>
              <w:t>nefinanšu</w:t>
            </w:r>
            <w:proofErr w:type="spellEnd"/>
            <w:r w:rsidRPr="00E6180B">
              <w:rPr>
                <w:rFonts w:eastAsia="Arial Unicode MS" w:cs="Times New Roman"/>
                <w:color w:val="17365D"/>
                <w:sz w:val="18"/>
                <w:szCs w:val="18"/>
              </w:rPr>
              <w:t xml:space="preserve"> aktīviem</w:t>
            </w:r>
          </w:p>
        </w:tc>
        <w:tc>
          <w:tcPr>
            <w:tcW w:w="1984" w:type="dxa"/>
            <w:tcBorders>
              <w:top w:val="single" w:sz="4" w:space="0" w:color="000000"/>
              <w:bottom w:val="single" w:sz="4" w:space="0" w:color="000000"/>
            </w:tcBorders>
            <w:shd w:val="clear" w:color="auto" w:fill="auto"/>
            <w:vAlign w:val="center"/>
          </w:tcPr>
          <w:p w14:paraId="7A2CE573" w14:textId="2F54BDB9"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67 714</w:t>
            </w:r>
          </w:p>
        </w:tc>
        <w:tc>
          <w:tcPr>
            <w:tcW w:w="1843" w:type="dxa"/>
            <w:tcBorders>
              <w:top w:val="single" w:sz="4" w:space="0" w:color="000000"/>
              <w:bottom w:val="single" w:sz="4" w:space="0" w:color="000000"/>
            </w:tcBorders>
            <w:shd w:val="clear" w:color="auto" w:fill="auto"/>
            <w:vAlign w:val="center"/>
          </w:tcPr>
          <w:p w14:paraId="276B7526" w14:textId="35E9C0FF" w:rsidR="00E75BD2" w:rsidRPr="00E6180B" w:rsidRDefault="00E75BD2" w:rsidP="00E75BD2">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820 888</w:t>
            </w:r>
          </w:p>
        </w:tc>
      </w:tr>
      <w:tr w:rsidR="00E75BD2" w:rsidRPr="00E6180B" w14:paraId="60FCAA2D" w14:textId="77777777" w:rsidTr="009A4177">
        <w:trPr>
          <w:trHeight w:val="261"/>
        </w:trPr>
        <w:tc>
          <w:tcPr>
            <w:tcW w:w="5670" w:type="dxa"/>
            <w:tcBorders>
              <w:top w:val="single" w:sz="4" w:space="0" w:color="000000"/>
              <w:bottom w:val="single" w:sz="4" w:space="0" w:color="000000"/>
            </w:tcBorders>
            <w:shd w:val="clear" w:color="auto" w:fill="auto"/>
            <w:vAlign w:val="center"/>
          </w:tcPr>
          <w:p w14:paraId="42E28308"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 xml:space="preserve">Ieņēmumi no vērtības samazinājuma norakstīšanas </w:t>
            </w:r>
            <w:proofErr w:type="spellStart"/>
            <w:r w:rsidRPr="00E6180B">
              <w:rPr>
                <w:rFonts w:eastAsia="Arial Unicode MS" w:cs="Times New Roman"/>
                <w:color w:val="17365D"/>
                <w:sz w:val="18"/>
                <w:szCs w:val="18"/>
              </w:rPr>
              <w:t>nefinanšu</w:t>
            </w:r>
            <w:proofErr w:type="spellEnd"/>
            <w:r w:rsidRPr="00E6180B">
              <w:rPr>
                <w:rFonts w:eastAsia="Arial Unicode MS" w:cs="Times New Roman"/>
                <w:color w:val="17365D"/>
                <w:sz w:val="18"/>
                <w:szCs w:val="18"/>
              </w:rPr>
              <w:t xml:space="preserve"> aktīviem</w:t>
            </w:r>
          </w:p>
        </w:tc>
        <w:tc>
          <w:tcPr>
            <w:tcW w:w="1984" w:type="dxa"/>
            <w:tcBorders>
              <w:top w:val="single" w:sz="4" w:space="0" w:color="000000"/>
              <w:bottom w:val="single" w:sz="4" w:space="0" w:color="000000"/>
            </w:tcBorders>
            <w:shd w:val="clear" w:color="auto" w:fill="auto"/>
            <w:vAlign w:val="center"/>
          </w:tcPr>
          <w:p w14:paraId="06C99A9C" w14:textId="3645A1A9"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668 542</w:t>
            </w:r>
          </w:p>
        </w:tc>
        <w:tc>
          <w:tcPr>
            <w:tcW w:w="1843" w:type="dxa"/>
            <w:tcBorders>
              <w:top w:val="single" w:sz="4" w:space="0" w:color="000000"/>
              <w:bottom w:val="single" w:sz="4" w:space="0" w:color="000000"/>
            </w:tcBorders>
            <w:shd w:val="clear" w:color="auto" w:fill="auto"/>
            <w:vAlign w:val="center"/>
          </w:tcPr>
          <w:p w14:paraId="7F3CF7D5" w14:textId="442248E0" w:rsidR="00E75BD2" w:rsidRPr="00E6180B" w:rsidRDefault="00E75BD2" w:rsidP="00E75BD2">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293 838</w:t>
            </w:r>
          </w:p>
        </w:tc>
      </w:tr>
      <w:tr w:rsidR="00E75BD2" w:rsidRPr="00E6180B" w14:paraId="4C32F342" w14:textId="77777777" w:rsidTr="009A4177">
        <w:trPr>
          <w:trHeight w:val="261"/>
        </w:trPr>
        <w:tc>
          <w:tcPr>
            <w:tcW w:w="5670" w:type="dxa"/>
            <w:tcBorders>
              <w:top w:val="single" w:sz="4" w:space="0" w:color="000000"/>
              <w:bottom w:val="single" w:sz="4" w:space="0" w:color="000000"/>
            </w:tcBorders>
            <w:shd w:val="clear" w:color="auto" w:fill="auto"/>
            <w:vAlign w:val="center"/>
          </w:tcPr>
          <w:p w14:paraId="58196DAB"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prasībām un avansa maksājumiem par pakalpojumiem</w:t>
            </w:r>
          </w:p>
        </w:tc>
        <w:tc>
          <w:tcPr>
            <w:tcW w:w="1984" w:type="dxa"/>
            <w:tcBorders>
              <w:top w:val="single" w:sz="4" w:space="0" w:color="000000"/>
              <w:bottom w:val="single" w:sz="4" w:space="0" w:color="000000"/>
            </w:tcBorders>
            <w:shd w:val="clear" w:color="auto" w:fill="auto"/>
            <w:vAlign w:val="center"/>
          </w:tcPr>
          <w:p w14:paraId="6291137C" w14:textId="6761BA12"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34 091 619</w:t>
            </w:r>
          </w:p>
        </w:tc>
        <w:tc>
          <w:tcPr>
            <w:tcW w:w="1843" w:type="dxa"/>
            <w:tcBorders>
              <w:top w:val="single" w:sz="4" w:space="0" w:color="000000"/>
              <w:bottom w:val="single" w:sz="4" w:space="0" w:color="000000"/>
            </w:tcBorders>
            <w:shd w:val="clear" w:color="auto" w:fill="auto"/>
            <w:vAlign w:val="center"/>
          </w:tcPr>
          <w:p w14:paraId="72A55822" w14:textId="5806305B"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35 848 564</w:t>
            </w:r>
          </w:p>
        </w:tc>
      </w:tr>
      <w:tr w:rsidR="00E75BD2" w:rsidRPr="00E6180B" w14:paraId="6AC50359" w14:textId="77777777" w:rsidTr="009A4177">
        <w:trPr>
          <w:trHeight w:val="261"/>
        </w:trPr>
        <w:tc>
          <w:tcPr>
            <w:tcW w:w="5670" w:type="dxa"/>
            <w:tcBorders>
              <w:top w:val="single" w:sz="4" w:space="0" w:color="000000"/>
              <w:bottom w:val="single" w:sz="4" w:space="0" w:color="000000"/>
            </w:tcBorders>
            <w:shd w:val="clear" w:color="auto" w:fill="auto"/>
            <w:vAlign w:val="center"/>
          </w:tcPr>
          <w:p w14:paraId="59AAFBD3"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prasībām par nodokļiem, nodevām un citiem maksājumiem budžetos</w:t>
            </w:r>
          </w:p>
        </w:tc>
        <w:tc>
          <w:tcPr>
            <w:tcW w:w="1984" w:type="dxa"/>
            <w:tcBorders>
              <w:top w:val="single" w:sz="4" w:space="0" w:color="000000"/>
              <w:bottom w:val="single" w:sz="4" w:space="0" w:color="000000"/>
            </w:tcBorders>
            <w:shd w:val="clear" w:color="auto" w:fill="auto"/>
            <w:vAlign w:val="center"/>
          </w:tcPr>
          <w:p w14:paraId="0F8BA71F" w14:textId="61E0B572"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508 698 686</w:t>
            </w:r>
          </w:p>
        </w:tc>
        <w:tc>
          <w:tcPr>
            <w:tcW w:w="1843" w:type="dxa"/>
            <w:tcBorders>
              <w:top w:val="single" w:sz="4" w:space="0" w:color="000000"/>
              <w:bottom w:val="single" w:sz="4" w:space="0" w:color="000000"/>
            </w:tcBorders>
            <w:shd w:val="clear" w:color="auto" w:fill="auto"/>
            <w:vAlign w:val="center"/>
          </w:tcPr>
          <w:p w14:paraId="7B96FF17" w14:textId="3592D04B" w:rsidR="00E75BD2" w:rsidRPr="00E6180B" w:rsidRDefault="00E75BD2" w:rsidP="00E75BD2">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321 811 542</w:t>
            </w:r>
          </w:p>
        </w:tc>
      </w:tr>
      <w:tr w:rsidR="00E75BD2" w:rsidRPr="00E6180B" w14:paraId="1BE16CAC" w14:textId="77777777" w:rsidTr="009A4177">
        <w:trPr>
          <w:trHeight w:val="261"/>
        </w:trPr>
        <w:tc>
          <w:tcPr>
            <w:tcW w:w="5670" w:type="dxa"/>
            <w:tcBorders>
              <w:top w:val="single" w:sz="4" w:space="0" w:color="000000"/>
              <w:bottom w:val="single" w:sz="4" w:space="0" w:color="000000"/>
            </w:tcBorders>
            <w:shd w:val="clear" w:color="auto" w:fill="auto"/>
            <w:vAlign w:val="center"/>
            <w:hideMark/>
          </w:tcPr>
          <w:p w14:paraId="231E600D"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finanšu instrumentiem</w:t>
            </w:r>
          </w:p>
        </w:tc>
        <w:tc>
          <w:tcPr>
            <w:tcW w:w="1984" w:type="dxa"/>
            <w:tcBorders>
              <w:top w:val="single" w:sz="4" w:space="0" w:color="000000"/>
              <w:bottom w:val="single" w:sz="4" w:space="0" w:color="000000"/>
            </w:tcBorders>
            <w:shd w:val="clear" w:color="auto" w:fill="auto"/>
            <w:vAlign w:val="center"/>
            <w:hideMark/>
          </w:tcPr>
          <w:p w14:paraId="5F5789CB" w14:textId="2B5A59CB"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680 735</w:t>
            </w:r>
          </w:p>
        </w:tc>
        <w:tc>
          <w:tcPr>
            <w:tcW w:w="1843" w:type="dxa"/>
            <w:tcBorders>
              <w:top w:val="single" w:sz="4" w:space="0" w:color="000000"/>
              <w:bottom w:val="single" w:sz="4" w:space="0" w:color="000000"/>
            </w:tcBorders>
            <w:shd w:val="clear" w:color="auto" w:fill="auto"/>
            <w:vAlign w:val="center"/>
          </w:tcPr>
          <w:p w14:paraId="3C4E1DFE" w14:textId="08A4B65A" w:rsidR="00E75BD2" w:rsidRPr="00E6180B" w:rsidRDefault="00E75BD2" w:rsidP="00E75BD2">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20 352 146</w:t>
            </w:r>
          </w:p>
        </w:tc>
      </w:tr>
      <w:tr w:rsidR="00E75BD2" w:rsidRPr="00E6180B" w14:paraId="08CB9AA5" w14:textId="77777777" w:rsidTr="009A4177">
        <w:trPr>
          <w:trHeight w:val="261"/>
        </w:trPr>
        <w:tc>
          <w:tcPr>
            <w:tcW w:w="5670" w:type="dxa"/>
            <w:tcBorders>
              <w:top w:val="single" w:sz="4" w:space="0" w:color="000000"/>
              <w:bottom w:val="single" w:sz="4" w:space="0" w:color="000000"/>
            </w:tcBorders>
            <w:shd w:val="clear" w:color="auto" w:fill="auto"/>
            <w:vAlign w:val="center"/>
          </w:tcPr>
          <w:p w14:paraId="3212BC55"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Aizdevumi un prasības</w:t>
            </w:r>
          </w:p>
        </w:tc>
        <w:tc>
          <w:tcPr>
            <w:tcW w:w="1984" w:type="dxa"/>
            <w:tcBorders>
              <w:top w:val="single" w:sz="4" w:space="0" w:color="000000"/>
              <w:bottom w:val="single" w:sz="4" w:space="0" w:color="000000"/>
            </w:tcBorders>
            <w:shd w:val="clear" w:color="auto" w:fill="auto"/>
            <w:vAlign w:val="center"/>
          </w:tcPr>
          <w:p w14:paraId="13CFC50D" w14:textId="04D7DA9E"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8 904</w:t>
            </w:r>
          </w:p>
        </w:tc>
        <w:tc>
          <w:tcPr>
            <w:tcW w:w="1843" w:type="dxa"/>
            <w:tcBorders>
              <w:top w:val="single" w:sz="4" w:space="0" w:color="000000"/>
              <w:bottom w:val="single" w:sz="4" w:space="0" w:color="000000"/>
            </w:tcBorders>
            <w:shd w:val="clear" w:color="auto" w:fill="auto"/>
            <w:vAlign w:val="center"/>
          </w:tcPr>
          <w:p w14:paraId="24C731BB" w14:textId="2BE95A5E"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r>
      <w:tr w:rsidR="00E75BD2" w:rsidRPr="00E6180B" w14:paraId="08D46F0E" w14:textId="77777777" w:rsidTr="009A4177">
        <w:trPr>
          <w:trHeight w:val="261"/>
        </w:trPr>
        <w:tc>
          <w:tcPr>
            <w:tcW w:w="5670" w:type="dxa"/>
            <w:tcBorders>
              <w:top w:val="single" w:sz="4" w:space="0" w:color="000000"/>
              <w:bottom w:val="single" w:sz="4" w:space="0" w:color="000000"/>
            </w:tcBorders>
            <w:shd w:val="clear" w:color="auto" w:fill="auto"/>
            <w:vAlign w:val="center"/>
          </w:tcPr>
          <w:p w14:paraId="05F858E7"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 xml:space="preserve">Pārdošanai pieejamie finanšu aktīvi </w:t>
            </w:r>
          </w:p>
        </w:tc>
        <w:tc>
          <w:tcPr>
            <w:tcW w:w="1984" w:type="dxa"/>
            <w:tcBorders>
              <w:top w:val="single" w:sz="4" w:space="0" w:color="000000"/>
              <w:bottom w:val="single" w:sz="4" w:space="0" w:color="000000"/>
            </w:tcBorders>
            <w:shd w:val="clear" w:color="auto" w:fill="auto"/>
            <w:vAlign w:val="center"/>
          </w:tcPr>
          <w:p w14:paraId="237748CC" w14:textId="5B6CD517"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542 360</w:t>
            </w:r>
          </w:p>
        </w:tc>
        <w:tc>
          <w:tcPr>
            <w:tcW w:w="1843" w:type="dxa"/>
            <w:tcBorders>
              <w:top w:val="single" w:sz="4" w:space="0" w:color="000000"/>
              <w:bottom w:val="single" w:sz="4" w:space="0" w:color="000000"/>
            </w:tcBorders>
            <w:shd w:val="clear" w:color="auto" w:fill="auto"/>
            <w:vAlign w:val="center"/>
          </w:tcPr>
          <w:p w14:paraId="32307A66" w14:textId="687D8304" w:rsidR="00E75BD2" w:rsidRPr="00E6180B" w:rsidRDefault="00E75BD2" w:rsidP="00E75BD2">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20 352 146</w:t>
            </w:r>
          </w:p>
        </w:tc>
      </w:tr>
      <w:tr w:rsidR="00E75BD2" w:rsidRPr="00E6180B" w14:paraId="52EE41DF" w14:textId="77777777" w:rsidTr="009A4177">
        <w:trPr>
          <w:trHeight w:val="261"/>
        </w:trPr>
        <w:tc>
          <w:tcPr>
            <w:tcW w:w="5670" w:type="dxa"/>
            <w:tcBorders>
              <w:top w:val="single" w:sz="4" w:space="0" w:color="000000"/>
              <w:bottom w:val="single" w:sz="4" w:space="0" w:color="17365D"/>
            </w:tcBorders>
            <w:shd w:val="clear" w:color="auto" w:fill="auto"/>
            <w:vAlign w:val="center"/>
          </w:tcPr>
          <w:p w14:paraId="58B510F3" w14:textId="77777777" w:rsidR="00E75BD2" w:rsidRPr="00E6180B" w:rsidRDefault="00E75BD2" w:rsidP="00E75BD2">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aktīviem, kas nav minēti citur</w:t>
            </w:r>
          </w:p>
        </w:tc>
        <w:tc>
          <w:tcPr>
            <w:tcW w:w="1984" w:type="dxa"/>
            <w:tcBorders>
              <w:top w:val="single" w:sz="4" w:space="0" w:color="000000"/>
              <w:bottom w:val="single" w:sz="4" w:space="0" w:color="17365D"/>
            </w:tcBorders>
            <w:shd w:val="clear" w:color="auto" w:fill="auto"/>
            <w:noWrap/>
            <w:vAlign w:val="center"/>
          </w:tcPr>
          <w:p w14:paraId="35582234" w14:textId="6035A692" w:rsidR="00E75BD2" w:rsidRPr="00E6180B" w:rsidRDefault="00E75BD2" w:rsidP="00E75BD2">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129 471</w:t>
            </w:r>
          </w:p>
        </w:tc>
        <w:tc>
          <w:tcPr>
            <w:tcW w:w="1843" w:type="dxa"/>
            <w:tcBorders>
              <w:top w:val="single" w:sz="4" w:space="0" w:color="000000"/>
              <w:bottom w:val="single" w:sz="4" w:space="0" w:color="17365D"/>
            </w:tcBorders>
            <w:shd w:val="clear" w:color="auto" w:fill="auto"/>
            <w:vAlign w:val="center"/>
          </w:tcPr>
          <w:p w14:paraId="1124FC43" w14:textId="205A174A" w:rsidR="00E75BD2" w:rsidRPr="00E6180B" w:rsidRDefault="00E75BD2" w:rsidP="00E75BD2">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0</w:t>
            </w:r>
          </w:p>
        </w:tc>
      </w:tr>
      <w:tr w:rsidR="00B952A9" w:rsidRPr="00E6180B" w14:paraId="30987C37" w14:textId="77777777" w:rsidTr="009A4177">
        <w:trPr>
          <w:trHeight w:val="206"/>
        </w:trPr>
        <w:tc>
          <w:tcPr>
            <w:tcW w:w="5670" w:type="dxa"/>
            <w:tcBorders>
              <w:top w:val="single" w:sz="4" w:space="0" w:color="17365D"/>
            </w:tcBorders>
            <w:shd w:val="clear" w:color="auto" w:fill="B8CCE4" w:themeFill="accent1" w:themeFillTint="66"/>
            <w:vAlign w:val="center"/>
          </w:tcPr>
          <w:p w14:paraId="1961F64F" w14:textId="77777777" w:rsidR="00B952A9" w:rsidRPr="00A27896" w:rsidRDefault="00B952A9" w:rsidP="002A1FD2">
            <w:pPr>
              <w:spacing w:after="0" w:line="240" w:lineRule="auto"/>
              <w:rPr>
                <w:rFonts w:eastAsia="Arial Unicode MS" w:cs="Times New Roman"/>
                <w:b/>
                <w:color w:val="17365D"/>
                <w:sz w:val="18"/>
                <w:szCs w:val="18"/>
              </w:rPr>
            </w:pPr>
          </w:p>
        </w:tc>
        <w:tc>
          <w:tcPr>
            <w:tcW w:w="1984" w:type="dxa"/>
            <w:tcBorders>
              <w:top w:val="single" w:sz="4" w:space="0" w:color="17365D"/>
              <w:left w:val="nil"/>
              <w:bottom w:val="nil"/>
              <w:right w:val="nil"/>
            </w:tcBorders>
            <w:shd w:val="clear" w:color="auto" w:fill="B8CCE4" w:themeFill="accent1" w:themeFillTint="66"/>
            <w:noWrap/>
            <w:vAlign w:val="center"/>
          </w:tcPr>
          <w:p w14:paraId="5E32F68F" w14:textId="77777777" w:rsidR="00B952A9" w:rsidRPr="00A27896" w:rsidRDefault="00B952A9" w:rsidP="002A1FD2">
            <w:pPr>
              <w:spacing w:after="0" w:line="240" w:lineRule="auto"/>
              <w:jc w:val="right"/>
              <w:rPr>
                <w:rFonts w:eastAsia="Arial Unicode MS" w:cs="Times New Roman"/>
                <w:b/>
                <w:color w:val="17365D"/>
                <w:sz w:val="18"/>
                <w:szCs w:val="18"/>
              </w:rPr>
            </w:pPr>
          </w:p>
        </w:tc>
        <w:tc>
          <w:tcPr>
            <w:tcW w:w="1843" w:type="dxa"/>
            <w:tcBorders>
              <w:top w:val="single" w:sz="4" w:space="0" w:color="17365D"/>
              <w:left w:val="nil"/>
              <w:bottom w:val="nil"/>
              <w:right w:val="nil"/>
            </w:tcBorders>
            <w:shd w:val="clear" w:color="auto" w:fill="B8CCE4" w:themeFill="accent1" w:themeFillTint="66"/>
            <w:vAlign w:val="center"/>
          </w:tcPr>
          <w:p w14:paraId="6429BF30" w14:textId="77777777" w:rsidR="00B952A9" w:rsidRPr="00A27896" w:rsidRDefault="00B952A9" w:rsidP="002A1FD2">
            <w:pPr>
              <w:spacing w:after="0" w:line="240" w:lineRule="auto"/>
              <w:jc w:val="right"/>
              <w:rPr>
                <w:rFonts w:eastAsia="Arial Unicode MS" w:cs="Times New Roman"/>
                <w:b/>
                <w:color w:val="17365D"/>
                <w:sz w:val="18"/>
                <w:szCs w:val="18"/>
              </w:rPr>
            </w:pPr>
          </w:p>
        </w:tc>
      </w:tr>
    </w:tbl>
    <w:p w14:paraId="2813C423" w14:textId="1881E10E" w:rsidR="00B952A9" w:rsidRDefault="00B952A9" w:rsidP="00B952A9">
      <w:pPr>
        <w:spacing w:after="120"/>
        <w:rPr>
          <w:rFonts w:eastAsia="Times New Roman" w:cs="Times New Roman"/>
          <w:color w:val="17365D"/>
          <w:szCs w:val="24"/>
          <w:lang w:eastAsia="lv-LV"/>
        </w:rPr>
      </w:pPr>
    </w:p>
    <w:p w14:paraId="375A8018" w14:textId="290EB8AE" w:rsidR="00B952A9" w:rsidRPr="00B952A9" w:rsidRDefault="00B1750B" w:rsidP="00B952A9">
      <w:pPr>
        <w:pStyle w:val="Heading3"/>
        <w:rPr>
          <w:lang w:eastAsia="lv-LV"/>
        </w:rPr>
      </w:pPr>
      <w:r w:rsidRPr="00974E43">
        <w:rPr>
          <w:lang w:eastAsia="lv-LV"/>
        </w:rPr>
        <w:t xml:space="preserve">Konsolidētā pārskata </w:t>
      </w:r>
      <w:r w:rsidRPr="00974E43" w:rsidDel="00550C21">
        <w:rPr>
          <w:lang w:eastAsia="lv-LV"/>
        </w:rPr>
        <w:t>par darbības finansiālajiem rezultātiem</w:t>
      </w:r>
      <w:r w:rsidRPr="00974E43">
        <w:rPr>
          <w:lang w:eastAsia="lv-LV"/>
        </w:rPr>
        <w:t xml:space="preserve"> </w:t>
      </w:r>
      <w:r>
        <w:rPr>
          <w:lang w:eastAsia="lv-LV"/>
        </w:rPr>
        <w:t>izdevumi</w:t>
      </w:r>
      <w:r w:rsidRPr="00974E43">
        <w:rPr>
          <w:lang w:eastAsia="lv-LV"/>
        </w:rPr>
        <w:t xml:space="preserve">  </w:t>
      </w:r>
    </w:p>
    <w:p w14:paraId="29FF59A7" w14:textId="77777777" w:rsidR="00B1750B" w:rsidRPr="00587EA8" w:rsidRDefault="00B1750B" w:rsidP="002A2F6E">
      <w:pPr>
        <w:pStyle w:val="Pamatteksts1"/>
        <w:rPr>
          <w:noProof/>
          <w:lang w:eastAsia="lv-LV"/>
        </w:rPr>
      </w:pPr>
      <w:r w:rsidRPr="00587EA8">
        <w:rPr>
          <w:lang w:eastAsia="lv-LV"/>
        </w:rPr>
        <w:t>Konsolidētā pārskata</w:t>
      </w:r>
      <w:r w:rsidRPr="00587EA8" w:rsidDel="00550C21">
        <w:rPr>
          <w:iCs/>
        </w:rPr>
        <w:t xml:space="preserve"> </w:t>
      </w:r>
      <w:r w:rsidRPr="00587EA8" w:rsidDel="00550C21">
        <w:rPr>
          <w:iCs/>
          <w:lang w:eastAsia="lv-LV"/>
        </w:rPr>
        <w:t>par darbības finansiālajiem rezultātiem</w:t>
      </w:r>
      <w:r w:rsidRPr="00587EA8">
        <w:rPr>
          <w:noProof/>
          <w:lang w:eastAsia="lv-LV"/>
        </w:rPr>
        <w:t xml:space="preserve"> izdevumu posteņu izmaiņas uzrādītas </w:t>
      </w:r>
      <w:r>
        <w:rPr>
          <w:noProof/>
          <w:lang w:eastAsia="lv-LV"/>
        </w:rPr>
        <w:t>2.6</w:t>
      </w:r>
      <w:r w:rsidRPr="009C6F0C">
        <w:rPr>
          <w:noProof/>
          <w:lang w:eastAsia="lv-LV"/>
        </w:rPr>
        <w:t>. tabulā.</w:t>
      </w:r>
    </w:p>
    <w:p w14:paraId="441F30B6" w14:textId="77777777" w:rsidR="00B1750B" w:rsidRDefault="00B1750B" w:rsidP="00324AC5">
      <w:pPr>
        <w:pStyle w:val="Tabnosauk"/>
      </w:pPr>
      <w:r>
        <w:t>2.6</w:t>
      </w:r>
      <w:r w:rsidRPr="00587EA8">
        <w:t>. </w:t>
      </w:r>
      <w:r w:rsidRPr="00324AC5">
        <w:t>tabula</w:t>
      </w:r>
      <w:r w:rsidRPr="00587EA8">
        <w:t>. Izdevumi (euro)</w:t>
      </w:r>
    </w:p>
    <w:tbl>
      <w:tblPr>
        <w:tblW w:w="9517" w:type="dxa"/>
        <w:tblLayout w:type="fixed"/>
        <w:tblLook w:val="04A0" w:firstRow="1" w:lastRow="0" w:firstColumn="1" w:lastColumn="0" w:noHBand="0" w:noVBand="1"/>
      </w:tblPr>
      <w:tblGrid>
        <w:gridCol w:w="3119"/>
        <w:gridCol w:w="850"/>
        <w:gridCol w:w="1434"/>
        <w:gridCol w:w="17"/>
        <w:gridCol w:w="1384"/>
        <w:gridCol w:w="583"/>
        <w:gridCol w:w="976"/>
        <w:gridCol w:w="1154"/>
      </w:tblGrid>
      <w:tr w:rsidR="00B1750B" w:rsidRPr="00587EA8" w14:paraId="67B84B5C" w14:textId="77777777" w:rsidTr="009A4177">
        <w:trPr>
          <w:trHeight w:val="791"/>
          <w:tblHeader/>
        </w:trPr>
        <w:tc>
          <w:tcPr>
            <w:tcW w:w="3119" w:type="dxa"/>
            <w:tcBorders>
              <w:bottom w:val="single" w:sz="4" w:space="0" w:color="012169"/>
            </w:tcBorders>
            <w:shd w:val="clear" w:color="auto" w:fill="B9CDE5"/>
            <w:vAlign w:val="center"/>
            <w:hideMark/>
          </w:tcPr>
          <w:p w14:paraId="7B9C962C" w14:textId="77777777" w:rsidR="00B1750B" w:rsidRPr="00587EA8" w:rsidRDefault="00B1750B" w:rsidP="009A09DF">
            <w:pPr>
              <w:spacing w:after="0" w:line="240" w:lineRule="auto"/>
              <w:ind w:firstLine="38"/>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850" w:type="dxa"/>
            <w:tcBorders>
              <w:bottom w:val="single" w:sz="4" w:space="0" w:color="012169"/>
            </w:tcBorders>
            <w:shd w:val="clear" w:color="auto" w:fill="B9CDE5"/>
            <w:vAlign w:val="center"/>
          </w:tcPr>
          <w:p w14:paraId="413A10F1" w14:textId="77777777" w:rsidR="00B1750B" w:rsidRPr="00587EA8" w:rsidRDefault="00B1750B" w:rsidP="009A09DF">
            <w:pPr>
              <w:spacing w:after="0" w:line="240" w:lineRule="auto"/>
              <w:ind w:left="-57" w:right="-57" w:hanging="72"/>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Piezīmes Nr.</w:t>
            </w:r>
          </w:p>
        </w:tc>
        <w:tc>
          <w:tcPr>
            <w:tcW w:w="1451" w:type="dxa"/>
            <w:gridSpan w:val="2"/>
            <w:tcBorders>
              <w:bottom w:val="single" w:sz="4" w:space="0" w:color="012169"/>
            </w:tcBorders>
            <w:shd w:val="clear" w:color="auto" w:fill="B9CDE5"/>
            <w:vAlign w:val="center"/>
          </w:tcPr>
          <w:p w14:paraId="6BA8CA3C" w14:textId="77777777" w:rsidR="00B1750B" w:rsidRPr="00587EA8" w:rsidRDefault="00B1750B" w:rsidP="009A09DF">
            <w:pPr>
              <w:spacing w:after="0" w:line="240" w:lineRule="auto"/>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Pārskata periods</w:t>
            </w:r>
          </w:p>
        </w:tc>
        <w:tc>
          <w:tcPr>
            <w:tcW w:w="1384" w:type="dxa"/>
            <w:tcBorders>
              <w:bottom w:val="single" w:sz="4" w:space="0" w:color="012169"/>
            </w:tcBorders>
            <w:shd w:val="clear" w:color="auto" w:fill="B9CDE5"/>
            <w:vAlign w:val="center"/>
          </w:tcPr>
          <w:p w14:paraId="45635416" w14:textId="77777777" w:rsidR="00B1750B" w:rsidRPr="00587EA8" w:rsidRDefault="00B1750B" w:rsidP="009A09DF">
            <w:pPr>
              <w:spacing w:after="0" w:line="240" w:lineRule="auto"/>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Iepriekšējais pārskata periods</w:t>
            </w:r>
          </w:p>
        </w:tc>
        <w:tc>
          <w:tcPr>
            <w:tcW w:w="1559" w:type="dxa"/>
            <w:gridSpan w:val="2"/>
            <w:tcBorders>
              <w:bottom w:val="single" w:sz="4" w:space="0" w:color="012169"/>
            </w:tcBorders>
            <w:shd w:val="clear" w:color="auto" w:fill="B9CDE5"/>
            <w:vAlign w:val="center"/>
          </w:tcPr>
          <w:p w14:paraId="0E9DA63D" w14:textId="77777777" w:rsidR="00B1750B" w:rsidRPr="00587EA8" w:rsidRDefault="00B1750B" w:rsidP="009A09DF">
            <w:pPr>
              <w:spacing w:after="0" w:line="240" w:lineRule="auto"/>
              <w:ind w:left="-57" w:right="-57"/>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Palielinājums (+), samazinājums (–) (1. – 2.)</w:t>
            </w:r>
          </w:p>
        </w:tc>
        <w:tc>
          <w:tcPr>
            <w:tcW w:w="1152" w:type="dxa"/>
            <w:tcBorders>
              <w:bottom w:val="single" w:sz="4" w:space="0" w:color="012169"/>
            </w:tcBorders>
            <w:shd w:val="clear" w:color="auto" w:fill="B9CDE5"/>
            <w:vAlign w:val="center"/>
          </w:tcPr>
          <w:p w14:paraId="50FF2842" w14:textId="77777777" w:rsidR="00B1750B" w:rsidRPr="00587EA8" w:rsidRDefault="00B1750B" w:rsidP="009A09DF">
            <w:pPr>
              <w:spacing w:after="0" w:line="240" w:lineRule="auto"/>
              <w:ind w:left="-57" w:right="-57"/>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 xml:space="preserve">Procentuālās izmaiņas </w:t>
            </w:r>
            <w:r w:rsidRPr="00587EA8">
              <w:rPr>
                <w:rFonts w:eastAsia="Times New Roman" w:cs="Times New Roman"/>
                <w:b/>
                <w:color w:val="17365D"/>
                <w:sz w:val="18"/>
                <w:szCs w:val="18"/>
                <w:lang w:eastAsia="lv-LV"/>
              </w:rPr>
              <w:br/>
              <w:t>(3./2. x 100)</w:t>
            </w:r>
          </w:p>
        </w:tc>
      </w:tr>
      <w:tr w:rsidR="00B1750B" w:rsidRPr="00587EA8" w14:paraId="4DA162DC" w14:textId="77777777" w:rsidTr="005645F2">
        <w:trPr>
          <w:trHeight w:val="56"/>
          <w:tblHeader/>
        </w:trPr>
        <w:tc>
          <w:tcPr>
            <w:tcW w:w="3119" w:type="dxa"/>
            <w:tcBorders>
              <w:top w:val="single" w:sz="4" w:space="0" w:color="012169"/>
              <w:bottom w:val="single" w:sz="4" w:space="0" w:color="012169"/>
            </w:tcBorders>
            <w:shd w:val="clear" w:color="auto" w:fill="auto"/>
            <w:vAlign w:val="center"/>
          </w:tcPr>
          <w:p w14:paraId="242FEB08" w14:textId="77777777" w:rsidR="00B1750B" w:rsidRPr="00587EA8" w:rsidRDefault="00B1750B" w:rsidP="009A09DF">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A</w:t>
            </w:r>
          </w:p>
        </w:tc>
        <w:tc>
          <w:tcPr>
            <w:tcW w:w="850" w:type="dxa"/>
            <w:tcBorders>
              <w:top w:val="single" w:sz="4" w:space="0" w:color="012169"/>
              <w:bottom w:val="single" w:sz="4" w:space="0" w:color="012169"/>
            </w:tcBorders>
            <w:shd w:val="clear" w:color="auto" w:fill="auto"/>
            <w:vAlign w:val="center"/>
          </w:tcPr>
          <w:p w14:paraId="5D5846E1" w14:textId="77777777" w:rsidR="00B1750B" w:rsidRPr="00587EA8" w:rsidRDefault="00B1750B" w:rsidP="009A09DF">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B</w:t>
            </w:r>
          </w:p>
        </w:tc>
        <w:tc>
          <w:tcPr>
            <w:tcW w:w="1451" w:type="dxa"/>
            <w:gridSpan w:val="2"/>
            <w:tcBorders>
              <w:top w:val="single" w:sz="4" w:space="0" w:color="012169"/>
              <w:bottom w:val="single" w:sz="4" w:space="0" w:color="012169"/>
            </w:tcBorders>
            <w:shd w:val="clear" w:color="auto" w:fill="auto"/>
            <w:vAlign w:val="center"/>
          </w:tcPr>
          <w:p w14:paraId="1EA40FB0" w14:textId="77777777" w:rsidR="00B1750B" w:rsidRPr="00587EA8" w:rsidRDefault="00B1750B" w:rsidP="009A09DF">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1</w:t>
            </w:r>
          </w:p>
        </w:tc>
        <w:tc>
          <w:tcPr>
            <w:tcW w:w="1384" w:type="dxa"/>
            <w:tcBorders>
              <w:top w:val="single" w:sz="4" w:space="0" w:color="012169"/>
              <w:bottom w:val="single" w:sz="4" w:space="0" w:color="012169"/>
            </w:tcBorders>
            <w:shd w:val="clear" w:color="auto" w:fill="auto"/>
            <w:vAlign w:val="center"/>
          </w:tcPr>
          <w:p w14:paraId="16FAA6A3" w14:textId="77777777" w:rsidR="00B1750B" w:rsidRPr="00587EA8" w:rsidRDefault="00B1750B" w:rsidP="009A09DF">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2</w:t>
            </w:r>
          </w:p>
        </w:tc>
        <w:tc>
          <w:tcPr>
            <w:tcW w:w="1559" w:type="dxa"/>
            <w:gridSpan w:val="2"/>
            <w:tcBorders>
              <w:top w:val="single" w:sz="4" w:space="0" w:color="012169"/>
              <w:bottom w:val="single" w:sz="4" w:space="0" w:color="012169"/>
            </w:tcBorders>
            <w:shd w:val="clear" w:color="auto" w:fill="auto"/>
            <w:vAlign w:val="center"/>
          </w:tcPr>
          <w:p w14:paraId="28D76A92" w14:textId="77777777" w:rsidR="00B1750B" w:rsidRPr="00587EA8" w:rsidRDefault="00B1750B" w:rsidP="009A09DF">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3</w:t>
            </w:r>
          </w:p>
        </w:tc>
        <w:tc>
          <w:tcPr>
            <w:tcW w:w="1152" w:type="dxa"/>
            <w:tcBorders>
              <w:top w:val="single" w:sz="4" w:space="0" w:color="012169"/>
              <w:bottom w:val="single" w:sz="4" w:space="0" w:color="012169"/>
            </w:tcBorders>
            <w:shd w:val="clear" w:color="auto" w:fill="auto"/>
            <w:vAlign w:val="center"/>
          </w:tcPr>
          <w:p w14:paraId="6B203515" w14:textId="77777777" w:rsidR="00B1750B" w:rsidRPr="00587EA8" w:rsidRDefault="00B1750B" w:rsidP="009A09DF">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4</w:t>
            </w:r>
          </w:p>
        </w:tc>
      </w:tr>
      <w:tr w:rsidR="00B1750B" w:rsidRPr="00587EA8" w14:paraId="7DA05B76" w14:textId="77777777" w:rsidTr="00B779A5">
        <w:trPr>
          <w:trHeight w:val="261"/>
        </w:trPr>
        <w:tc>
          <w:tcPr>
            <w:tcW w:w="3119" w:type="dxa"/>
            <w:tcBorders>
              <w:top w:val="single" w:sz="4" w:space="0" w:color="012169"/>
              <w:bottom w:val="single" w:sz="4" w:space="0" w:color="012169"/>
            </w:tcBorders>
            <w:shd w:val="clear" w:color="auto" w:fill="auto"/>
            <w:vAlign w:val="center"/>
          </w:tcPr>
          <w:p w14:paraId="435A720E" w14:textId="77777777" w:rsidR="00B1750B" w:rsidRPr="00587EA8" w:rsidRDefault="00B1750B" w:rsidP="009A09DF">
            <w:pPr>
              <w:spacing w:after="0" w:line="240" w:lineRule="auto"/>
              <w:rPr>
                <w:rFonts w:eastAsia="Times New Roman" w:cs="Times New Roman"/>
                <w:color w:val="17365D"/>
                <w:sz w:val="18"/>
                <w:szCs w:val="18"/>
              </w:rPr>
            </w:pPr>
            <w:r>
              <w:rPr>
                <w:b/>
                <w:bCs/>
                <w:color w:val="17365D"/>
                <w:sz w:val="18"/>
                <w:szCs w:val="18"/>
              </w:rPr>
              <w:t xml:space="preserve">Izdevumi </w:t>
            </w:r>
          </w:p>
        </w:tc>
        <w:tc>
          <w:tcPr>
            <w:tcW w:w="850" w:type="dxa"/>
            <w:tcBorders>
              <w:top w:val="single" w:sz="4" w:space="0" w:color="012169"/>
              <w:bottom w:val="single" w:sz="4" w:space="0" w:color="012169"/>
            </w:tcBorders>
            <w:shd w:val="clear" w:color="auto" w:fill="auto"/>
            <w:vAlign w:val="center"/>
          </w:tcPr>
          <w:p w14:paraId="7FD65EA5" w14:textId="04BD6B3F" w:rsidR="00B1750B" w:rsidRPr="00587EA8" w:rsidRDefault="00B1750B" w:rsidP="009A09DF">
            <w:pPr>
              <w:spacing w:after="0" w:line="240" w:lineRule="auto"/>
              <w:jc w:val="center"/>
              <w:rPr>
                <w:rFonts w:eastAsia="Times New Roman" w:cs="Times New Roman"/>
                <w:b/>
                <w:color w:val="17365D"/>
                <w:sz w:val="18"/>
                <w:szCs w:val="18"/>
              </w:rPr>
            </w:pPr>
          </w:p>
        </w:tc>
        <w:tc>
          <w:tcPr>
            <w:tcW w:w="1451" w:type="dxa"/>
            <w:gridSpan w:val="2"/>
            <w:tcBorders>
              <w:top w:val="single" w:sz="4" w:space="0" w:color="012169"/>
              <w:bottom w:val="single" w:sz="4" w:space="0" w:color="012169"/>
            </w:tcBorders>
            <w:shd w:val="clear" w:color="F2F2F2" w:fill="FFFFFF"/>
            <w:vAlign w:val="center"/>
          </w:tcPr>
          <w:p w14:paraId="5DF9DECB" w14:textId="77777777" w:rsidR="00B1750B" w:rsidRPr="004C3FEF" w:rsidRDefault="00B1750B" w:rsidP="009A09DF">
            <w:pPr>
              <w:spacing w:after="0" w:line="240" w:lineRule="auto"/>
              <w:jc w:val="right"/>
              <w:rPr>
                <w:rFonts w:eastAsia="Arial Unicode MS" w:cs="Times New Roman"/>
                <w:b/>
                <w:color w:val="17365D"/>
                <w:sz w:val="18"/>
                <w:szCs w:val="18"/>
              </w:rPr>
            </w:pPr>
            <w:r>
              <w:rPr>
                <w:b/>
                <w:bCs/>
                <w:color w:val="17365D"/>
                <w:sz w:val="18"/>
                <w:szCs w:val="18"/>
              </w:rPr>
              <w:t>19 509 043 508</w:t>
            </w:r>
          </w:p>
        </w:tc>
        <w:tc>
          <w:tcPr>
            <w:tcW w:w="1384" w:type="dxa"/>
            <w:tcBorders>
              <w:top w:val="single" w:sz="4" w:space="0" w:color="012169"/>
              <w:bottom w:val="single" w:sz="4" w:space="0" w:color="012169"/>
            </w:tcBorders>
            <w:shd w:val="clear" w:color="F2F2F2" w:fill="FFFFFF"/>
            <w:vAlign w:val="center"/>
          </w:tcPr>
          <w:p w14:paraId="55E4FF84" w14:textId="77777777" w:rsidR="00B1750B" w:rsidRPr="004C3FEF" w:rsidRDefault="00B1750B" w:rsidP="009A09DF">
            <w:pPr>
              <w:spacing w:after="0" w:line="240" w:lineRule="auto"/>
              <w:jc w:val="right"/>
              <w:rPr>
                <w:rFonts w:eastAsia="Arial Unicode MS" w:cs="Times New Roman"/>
                <w:b/>
                <w:color w:val="17365D"/>
                <w:sz w:val="18"/>
                <w:szCs w:val="18"/>
              </w:rPr>
            </w:pPr>
            <w:r>
              <w:rPr>
                <w:b/>
                <w:bCs/>
                <w:color w:val="17365D"/>
                <w:sz w:val="18"/>
                <w:szCs w:val="18"/>
              </w:rPr>
              <w:t>17 451 582 201</w:t>
            </w:r>
          </w:p>
        </w:tc>
        <w:tc>
          <w:tcPr>
            <w:tcW w:w="1559" w:type="dxa"/>
            <w:gridSpan w:val="2"/>
            <w:tcBorders>
              <w:top w:val="single" w:sz="4" w:space="0" w:color="012169"/>
              <w:bottom w:val="single" w:sz="4" w:space="0" w:color="012169"/>
            </w:tcBorders>
            <w:shd w:val="clear" w:color="auto" w:fill="auto"/>
            <w:vAlign w:val="center"/>
          </w:tcPr>
          <w:p w14:paraId="4D2B48C3" w14:textId="77777777" w:rsidR="00B1750B" w:rsidRPr="004C3FEF" w:rsidRDefault="00B1750B" w:rsidP="0051080D">
            <w:pPr>
              <w:spacing w:after="0" w:line="240" w:lineRule="auto"/>
              <w:jc w:val="right"/>
              <w:rPr>
                <w:rFonts w:eastAsia="Arial Unicode MS" w:cs="Times New Roman"/>
                <w:b/>
                <w:color w:val="17365D"/>
                <w:sz w:val="18"/>
                <w:szCs w:val="18"/>
              </w:rPr>
            </w:pPr>
            <w:r>
              <w:rPr>
                <w:b/>
                <w:bCs/>
                <w:color w:val="17365D"/>
                <w:sz w:val="18"/>
                <w:szCs w:val="18"/>
              </w:rPr>
              <w:t>2 057 461 307</w:t>
            </w:r>
          </w:p>
        </w:tc>
        <w:tc>
          <w:tcPr>
            <w:tcW w:w="1152" w:type="dxa"/>
            <w:tcBorders>
              <w:top w:val="single" w:sz="4" w:space="0" w:color="012169"/>
              <w:bottom w:val="single" w:sz="4" w:space="0" w:color="012169"/>
            </w:tcBorders>
            <w:shd w:val="clear" w:color="auto" w:fill="auto"/>
            <w:vAlign w:val="center"/>
          </w:tcPr>
          <w:p w14:paraId="10934A91" w14:textId="77777777" w:rsidR="00B1750B" w:rsidRPr="004C3FEF" w:rsidRDefault="00B1750B" w:rsidP="009A09DF">
            <w:pPr>
              <w:spacing w:after="0" w:line="240" w:lineRule="auto"/>
              <w:jc w:val="right"/>
              <w:rPr>
                <w:rFonts w:eastAsia="Arial Unicode MS" w:cs="Times New Roman"/>
                <w:b/>
                <w:color w:val="17365D"/>
                <w:sz w:val="18"/>
                <w:szCs w:val="18"/>
              </w:rPr>
            </w:pPr>
            <w:r>
              <w:rPr>
                <w:b/>
                <w:bCs/>
                <w:color w:val="17365D"/>
                <w:sz w:val="18"/>
                <w:szCs w:val="18"/>
              </w:rPr>
              <w:t>11.79</w:t>
            </w:r>
          </w:p>
        </w:tc>
      </w:tr>
      <w:tr w:rsidR="00B1750B" w:rsidRPr="00587EA8" w14:paraId="01F80BFB" w14:textId="77777777" w:rsidTr="00B779A5">
        <w:trPr>
          <w:trHeight w:val="261"/>
        </w:trPr>
        <w:tc>
          <w:tcPr>
            <w:tcW w:w="3119" w:type="dxa"/>
            <w:tcBorders>
              <w:top w:val="single" w:sz="4" w:space="0" w:color="012169"/>
              <w:bottom w:val="single" w:sz="4" w:space="0" w:color="012169"/>
            </w:tcBorders>
            <w:shd w:val="clear" w:color="auto" w:fill="auto"/>
            <w:vAlign w:val="center"/>
          </w:tcPr>
          <w:p w14:paraId="0BE1C651"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Atalgojums</w:t>
            </w:r>
          </w:p>
        </w:tc>
        <w:tc>
          <w:tcPr>
            <w:tcW w:w="850" w:type="dxa"/>
            <w:tcBorders>
              <w:top w:val="single" w:sz="4" w:space="0" w:color="012169"/>
              <w:bottom w:val="single" w:sz="4" w:space="0" w:color="012169"/>
            </w:tcBorders>
            <w:shd w:val="clear" w:color="auto" w:fill="auto"/>
            <w:vAlign w:val="center"/>
          </w:tcPr>
          <w:p w14:paraId="6F81BC0F" w14:textId="5E61B86F"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FD</w:t>
            </w:r>
            <w:r w:rsidR="006E6B94">
              <w:rPr>
                <w:color w:val="17365D"/>
                <w:sz w:val="18"/>
                <w:szCs w:val="18"/>
              </w:rPr>
              <w:t>.</w:t>
            </w:r>
            <w:r>
              <w:rPr>
                <w:color w:val="17365D"/>
                <w:sz w:val="18"/>
                <w:szCs w:val="18"/>
              </w:rPr>
              <w:t>A21.</w:t>
            </w:r>
          </w:p>
        </w:tc>
        <w:tc>
          <w:tcPr>
            <w:tcW w:w="1451" w:type="dxa"/>
            <w:gridSpan w:val="2"/>
            <w:tcBorders>
              <w:top w:val="single" w:sz="4" w:space="0" w:color="012169"/>
              <w:bottom w:val="single" w:sz="4" w:space="0" w:color="012169"/>
            </w:tcBorders>
            <w:shd w:val="clear" w:color="F2F2F2" w:fill="FFFFFF"/>
            <w:vAlign w:val="center"/>
          </w:tcPr>
          <w:p w14:paraId="5F1872D9"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3 096 601 374</w:t>
            </w:r>
          </w:p>
        </w:tc>
        <w:tc>
          <w:tcPr>
            <w:tcW w:w="1384" w:type="dxa"/>
            <w:tcBorders>
              <w:top w:val="single" w:sz="4" w:space="0" w:color="012169"/>
              <w:bottom w:val="single" w:sz="4" w:space="0" w:color="012169"/>
            </w:tcBorders>
            <w:shd w:val="clear" w:color="F2F2F2" w:fill="FFFFFF"/>
            <w:vAlign w:val="center"/>
          </w:tcPr>
          <w:p w14:paraId="47FAE226"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2 774 742 173</w:t>
            </w:r>
          </w:p>
        </w:tc>
        <w:tc>
          <w:tcPr>
            <w:tcW w:w="1559" w:type="dxa"/>
            <w:gridSpan w:val="2"/>
            <w:tcBorders>
              <w:top w:val="single" w:sz="4" w:space="0" w:color="012169"/>
              <w:bottom w:val="single" w:sz="4" w:space="0" w:color="012169"/>
            </w:tcBorders>
            <w:shd w:val="clear" w:color="auto" w:fill="auto"/>
            <w:vAlign w:val="center"/>
          </w:tcPr>
          <w:p w14:paraId="7EC2942F"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321 859 201</w:t>
            </w:r>
          </w:p>
        </w:tc>
        <w:tc>
          <w:tcPr>
            <w:tcW w:w="1152" w:type="dxa"/>
            <w:tcBorders>
              <w:top w:val="single" w:sz="4" w:space="0" w:color="012169"/>
              <w:bottom w:val="single" w:sz="4" w:space="0" w:color="012169"/>
            </w:tcBorders>
            <w:shd w:val="clear" w:color="auto" w:fill="auto"/>
            <w:vAlign w:val="center"/>
          </w:tcPr>
          <w:p w14:paraId="09BBBAC0"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11.60</w:t>
            </w:r>
          </w:p>
        </w:tc>
      </w:tr>
      <w:tr w:rsidR="00B1750B" w:rsidRPr="00587EA8" w14:paraId="573F06AD" w14:textId="77777777" w:rsidTr="00B779A5">
        <w:trPr>
          <w:trHeight w:val="261"/>
        </w:trPr>
        <w:tc>
          <w:tcPr>
            <w:tcW w:w="3119" w:type="dxa"/>
            <w:tcBorders>
              <w:top w:val="single" w:sz="4" w:space="0" w:color="012169"/>
              <w:bottom w:val="single" w:sz="4" w:space="0" w:color="012169"/>
            </w:tcBorders>
            <w:shd w:val="clear" w:color="auto" w:fill="auto"/>
            <w:vAlign w:val="center"/>
          </w:tcPr>
          <w:p w14:paraId="23F04073"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Darba devēja sociālās apdrošināšanas iemaksas, pabalsti un kompensācijas</w:t>
            </w:r>
          </w:p>
        </w:tc>
        <w:tc>
          <w:tcPr>
            <w:tcW w:w="850" w:type="dxa"/>
            <w:tcBorders>
              <w:top w:val="single" w:sz="4" w:space="0" w:color="012169"/>
              <w:bottom w:val="single" w:sz="4" w:space="0" w:color="012169"/>
            </w:tcBorders>
            <w:shd w:val="clear" w:color="auto" w:fill="auto"/>
            <w:vAlign w:val="center"/>
          </w:tcPr>
          <w:p w14:paraId="52E55252" w14:textId="77777777" w:rsidR="00B1750B" w:rsidRPr="00587EA8" w:rsidRDefault="00B1750B" w:rsidP="009A09DF">
            <w:pPr>
              <w:spacing w:after="0" w:line="240" w:lineRule="auto"/>
              <w:jc w:val="center"/>
              <w:rPr>
                <w:rFonts w:eastAsia="Times New Roman" w:cs="Times New Roman"/>
                <w:color w:val="17365D"/>
                <w:sz w:val="18"/>
                <w:szCs w:val="18"/>
              </w:rPr>
            </w:pPr>
          </w:p>
        </w:tc>
        <w:tc>
          <w:tcPr>
            <w:tcW w:w="1451" w:type="dxa"/>
            <w:gridSpan w:val="2"/>
            <w:tcBorders>
              <w:top w:val="single" w:sz="4" w:space="0" w:color="012169"/>
              <w:bottom w:val="single" w:sz="4" w:space="0" w:color="012169"/>
            </w:tcBorders>
            <w:shd w:val="clear" w:color="F2F2F2" w:fill="FFFFFF"/>
            <w:vAlign w:val="center"/>
          </w:tcPr>
          <w:p w14:paraId="4293FCC4"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991 565 376</w:t>
            </w:r>
          </w:p>
        </w:tc>
        <w:tc>
          <w:tcPr>
            <w:tcW w:w="1384" w:type="dxa"/>
            <w:tcBorders>
              <w:top w:val="single" w:sz="4" w:space="0" w:color="012169"/>
              <w:bottom w:val="single" w:sz="4" w:space="0" w:color="012169"/>
            </w:tcBorders>
            <w:shd w:val="clear" w:color="F2F2F2" w:fill="FFFFFF"/>
            <w:vAlign w:val="center"/>
          </w:tcPr>
          <w:p w14:paraId="4254B109"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912 198 873</w:t>
            </w:r>
          </w:p>
        </w:tc>
        <w:tc>
          <w:tcPr>
            <w:tcW w:w="1559" w:type="dxa"/>
            <w:gridSpan w:val="2"/>
            <w:tcBorders>
              <w:top w:val="single" w:sz="4" w:space="0" w:color="012169"/>
              <w:bottom w:val="single" w:sz="4" w:space="0" w:color="012169"/>
            </w:tcBorders>
            <w:shd w:val="clear" w:color="auto" w:fill="auto"/>
            <w:vAlign w:val="center"/>
          </w:tcPr>
          <w:p w14:paraId="46188B33"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79 366 503</w:t>
            </w:r>
          </w:p>
        </w:tc>
        <w:tc>
          <w:tcPr>
            <w:tcW w:w="1152" w:type="dxa"/>
            <w:tcBorders>
              <w:top w:val="single" w:sz="4" w:space="0" w:color="012169"/>
              <w:bottom w:val="single" w:sz="4" w:space="0" w:color="012169"/>
            </w:tcBorders>
            <w:shd w:val="clear" w:color="auto" w:fill="auto"/>
            <w:vAlign w:val="center"/>
          </w:tcPr>
          <w:p w14:paraId="36A0F0B4"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8.70</w:t>
            </w:r>
          </w:p>
        </w:tc>
      </w:tr>
      <w:tr w:rsidR="00B1750B" w:rsidRPr="00587EA8" w14:paraId="016BB8B6" w14:textId="77777777" w:rsidTr="00B779A5">
        <w:trPr>
          <w:trHeight w:val="261"/>
        </w:trPr>
        <w:tc>
          <w:tcPr>
            <w:tcW w:w="3119" w:type="dxa"/>
            <w:tcBorders>
              <w:top w:val="single" w:sz="4" w:space="0" w:color="012169"/>
              <w:bottom w:val="single" w:sz="4" w:space="0" w:color="012169"/>
            </w:tcBorders>
            <w:shd w:val="clear" w:color="auto" w:fill="auto"/>
            <w:vAlign w:val="center"/>
          </w:tcPr>
          <w:p w14:paraId="27EFFA29"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Mācību, darba un dienesta komandējumi un dienesta, darba braucieni</w:t>
            </w:r>
          </w:p>
        </w:tc>
        <w:tc>
          <w:tcPr>
            <w:tcW w:w="850" w:type="dxa"/>
            <w:tcBorders>
              <w:top w:val="single" w:sz="4" w:space="0" w:color="012169"/>
              <w:bottom w:val="single" w:sz="4" w:space="0" w:color="012169"/>
            </w:tcBorders>
            <w:shd w:val="clear" w:color="auto" w:fill="auto"/>
            <w:vAlign w:val="center"/>
          </w:tcPr>
          <w:p w14:paraId="3C5CAC2B" w14:textId="77777777"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51" w:type="dxa"/>
            <w:gridSpan w:val="2"/>
            <w:tcBorders>
              <w:top w:val="single" w:sz="4" w:space="0" w:color="012169"/>
              <w:bottom w:val="single" w:sz="4" w:space="0" w:color="012169"/>
            </w:tcBorders>
            <w:shd w:val="clear" w:color="F2F2F2" w:fill="FFFFFF"/>
            <w:vAlign w:val="center"/>
          </w:tcPr>
          <w:p w14:paraId="4A45CD14"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44 532 671</w:t>
            </w:r>
          </w:p>
        </w:tc>
        <w:tc>
          <w:tcPr>
            <w:tcW w:w="1384" w:type="dxa"/>
            <w:tcBorders>
              <w:top w:val="single" w:sz="4" w:space="0" w:color="012169"/>
              <w:bottom w:val="single" w:sz="4" w:space="0" w:color="012169"/>
            </w:tcBorders>
            <w:shd w:val="clear" w:color="F2F2F2" w:fill="FFFFFF"/>
            <w:vAlign w:val="center"/>
          </w:tcPr>
          <w:p w14:paraId="72D961D6"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44 168 832</w:t>
            </w:r>
          </w:p>
        </w:tc>
        <w:tc>
          <w:tcPr>
            <w:tcW w:w="1559" w:type="dxa"/>
            <w:gridSpan w:val="2"/>
            <w:tcBorders>
              <w:top w:val="single" w:sz="4" w:space="0" w:color="012169"/>
              <w:bottom w:val="single" w:sz="4" w:space="0" w:color="012169"/>
            </w:tcBorders>
            <w:shd w:val="clear" w:color="auto" w:fill="auto"/>
            <w:vAlign w:val="center"/>
          </w:tcPr>
          <w:p w14:paraId="188B4C53"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363 839</w:t>
            </w:r>
          </w:p>
        </w:tc>
        <w:tc>
          <w:tcPr>
            <w:tcW w:w="1152" w:type="dxa"/>
            <w:tcBorders>
              <w:top w:val="single" w:sz="4" w:space="0" w:color="012169"/>
              <w:bottom w:val="single" w:sz="4" w:space="0" w:color="012169"/>
            </w:tcBorders>
            <w:shd w:val="clear" w:color="auto" w:fill="auto"/>
            <w:vAlign w:val="center"/>
          </w:tcPr>
          <w:p w14:paraId="32FBD01D"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0.82</w:t>
            </w:r>
          </w:p>
        </w:tc>
      </w:tr>
      <w:tr w:rsidR="00B1750B" w:rsidRPr="00587EA8" w14:paraId="30F3E772" w14:textId="77777777" w:rsidTr="00B779A5">
        <w:trPr>
          <w:trHeight w:val="261"/>
        </w:trPr>
        <w:tc>
          <w:tcPr>
            <w:tcW w:w="3119" w:type="dxa"/>
            <w:tcBorders>
              <w:top w:val="single" w:sz="4" w:space="0" w:color="012169"/>
              <w:bottom w:val="single" w:sz="4" w:space="0" w:color="012169"/>
            </w:tcBorders>
            <w:shd w:val="clear" w:color="auto" w:fill="auto"/>
            <w:vAlign w:val="center"/>
          </w:tcPr>
          <w:p w14:paraId="1C99DF3B"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Pakalpojumi</w:t>
            </w:r>
          </w:p>
        </w:tc>
        <w:tc>
          <w:tcPr>
            <w:tcW w:w="850" w:type="dxa"/>
            <w:tcBorders>
              <w:top w:val="single" w:sz="4" w:space="0" w:color="012169"/>
              <w:bottom w:val="single" w:sz="4" w:space="0" w:color="012169"/>
            </w:tcBorders>
            <w:shd w:val="clear" w:color="auto" w:fill="auto"/>
            <w:vAlign w:val="center"/>
          </w:tcPr>
          <w:p w14:paraId="5615AE5A" w14:textId="77777777" w:rsidR="00B1750B" w:rsidRPr="00587EA8" w:rsidRDefault="00B1750B" w:rsidP="009A09DF">
            <w:pPr>
              <w:spacing w:after="0" w:line="240" w:lineRule="auto"/>
              <w:jc w:val="center"/>
              <w:rPr>
                <w:rFonts w:eastAsia="Times New Roman" w:cs="Times New Roman"/>
                <w:color w:val="17365D"/>
                <w:sz w:val="18"/>
                <w:szCs w:val="18"/>
              </w:rPr>
            </w:pPr>
          </w:p>
        </w:tc>
        <w:tc>
          <w:tcPr>
            <w:tcW w:w="1451" w:type="dxa"/>
            <w:gridSpan w:val="2"/>
            <w:tcBorders>
              <w:top w:val="single" w:sz="4" w:space="0" w:color="012169"/>
              <w:bottom w:val="single" w:sz="4" w:space="0" w:color="012169"/>
            </w:tcBorders>
            <w:shd w:val="clear" w:color="F2F2F2" w:fill="FFFFFF"/>
            <w:vAlign w:val="center"/>
          </w:tcPr>
          <w:p w14:paraId="18CEA8D3"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1 302 153 265</w:t>
            </w:r>
          </w:p>
        </w:tc>
        <w:tc>
          <w:tcPr>
            <w:tcW w:w="1384" w:type="dxa"/>
            <w:tcBorders>
              <w:top w:val="single" w:sz="4" w:space="0" w:color="012169"/>
              <w:bottom w:val="single" w:sz="4" w:space="0" w:color="012169"/>
            </w:tcBorders>
            <w:shd w:val="clear" w:color="F2F2F2" w:fill="FFFFFF"/>
            <w:vAlign w:val="center"/>
          </w:tcPr>
          <w:p w14:paraId="4B2F54A8"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1 303 669 640</w:t>
            </w:r>
          </w:p>
        </w:tc>
        <w:tc>
          <w:tcPr>
            <w:tcW w:w="1559" w:type="dxa"/>
            <w:gridSpan w:val="2"/>
            <w:tcBorders>
              <w:top w:val="single" w:sz="4" w:space="0" w:color="012169"/>
              <w:bottom w:val="single" w:sz="4" w:space="0" w:color="012169"/>
            </w:tcBorders>
            <w:shd w:val="clear" w:color="auto" w:fill="auto"/>
            <w:vAlign w:val="center"/>
          </w:tcPr>
          <w:p w14:paraId="71CF9F19"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-1 516 375</w:t>
            </w:r>
          </w:p>
        </w:tc>
        <w:tc>
          <w:tcPr>
            <w:tcW w:w="1152" w:type="dxa"/>
            <w:tcBorders>
              <w:top w:val="single" w:sz="4" w:space="0" w:color="012169"/>
              <w:bottom w:val="single" w:sz="4" w:space="0" w:color="012169"/>
            </w:tcBorders>
            <w:shd w:val="clear" w:color="auto" w:fill="auto"/>
            <w:vAlign w:val="center"/>
          </w:tcPr>
          <w:p w14:paraId="45177BC4"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-0.12</w:t>
            </w:r>
          </w:p>
        </w:tc>
      </w:tr>
      <w:tr w:rsidR="00B1750B" w:rsidRPr="00587EA8" w14:paraId="1602AC39" w14:textId="77777777" w:rsidTr="00B779A5">
        <w:trPr>
          <w:trHeight w:val="261"/>
        </w:trPr>
        <w:tc>
          <w:tcPr>
            <w:tcW w:w="3119" w:type="dxa"/>
            <w:tcBorders>
              <w:top w:val="single" w:sz="4" w:space="0" w:color="012169"/>
              <w:bottom w:val="single" w:sz="4" w:space="0" w:color="012169"/>
            </w:tcBorders>
            <w:shd w:val="clear" w:color="auto" w:fill="auto"/>
            <w:vAlign w:val="center"/>
          </w:tcPr>
          <w:p w14:paraId="1802C0B5"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Krājumi, materiāli, energoresursi, preces, biroja preces un inventārs, periodika</w:t>
            </w:r>
          </w:p>
        </w:tc>
        <w:tc>
          <w:tcPr>
            <w:tcW w:w="850" w:type="dxa"/>
            <w:tcBorders>
              <w:top w:val="single" w:sz="4" w:space="0" w:color="012169"/>
              <w:bottom w:val="single" w:sz="4" w:space="0" w:color="012169"/>
            </w:tcBorders>
            <w:shd w:val="clear" w:color="auto" w:fill="auto"/>
            <w:vAlign w:val="center"/>
          </w:tcPr>
          <w:p w14:paraId="3CA78D63" w14:textId="77777777"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51" w:type="dxa"/>
            <w:gridSpan w:val="2"/>
            <w:tcBorders>
              <w:top w:val="single" w:sz="4" w:space="0" w:color="012169"/>
              <w:bottom w:val="single" w:sz="4" w:space="0" w:color="012169"/>
            </w:tcBorders>
            <w:shd w:val="clear" w:color="F2F2F2" w:fill="FFFFFF"/>
            <w:vAlign w:val="center"/>
          </w:tcPr>
          <w:p w14:paraId="02E7DA32"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572 431 773</w:t>
            </w:r>
          </w:p>
        </w:tc>
        <w:tc>
          <w:tcPr>
            <w:tcW w:w="1384" w:type="dxa"/>
            <w:tcBorders>
              <w:top w:val="single" w:sz="4" w:space="0" w:color="012169"/>
              <w:bottom w:val="single" w:sz="4" w:space="0" w:color="012169"/>
            </w:tcBorders>
            <w:shd w:val="clear" w:color="F2F2F2" w:fill="FFFFFF"/>
            <w:vAlign w:val="center"/>
          </w:tcPr>
          <w:p w14:paraId="13AA71BB"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607 647 353</w:t>
            </w:r>
          </w:p>
        </w:tc>
        <w:tc>
          <w:tcPr>
            <w:tcW w:w="1559" w:type="dxa"/>
            <w:gridSpan w:val="2"/>
            <w:tcBorders>
              <w:top w:val="single" w:sz="4" w:space="0" w:color="012169"/>
              <w:bottom w:val="single" w:sz="4" w:space="0" w:color="012169"/>
            </w:tcBorders>
            <w:shd w:val="clear" w:color="auto" w:fill="auto"/>
            <w:vAlign w:val="center"/>
          </w:tcPr>
          <w:p w14:paraId="0CD9C3F1"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-35 215 580</w:t>
            </w:r>
          </w:p>
        </w:tc>
        <w:tc>
          <w:tcPr>
            <w:tcW w:w="1152" w:type="dxa"/>
            <w:tcBorders>
              <w:top w:val="single" w:sz="4" w:space="0" w:color="012169"/>
              <w:bottom w:val="single" w:sz="4" w:space="0" w:color="012169"/>
            </w:tcBorders>
            <w:shd w:val="clear" w:color="auto" w:fill="auto"/>
            <w:vAlign w:val="center"/>
          </w:tcPr>
          <w:p w14:paraId="193EB717"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-5.80</w:t>
            </w:r>
          </w:p>
        </w:tc>
      </w:tr>
      <w:tr w:rsidR="00B1750B" w:rsidRPr="00587EA8" w14:paraId="17389DB6" w14:textId="77777777" w:rsidTr="00B779A5">
        <w:trPr>
          <w:trHeight w:val="261"/>
        </w:trPr>
        <w:tc>
          <w:tcPr>
            <w:tcW w:w="3119" w:type="dxa"/>
            <w:tcBorders>
              <w:top w:val="single" w:sz="4" w:space="0" w:color="012169"/>
              <w:bottom w:val="single" w:sz="4" w:space="0" w:color="012169"/>
            </w:tcBorders>
            <w:shd w:val="clear" w:color="auto" w:fill="auto"/>
            <w:vAlign w:val="center"/>
          </w:tcPr>
          <w:p w14:paraId="7F95C964"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Nodokļu, nodevu un naudas sodu maksājumi</w:t>
            </w:r>
          </w:p>
        </w:tc>
        <w:tc>
          <w:tcPr>
            <w:tcW w:w="850" w:type="dxa"/>
            <w:tcBorders>
              <w:top w:val="single" w:sz="4" w:space="0" w:color="012169"/>
              <w:bottom w:val="single" w:sz="4" w:space="0" w:color="012169"/>
            </w:tcBorders>
            <w:shd w:val="clear" w:color="auto" w:fill="auto"/>
            <w:vAlign w:val="center"/>
          </w:tcPr>
          <w:p w14:paraId="305BF47F" w14:textId="77777777"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51" w:type="dxa"/>
            <w:gridSpan w:val="2"/>
            <w:tcBorders>
              <w:top w:val="single" w:sz="4" w:space="0" w:color="012169"/>
              <w:bottom w:val="single" w:sz="4" w:space="0" w:color="012169"/>
            </w:tcBorders>
            <w:shd w:val="clear" w:color="F2F2F2" w:fill="FFFFFF"/>
            <w:vAlign w:val="center"/>
          </w:tcPr>
          <w:p w14:paraId="52BF66A8"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31 964 948</w:t>
            </w:r>
          </w:p>
        </w:tc>
        <w:tc>
          <w:tcPr>
            <w:tcW w:w="1384" w:type="dxa"/>
            <w:tcBorders>
              <w:top w:val="single" w:sz="4" w:space="0" w:color="012169"/>
              <w:bottom w:val="single" w:sz="4" w:space="0" w:color="012169"/>
            </w:tcBorders>
            <w:shd w:val="clear" w:color="F2F2F2" w:fill="FFFFFF"/>
            <w:vAlign w:val="center"/>
          </w:tcPr>
          <w:p w14:paraId="13D20F8E"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32 169 847</w:t>
            </w:r>
          </w:p>
        </w:tc>
        <w:tc>
          <w:tcPr>
            <w:tcW w:w="1559" w:type="dxa"/>
            <w:gridSpan w:val="2"/>
            <w:tcBorders>
              <w:top w:val="single" w:sz="4" w:space="0" w:color="012169"/>
              <w:bottom w:val="single" w:sz="4" w:space="0" w:color="012169"/>
            </w:tcBorders>
            <w:shd w:val="clear" w:color="auto" w:fill="auto"/>
            <w:vAlign w:val="center"/>
          </w:tcPr>
          <w:p w14:paraId="7CAB69DD"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-204 899</w:t>
            </w:r>
          </w:p>
        </w:tc>
        <w:tc>
          <w:tcPr>
            <w:tcW w:w="1152" w:type="dxa"/>
            <w:tcBorders>
              <w:top w:val="single" w:sz="4" w:space="0" w:color="012169"/>
              <w:bottom w:val="single" w:sz="4" w:space="0" w:color="012169"/>
            </w:tcBorders>
            <w:shd w:val="clear" w:color="auto" w:fill="auto"/>
            <w:vAlign w:val="center"/>
          </w:tcPr>
          <w:p w14:paraId="570934BA"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-0.64</w:t>
            </w:r>
          </w:p>
        </w:tc>
      </w:tr>
      <w:tr w:rsidR="00B1750B" w:rsidRPr="00587EA8" w14:paraId="72880914" w14:textId="77777777" w:rsidTr="00B779A5">
        <w:trPr>
          <w:trHeight w:val="261"/>
        </w:trPr>
        <w:tc>
          <w:tcPr>
            <w:tcW w:w="3119" w:type="dxa"/>
            <w:tcBorders>
              <w:top w:val="single" w:sz="4" w:space="0" w:color="012169"/>
              <w:bottom w:val="single" w:sz="4" w:space="0" w:color="012169"/>
            </w:tcBorders>
            <w:shd w:val="clear" w:color="auto" w:fill="auto"/>
            <w:vAlign w:val="center"/>
          </w:tcPr>
          <w:p w14:paraId="7207164C"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Subsīdijas, dotācijas un sociālie pabalsti, kārtējie maksājumi Eiropas Savienības budžetā un starptautiskā sadarbība</w:t>
            </w:r>
          </w:p>
        </w:tc>
        <w:tc>
          <w:tcPr>
            <w:tcW w:w="850" w:type="dxa"/>
            <w:tcBorders>
              <w:top w:val="single" w:sz="4" w:space="0" w:color="012169"/>
              <w:bottom w:val="single" w:sz="4" w:space="0" w:color="012169"/>
            </w:tcBorders>
            <w:shd w:val="clear" w:color="auto" w:fill="auto"/>
            <w:vAlign w:val="center"/>
          </w:tcPr>
          <w:p w14:paraId="14EF50E1" w14:textId="77777777"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51" w:type="dxa"/>
            <w:gridSpan w:val="2"/>
            <w:tcBorders>
              <w:top w:val="single" w:sz="4" w:space="0" w:color="012169"/>
              <w:bottom w:val="single" w:sz="4" w:space="0" w:color="012169"/>
            </w:tcBorders>
            <w:shd w:val="clear" w:color="F2F2F2" w:fill="FFFFFF"/>
            <w:vAlign w:val="center"/>
          </w:tcPr>
          <w:p w14:paraId="3BFE978A"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9 459 415 986</w:t>
            </w:r>
          </w:p>
        </w:tc>
        <w:tc>
          <w:tcPr>
            <w:tcW w:w="1384" w:type="dxa"/>
            <w:tcBorders>
              <w:top w:val="single" w:sz="4" w:space="0" w:color="012169"/>
              <w:bottom w:val="single" w:sz="4" w:space="0" w:color="012169"/>
            </w:tcBorders>
            <w:shd w:val="clear" w:color="F2F2F2" w:fill="FFFFFF"/>
            <w:vAlign w:val="center"/>
          </w:tcPr>
          <w:p w14:paraId="31084DC5"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8 890 134 795</w:t>
            </w:r>
          </w:p>
        </w:tc>
        <w:tc>
          <w:tcPr>
            <w:tcW w:w="1559" w:type="dxa"/>
            <w:gridSpan w:val="2"/>
            <w:tcBorders>
              <w:top w:val="single" w:sz="4" w:space="0" w:color="012169"/>
              <w:bottom w:val="single" w:sz="4" w:space="0" w:color="012169"/>
            </w:tcBorders>
            <w:shd w:val="clear" w:color="auto" w:fill="auto"/>
            <w:vAlign w:val="center"/>
          </w:tcPr>
          <w:p w14:paraId="269C40BB"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569 281 191</w:t>
            </w:r>
          </w:p>
        </w:tc>
        <w:tc>
          <w:tcPr>
            <w:tcW w:w="1152" w:type="dxa"/>
            <w:tcBorders>
              <w:top w:val="single" w:sz="4" w:space="0" w:color="012169"/>
              <w:bottom w:val="single" w:sz="4" w:space="0" w:color="012169"/>
            </w:tcBorders>
            <w:shd w:val="clear" w:color="auto" w:fill="auto"/>
            <w:vAlign w:val="center"/>
          </w:tcPr>
          <w:p w14:paraId="536C0852"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6.40</w:t>
            </w:r>
          </w:p>
        </w:tc>
      </w:tr>
      <w:tr w:rsidR="00B1750B" w:rsidRPr="00587EA8" w14:paraId="5C1AD94D" w14:textId="77777777" w:rsidTr="00B779A5">
        <w:trPr>
          <w:trHeight w:val="261"/>
        </w:trPr>
        <w:tc>
          <w:tcPr>
            <w:tcW w:w="3119" w:type="dxa"/>
            <w:tcBorders>
              <w:top w:val="single" w:sz="4" w:space="0" w:color="012169"/>
              <w:bottom w:val="single" w:sz="4" w:space="0" w:color="012169"/>
            </w:tcBorders>
            <w:shd w:val="clear" w:color="auto" w:fill="auto"/>
            <w:vAlign w:val="center"/>
          </w:tcPr>
          <w:p w14:paraId="67D1358E"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Procentu izdevumi</w:t>
            </w:r>
          </w:p>
        </w:tc>
        <w:tc>
          <w:tcPr>
            <w:tcW w:w="850" w:type="dxa"/>
            <w:tcBorders>
              <w:top w:val="single" w:sz="4" w:space="0" w:color="012169"/>
              <w:bottom w:val="single" w:sz="4" w:space="0" w:color="012169"/>
            </w:tcBorders>
            <w:shd w:val="clear" w:color="auto" w:fill="auto"/>
            <w:vAlign w:val="center"/>
          </w:tcPr>
          <w:p w14:paraId="60007B00" w14:textId="07CEFE1C"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FD</w:t>
            </w:r>
            <w:r w:rsidR="006E6B94">
              <w:rPr>
                <w:color w:val="17365D"/>
                <w:sz w:val="18"/>
                <w:szCs w:val="18"/>
              </w:rPr>
              <w:t>.</w:t>
            </w:r>
            <w:r>
              <w:rPr>
                <w:color w:val="17365D"/>
                <w:sz w:val="18"/>
                <w:szCs w:val="18"/>
              </w:rPr>
              <w:t>A28.</w:t>
            </w:r>
          </w:p>
        </w:tc>
        <w:tc>
          <w:tcPr>
            <w:tcW w:w="1451" w:type="dxa"/>
            <w:gridSpan w:val="2"/>
            <w:tcBorders>
              <w:top w:val="single" w:sz="4" w:space="0" w:color="012169"/>
              <w:bottom w:val="single" w:sz="4" w:space="0" w:color="012169"/>
            </w:tcBorders>
            <w:shd w:val="clear" w:color="F2F2F2" w:fill="FFFFFF"/>
            <w:vAlign w:val="center"/>
          </w:tcPr>
          <w:p w14:paraId="0D7B96DB"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508 462 166</w:t>
            </w:r>
          </w:p>
        </w:tc>
        <w:tc>
          <w:tcPr>
            <w:tcW w:w="1384" w:type="dxa"/>
            <w:tcBorders>
              <w:top w:val="single" w:sz="4" w:space="0" w:color="012169"/>
              <w:bottom w:val="single" w:sz="4" w:space="0" w:color="012169"/>
            </w:tcBorders>
            <w:shd w:val="clear" w:color="F2F2F2" w:fill="FFFFFF"/>
            <w:vAlign w:val="center"/>
          </w:tcPr>
          <w:p w14:paraId="5956F998"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374 713 753</w:t>
            </w:r>
          </w:p>
        </w:tc>
        <w:tc>
          <w:tcPr>
            <w:tcW w:w="1559" w:type="dxa"/>
            <w:gridSpan w:val="2"/>
            <w:tcBorders>
              <w:top w:val="single" w:sz="4" w:space="0" w:color="012169"/>
              <w:bottom w:val="single" w:sz="4" w:space="0" w:color="012169"/>
            </w:tcBorders>
            <w:shd w:val="clear" w:color="F2F2F2" w:fill="FFFFFF"/>
            <w:vAlign w:val="center"/>
          </w:tcPr>
          <w:p w14:paraId="78B2123C"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133 748 413</w:t>
            </w:r>
          </w:p>
        </w:tc>
        <w:tc>
          <w:tcPr>
            <w:tcW w:w="1152" w:type="dxa"/>
            <w:tcBorders>
              <w:top w:val="single" w:sz="4" w:space="0" w:color="012169"/>
              <w:bottom w:val="single" w:sz="4" w:space="0" w:color="012169"/>
            </w:tcBorders>
            <w:shd w:val="clear" w:color="F2F2F2" w:fill="FFFFFF"/>
            <w:vAlign w:val="center"/>
          </w:tcPr>
          <w:p w14:paraId="627275B7"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35.69</w:t>
            </w:r>
          </w:p>
        </w:tc>
      </w:tr>
      <w:tr w:rsidR="00B1750B" w:rsidRPr="00587EA8" w14:paraId="5556F2C0" w14:textId="77777777" w:rsidTr="00B779A5">
        <w:trPr>
          <w:trHeight w:val="261"/>
        </w:trPr>
        <w:tc>
          <w:tcPr>
            <w:tcW w:w="3119" w:type="dxa"/>
            <w:tcBorders>
              <w:top w:val="single" w:sz="4" w:space="0" w:color="012169"/>
              <w:bottom w:val="single" w:sz="4" w:space="0" w:color="012169"/>
            </w:tcBorders>
            <w:shd w:val="clear" w:color="auto" w:fill="auto"/>
            <w:vAlign w:val="center"/>
          </w:tcPr>
          <w:p w14:paraId="0D0F476D" w14:textId="77777777"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 xml:space="preserve">Nolietojuma un amortizācijas izmaksas </w:t>
            </w:r>
          </w:p>
        </w:tc>
        <w:tc>
          <w:tcPr>
            <w:tcW w:w="850" w:type="dxa"/>
            <w:tcBorders>
              <w:top w:val="single" w:sz="4" w:space="0" w:color="012169"/>
              <w:bottom w:val="single" w:sz="4" w:space="0" w:color="012169"/>
            </w:tcBorders>
            <w:shd w:val="clear" w:color="auto" w:fill="auto"/>
            <w:vAlign w:val="center"/>
          </w:tcPr>
          <w:p w14:paraId="1E33DC05" w14:textId="77777777"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51" w:type="dxa"/>
            <w:gridSpan w:val="2"/>
            <w:tcBorders>
              <w:top w:val="single" w:sz="4" w:space="0" w:color="012169"/>
              <w:bottom w:val="single" w:sz="4" w:space="0" w:color="012169"/>
            </w:tcBorders>
            <w:shd w:val="clear" w:color="F2F2F2" w:fill="FFFFFF"/>
            <w:vAlign w:val="center"/>
          </w:tcPr>
          <w:p w14:paraId="468C60DE"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896 737 552</w:t>
            </w:r>
          </w:p>
        </w:tc>
        <w:tc>
          <w:tcPr>
            <w:tcW w:w="1384" w:type="dxa"/>
            <w:tcBorders>
              <w:top w:val="single" w:sz="4" w:space="0" w:color="012169"/>
              <w:bottom w:val="single" w:sz="4" w:space="0" w:color="012169"/>
            </w:tcBorders>
            <w:shd w:val="clear" w:color="F2F2F2" w:fill="FFFFFF"/>
            <w:vAlign w:val="center"/>
          </w:tcPr>
          <w:p w14:paraId="126CEF35"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817 724 157</w:t>
            </w:r>
          </w:p>
        </w:tc>
        <w:tc>
          <w:tcPr>
            <w:tcW w:w="1559" w:type="dxa"/>
            <w:gridSpan w:val="2"/>
            <w:tcBorders>
              <w:top w:val="single" w:sz="4" w:space="0" w:color="012169"/>
              <w:bottom w:val="single" w:sz="4" w:space="0" w:color="012169"/>
            </w:tcBorders>
            <w:shd w:val="clear" w:color="auto" w:fill="auto"/>
            <w:vAlign w:val="center"/>
          </w:tcPr>
          <w:p w14:paraId="78216D76"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79 013 395</w:t>
            </w:r>
          </w:p>
        </w:tc>
        <w:tc>
          <w:tcPr>
            <w:tcW w:w="1152" w:type="dxa"/>
            <w:tcBorders>
              <w:top w:val="single" w:sz="4" w:space="0" w:color="012169"/>
              <w:bottom w:val="single" w:sz="4" w:space="0" w:color="012169"/>
            </w:tcBorders>
            <w:shd w:val="clear" w:color="auto" w:fill="auto"/>
            <w:vAlign w:val="center"/>
          </w:tcPr>
          <w:p w14:paraId="35714453"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9.66</w:t>
            </w:r>
          </w:p>
        </w:tc>
      </w:tr>
      <w:tr w:rsidR="00B1750B" w:rsidRPr="00587EA8" w14:paraId="644512D9" w14:textId="77777777" w:rsidTr="00B779A5">
        <w:trPr>
          <w:trHeight w:val="261"/>
        </w:trPr>
        <w:tc>
          <w:tcPr>
            <w:tcW w:w="3119" w:type="dxa"/>
            <w:tcBorders>
              <w:top w:val="single" w:sz="4" w:space="0" w:color="012169"/>
              <w:bottom w:val="single" w:sz="4" w:space="0" w:color="012169"/>
            </w:tcBorders>
            <w:shd w:val="clear" w:color="auto" w:fill="auto"/>
            <w:vAlign w:val="center"/>
          </w:tcPr>
          <w:p w14:paraId="03AB9E59" w14:textId="4AE56C7B" w:rsidR="00B1750B" w:rsidRPr="00587EA8" w:rsidRDefault="00B1750B" w:rsidP="009A09DF">
            <w:pPr>
              <w:spacing w:after="0" w:line="240" w:lineRule="auto"/>
              <w:rPr>
                <w:rFonts w:eastAsia="Times New Roman" w:cs="Times New Roman"/>
                <w:color w:val="17365D"/>
                <w:sz w:val="18"/>
                <w:szCs w:val="18"/>
              </w:rPr>
            </w:pPr>
            <w:r>
              <w:rPr>
                <w:color w:val="17365D"/>
                <w:sz w:val="18"/>
                <w:szCs w:val="18"/>
              </w:rPr>
              <w:t>Pārējie izdevumi</w:t>
            </w:r>
          </w:p>
        </w:tc>
        <w:tc>
          <w:tcPr>
            <w:tcW w:w="850" w:type="dxa"/>
            <w:tcBorders>
              <w:top w:val="single" w:sz="4" w:space="0" w:color="012169"/>
              <w:bottom w:val="single" w:sz="4" w:space="0" w:color="012169"/>
            </w:tcBorders>
            <w:shd w:val="clear" w:color="auto" w:fill="auto"/>
            <w:vAlign w:val="center"/>
          </w:tcPr>
          <w:p w14:paraId="69E673B4" w14:textId="2FDF72ED" w:rsidR="00B1750B" w:rsidRPr="00587EA8" w:rsidRDefault="00B1750B" w:rsidP="009A09DF">
            <w:pPr>
              <w:spacing w:after="0" w:line="240" w:lineRule="auto"/>
              <w:jc w:val="center"/>
              <w:rPr>
                <w:rFonts w:eastAsia="Times New Roman" w:cs="Times New Roman"/>
                <w:color w:val="17365D"/>
                <w:sz w:val="18"/>
                <w:szCs w:val="18"/>
              </w:rPr>
            </w:pPr>
            <w:r>
              <w:rPr>
                <w:color w:val="17365D"/>
                <w:sz w:val="18"/>
                <w:szCs w:val="18"/>
              </w:rPr>
              <w:t>FD</w:t>
            </w:r>
            <w:r w:rsidR="006E6B94">
              <w:rPr>
                <w:color w:val="17365D"/>
                <w:sz w:val="18"/>
                <w:szCs w:val="18"/>
              </w:rPr>
              <w:t>.</w:t>
            </w:r>
            <w:r>
              <w:rPr>
                <w:color w:val="17365D"/>
                <w:sz w:val="18"/>
                <w:szCs w:val="18"/>
              </w:rPr>
              <w:t>A31.</w:t>
            </w:r>
          </w:p>
        </w:tc>
        <w:tc>
          <w:tcPr>
            <w:tcW w:w="1451" w:type="dxa"/>
            <w:gridSpan w:val="2"/>
            <w:tcBorders>
              <w:top w:val="single" w:sz="4" w:space="0" w:color="012169"/>
              <w:bottom w:val="single" w:sz="4" w:space="0" w:color="012169"/>
            </w:tcBorders>
            <w:shd w:val="clear" w:color="F2F2F2" w:fill="FFFFFF"/>
            <w:vAlign w:val="center"/>
          </w:tcPr>
          <w:p w14:paraId="48F1A325"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2 605 178 397</w:t>
            </w:r>
          </w:p>
        </w:tc>
        <w:tc>
          <w:tcPr>
            <w:tcW w:w="1384" w:type="dxa"/>
            <w:tcBorders>
              <w:top w:val="single" w:sz="4" w:space="0" w:color="012169"/>
              <w:bottom w:val="single" w:sz="4" w:space="0" w:color="012169"/>
            </w:tcBorders>
            <w:shd w:val="clear" w:color="F2F2F2" w:fill="FFFFFF"/>
            <w:vAlign w:val="center"/>
          </w:tcPr>
          <w:p w14:paraId="790CABB6"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1 694 412 778</w:t>
            </w:r>
          </w:p>
        </w:tc>
        <w:tc>
          <w:tcPr>
            <w:tcW w:w="1559" w:type="dxa"/>
            <w:gridSpan w:val="2"/>
            <w:tcBorders>
              <w:top w:val="single" w:sz="4" w:space="0" w:color="012169"/>
              <w:bottom w:val="single" w:sz="4" w:space="0" w:color="012169"/>
            </w:tcBorders>
            <w:shd w:val="clear" w:color="auto" w:fill="auto"/>
            <w:vAlign w:val="center"/>
          </w:tcPr>
          <w:p w14:paraId="76246D2F" w14:textId="77777777" w:rsidR="00B1750B" w:rsidRPr="00587EA8" w:rsidRDefault="00B1750B" w:rsidP="0051080D">
            <w:pPr>
              <w:spacing w:after="0" w:line="240" w:lineRule="auto"/>
              <w:jc w:val="right"/>
              <w:rPr>
                <w:rFonts w:eastAsia="Arial Unicode MS" w:cs="Times New Roman"/>
                <w:color w:val="17365D"/>
                <w:sz w:val="18"/>
                <w:szCs w:val="18"/>
              </w:rPr>
            </w:pPr>
            <w:r>
              <w:rPr>
                <w:color w:val="17365D"/>
                <w:sz w:val="18"/>
                <w:szCs w:val="18"/>
              </w:rPr>
              <w:t>910 765 619</w:t>
            </w:r>
          </w:p>
        </w:tc>
        <w:tc>
          <w:tcPr>
            <w:tcW w:w="1152" w:type="dxa"/>
            <w:tcBorders>
              <w:top w:val="single" w:sz="4" w:space="0" w:color="012169"/>
              <w:bottom w:val="single" w:sz="4" w:space="0" w:color="012169"/>
            </w:tcBorders>
            <w:shd w:val="clear" w:color="auto" w:fill="auto"/>
            <w:vAlign w:val="center"/>
          </w:tcPr>
          <w:p w14:paraId="6E7D9EE1" w14:textId="77777777" w:rsidR="00B1750B" w:rsidRPr="00587EA8" w:rsidRDefault="00B1750B" w:rsidP="009A09DF">
            <w:pPr>
              <w:spacing w:after="0" w:line="240" w:lineRule="auto"/>
              <w:jc w:val="right"/>
              <w:rPr>
                <w:rFonts w:eastAsia="Arial Unicode MS" w:cs="Times New Roman"/>
                <w:color w:val="17365D"/>
                <w:sz w:val="18"/>
                <w:szCs w:val="18"/>
              </w:rPr>
            </w:pPr>
            <w:r>
              <w:rPr>
                <w:color w:val="17365D"/>
                <w:sz w:val="18"/>
                <w:szCs w:val="18"/>
              </w:rPr>
              <w:t>53.75</w:t>
            </w:r>
          </w:p>
        </w:tc>
      </w:tr>
      <w:tr w:rsidR="00B1750B" w:rsidRPr="00E6180B" w14:paraId="48BD850B" w14:textId="77777777" w:rsidTr="00B779A5">
        <w:trPr>
          <w:trHeight w:val="206"/>
        </w:trPr>
        <w:tc>
          <w:tcPr>
            <w:tcW w:w="5403" w:type="dxa"/>
            <w:gridSpan w:val="3"/>
            <w:tcBorders>
              <w:top w:val="single" w:sz="4" w:space="0" w:color="012169"/>
            </w:tcBorders>
            <w:shd w:val="clear" w:color="auto" w:fill="B8CCE4" w:themeFill="accent1" w:themeFillTint="66"/>
            <w:vAlign w:val="center"/>
          </w:tcPr>
          <w:p w14:paraId="48F10B70" w14:textId="77777777" w:rsidR="00B1750B" w:rsidRPr="00A27896" w:rsidRDefault="00B1750B" w:rsidP="009A09DF">
            <w:pPr>
              <w:spacing w:after="0" w:line="240" w:lineRule="auto"/>
              <w:rPr>
                <w:rFonts w:eastAsia="Arial Unicode MS" w:cs="Times New Roman"/>
                <w:b/>
                <w:color w:val="17365D"/>
                <w:sz w:val="18"/>
                <w:szCs w:val="18"/>
              </w:rPr>
            </w:pPr>
          </w:p>
        </w:tc>
        <w:tc>
          <w:tcPr>
            <w:tcW w:w="1984" w:type="dxa"/>
            <w:gridSpan w:val="3"/>
            <w:tcBorders>
              <w:top w:val="single" w:sz="4" w:space="0" w:color="012169"/>
              <w:left w:val="nil"/>
              <w:bottom w:val="nil"/>
              <w:right w:val="nil"/>
            </w:tcBorders>
            <w:shd w:val="clear" w:color="auto" w:fill="B8CCE4" w:themeFill="accent1" w:themeFillTint="66"/>
            <w:noWrap/>
            <w:vAlign w:val="center"/>
          </w:tcPr>
          <w:p w14:paraId="6250A426" w14:textId="77777777" w:rsidR="00B1750B" w:rsidRPr="00A27896" w:rsidRDefault="00B1750B" w:rsidP="009A09DF">
            <w:pPr>
              <w:spacing w:after="0" w:line="240" w:lineRule="auto"/>
              <w:jc w:val="right"/>
              <w:rPr>
                <w:rFonts w:eastAsia="Arial Unicode MS" w:cs="Times New Roman"/>
                <w:b/>
                <w:color w:val="17365D"/>
                <w:sz w:val="18"/>
                <w:szCs w:val="18"/>
              </w:rPr>
            </w:pPr>
          </w:p>
        </w:tc>
        <w:tc>
          <w:tcPr>
            <w:tcW w:w="2130" w:type="dxa"/>
            <w:gridSpan w:val="2"/>
            <w:tcBorders>
              <w:top w:val="single" w:sz="4" w:space="0" w:color="012169"/>
              <w:left w:val="nil"/>
              <w:bottom w:val="nil"/>
              <w:right w:val="nil"/>
            </w:tcBorders>
            <w:shd w:val="clear" w:color="auto" w:fill="B8CCE4" w:themeFill="accent1" w:themeFillTint="66"/>
            <w:vAlign w:val="center"/>
          </w:tcPr>
          <w:p w14:paraId="4AB62530" w14:textId="77777777" w:rsidR="00B1750B" w:rsidRPr="00A27896" w:rsidRDefault="00B1750B" w:rsidP="009A09DF">
            <w:pPr>
              <w:spacing w:after="0" w:line="240" w:lineRule="auto"/>
              <w:jc w:val="right"/>
              <w:rPr>
                <w:rFonts w:eastAsia="Arial Unicode MS" w:cs="Times New Roman"/>
                <w:b/>
                <w:color w:val="17365D"/>
                <w:sz w:val="18"/>
                <w:szCs w:val="18"/>
              </w:rPr>
            </w:pPr>
          </w:p>
        </w:tc>
      </w:tr>
    </w:tbl>
    <w:p w14:paraId="29A5D256" w14:textId="77777777" w:rsidR="00B1750B" w:rsidRPr="00587EA8" w:rsidRDefault="00B1750B" w:rsidP="00B1750B">
      <w:pPr>
        <w:spacing w:after="0" w:line="240" w:lineRule="auto"/>
        <w:rPr>
          <w:rFonts w:eastAsia="Arial Unicode MS" w:cs="Times New Roman"/>
          <w:color w:val="17365D"/>
          <w:sz w:val="20"/>
          <w:szCs w:val="24"/>
        </w:rPr>
      </w:pPr>
    </w:p>
    <w:p w14:paraId="5982F0D4" w14:textId="34200B52" w:rsidR="00B1750B" w:rsidRDefault="00B1750B" w:rsidP="003202B7">
      <w:pPr>
        <w:pStyle w:val="Pamatteksts1"/>
        <w:rPr>
          <w:lang w:eastAsia="lv-LV"/>
        </w:rPr>
      </w:pPr>
      <w:r w:rsidRPr="00082A8D">
        <w:t xml:space="preserve">Izdevumi </w:t>
      </w:r>
      <w:r w:rsidRPr="00587EA8">
        <w:rPr>
          <w:lang w:eastAsia="lv-LV"/>
        </w:rPr>
        <w:t>salīdzinājumā ar 202</w:t>
      </w:r>
      <w:r>
        <w:rPr>
          <w:lang w:eastAsia="lv-LV"/>
        </w:rPr>
        <w:t>3</w:t>
      </w:r>
      <w:r w:rsidRPr="00587EA8">
        <w:rPr>
          <w:lang w:eastAsia="lv-LV"/>
        </w:rPr>
        <w:t xml:space="preserve">. gadu palielinājušies par </w:t>
      </w:r>
      <w:r>
        <w:rPr>
          <w:lang w:eastAsia="lv-LV"/>
        </w:rPr>
        <w:t>2 057,</w:t>
      </w:r>
      <w:r w:rsidR="003202B7">
        <w:rPr>
          <w:lang w:eastAsia="lv-LV"/>
        </w:rPr>
        <w:t>5</w:t>
      </w:r>
      <w:r>
        <w:rPr>
          <w:lang w:eastAsia="lv-LV"/>
        </w:rPr>
        <w:t xml:space="preserve"> </w:t>
      </w:r>
      <w:r w:rsidRPr="00E03367">
        <w:rPr>
          <w:rFonts w:eastAsia="Times New Roman"/>
          <w:lang w:eastAsia="lv-LV"/>
        </w:rPr>
        <w:t>milj.</w:t>
      </w:r>
      <w:r>
        <w:rPr>
          <w:lang w:eastAsia="lv-LV"/>
        </w:rPr>
        <w:t xml:space="preserve"> </w:t>
      </w:r>
      <w:r w:rsidRPr="00587EA8">
        <w:rPr>
          <w:i/>
          <w:lang w:eastAsia="lv-LV"/>
        </w:rPr>
        <w:t>euro</w:t>
      </w:r>
      <w:r w:rsidRPr="00587EA8">
        <w:rPr>
          <w:lang w:eastAsia="lv-LV"/>
        </w:rPr>
        <w:t>.</w:t>
      </w:r>
    </w:p>
    <w:p w14:paraId="0F5DC8B7" w14:textId="77777777" w:rsidR="00B1750B" w:rsidRPr="00587EA8" w:rsidRDefault="00B1750B" w:rsidP="00B1750B">
      <w:pPr>
        <w:pStyle w:val="Heading4"/>
      </w:pPr>
      <w:r w:rsidRPr="00E05702">
        <w:t>Piezīme N</w:t>
      </w:r>
      <w:r>
        <w:t>r.</w:t>
      </w:r>
      <w:r w:rsidRPr="00F159D0">
        <w:t xml:space="preserve"> </w:t>
      </w:r>
      <w:r w:rsidRPr="00587EA8">
        <w:t>FD</w:t>
      </w:r>
      <w:r>
        <w:t>.</w:t>
      </w:r>
      <w:r w:rsidRPr="00587EA8">
        <w:t>A21</w:t>
      </w:r>
      <w:r>
        <w:t>.</w:t>
      </w:r>
      <w:r w:rsidRPr="00587EA8">
        <w:t xml:space="preserve"> Atalgojums</w:t>
      </w:r>
    </w:p>
    <w:p w14:paraId="1BE9C3D6" w14:textId="1913631F" w:rsidR="00B1750B" w:rsidRPr="009C6F0C" w:rsidRDefault="003A2813" w:rsidP="003202B7">
      <w:pPr>
        <w:pStyle w:val="Pamatteksts1"/>
      </w:pPr>
      <w:r>
        <w:t>Lielākais palielinājums šajā postenī</w:t>
      </w:r>
      <w:r w:rsidR="00B1750B" w:rsidRPr="009C6F0C">
        <w:t xml:space="preserve"> veidojās:</w:t>
      </w:r>
    </w:p>
    <w:p w14:paraId="720ABAC9" w14:textId="25DEFDCC" w:rsidR="00B1750B" w:rsidRPr="00587EA8" w:rsidRDefault="00B1750B" w:rsidP="003202B7">
      <w:pPr>
        <w:pStyle w:val="Bullets"/>
        <w:rPr>
          <w:rFonts w:eastAsia="Arial Unicode MS"/>
        </w:rPr>
      </w:pPr>
      <w:r w:rsidRPr="00587EA8">
        <w:rPr>
          <w:rFonts w:eastAsia="Arial Unicode MS"/>
        </w:rPr>
        <w:t xml:space="preserve">Rīgas </w:t>
      </w:r>
      <w:proofErr w:type="spellStart"/>
      <w:r w:rsidRPr="00587EA8">
        <w:rPr>
          <w:rFonts w:eastAsia="Arial Unicode MS"/>
        </w:rPr>
        <w:t>valstspilsētai</w:t>
      </w:r>
      <w:proofErr w:type="spellEnd"/>
      <w:r w:rsidRPr="00587EA8">
        <w:rPr>
          <w:rFonts w:eastAsia="Arial Unicode MS"/>
        </w:rPr>
        <w:t xml:space="preserve"> </w:t>
      </w:r>
      <w:r>
        <w:rPr>
          <w:rFonts w:eastAsia="Arial Unicode MS"/>
        </w:rPr>
        <w:t>49,</w:t>
      </w:r>
      <w:r w:rsidR="0048279B">
        <w:rPr>
          <w:rFonts w:eastAsia="Arial Unicode MS"/>
        </w:rPr>
        <w:t>5</w:t>
      </w:r>
      <w:r>
        <w:rPr>
          <w:rFonts w:eastAsia="Arial Unicode MS"/>
        </w:rPr>
        <w:t xml:space="preserve"> </w:t>
      </w:r>
      <w:r w:rsidRPr="00E03367">
        <w:t>milj.</w:t>
      </w:r>
      <w:r w:rsidRPr="00587EA8">
        <w:rPr>
          <w:rFonts w:eastAsia="Arial Unicode MS"/>
        </w:rPr>
        <w:t xml:space="preserve"> </w:t>
      </w:r>
      <w:r w:rsidRPr="00587EA8">
        <w:rPr>
          <w:rFonts w:eastAsia="Arial Unicode MS"/>
          <w:i/>
        </w:rPr>
        <w:t>euro</w:t>
      </w:r>
      <w:r w:rsidRPr="00587EA8">
        <w:rPr>
          <w:rFonts w:eastAsia="Arial Unicode MS"/>
        </w:rPr>
        <w:t xml:space="preserve"> vērtībā </w:t>
      </w:r>
      <w:r>
        <w:rPr>
          <w:rFonts w:eastAsia="Arial Unicode MS"/>
        </w:rPr>
        <w:t>p</w:t>
      </w:r>
      <w:r w:rsidRPr="00587EA8">
        <w:rPr>
          <w:rFonts w:eastAsia="Arial Unicode MS"/>
        </w:rPr>
        <w:t xml:space="preserve">ar atzītiem izdevumiem par atalgojumu, kas saistīts ar minimālās algas palielinājumu un atbilstoši likumā “Valsts un pašvaldību </w:t>
      </w:r>
      <w:r w:rsidRPr="00587EA8">
        <w:rPr>
          <w:rFonts w:eastAsia="Arial Unicode MS"/>
        </w:rPr>
        <w:lastRenderedPageBreak/>
        <w:t>institūciju amatpersonu un darbinieku atlīdzības likumā” noteiktaja</w:t>
      </w:r>
      <w:r>
        <w:rPr>
          <w:rFonts w:eastAsia="Arial Unicode MS"/>
        </w:rPr>
        <w:t>i</w:t>
      </w:r>
      <w:r w:rsidRPr="00587EA8">
        <w:rPr>
          <w:rFonts w:eastAsia="Arial Unicode MS"/>
        </w:rPr>
        <w:t xml:space="preserve"> darba samaksas izlīdzināšanai pašvaldībā strādājošajiem;</w:t>
      </w:r>
    </w:p>
    <w:p w14:paraId="20ACAD41" w14:textId="65CEFD1A" w:rsidR="00B1750B" w:rsidRPr="00587EA8" w:rsidRDefault="00B1750B" w:rsidP="003202B7">
      <w:pPr>
        <w:pStyle w:val="Bullets"/>
        <w:rPr>
          <w:rFonts w:eastAsia="Arial Unicode MS"/>
        </w:rPr>
      </w:pPr>
      <w:r w:rsidRPr="00587EA8">
        <w:rPr>
          <w:rFonts w:eastAsia="Arial Unicode MS"/>
        </w:rPr>
        <w:t xml:space="preserve">Aizsardzības ministrijai </w:t>
      </w:r>
      <w:r>
        <w:rPr>
          <w:rFonts w:eastAsia="Arial Unicode MS"/>
        </w:rPr>
        <w:t>19,</w:t>
      </w:r>
      <w:r w:rsidR="0048279B">
        <w:rPr>
          <w:rFonts w:eastAsia="Arial Unicode MS"/>
        </w:rPr>
        <w:t>3</w:t>
      </w:r>
      <w:r>
        <w:rPr>
          <w:rFonts w:eastAsia="Arial Unicode MS"/>
        </w:rPr>
        <w:t xml:space="preserve"> </w:t>
      </w:r>
      <w:r w:rsidRPr="00E03367">
        <w:t>milj.</w:t>
      </w:r>
      <w:r w:rsidRPr="00587EA8">
        <w:rPr>
          <w:rFonts w:eastAsia="Arial Unicode MS"/>
        </w:rPr>
        <w:t xml:space="preserve"> </w:t>
      </w:r>
      <w:r w:rsidRPr="009C6F0C">
        <w:rPr>
          <w:rFonts w:eastAsia="Arial Unicode MS"/>
          <w:i/>
        </w:rPr>
        <w:t>euro</w:t>
      </w:r>
      <w:r w:rsidRPr="00587EA8">
        <w:rPr>
          <w:rFonts w:eastAsia="Arial Unicode MS"/>
        </w:rPr>
        <w:t xml:space="preserve"> vērtībā </w:t>
      </w:r>
      <w:r>
        <w:rPr>
          <w:rFonts w:eastAsia="Arial Unicode MS"/>
        </w:rPr>
        <w:t>p</w:t>
      </w:r>
      <w:r w:rsidRPr="00587EA8">
        <w:rPr>
          <w:rFonts w:eastAsia="Arial Unicode MS"/>
        </w:rPr>
        <w:t>ar atzītiem izdevumiem par atalgojumu</w:t>
      </w:r>
      <w:r>
        <w:rPr>
          <w:rFonts w:eastAsia="Arial Unicode MS"/>
        </w:rPr>
        <w:t xml:space="preserve"> –</w:t>
      </w:r>
      <w:r w:rsidRPr="00587EA8">
        <w:rPr>
          <w:rFonts w:eastAsia="Arial Unicode MS"/>
        </w:rPr>
        <w:t xml:space="preserve"> mēnešalgas palielinājumu karavīriem un papildus piemaksām Nacionālo bruņoto spēku personāla dalībai starptautiskajās operācijās;</w:t>
      </w:r>
    </w:p>
    <w:p w14:paraId="1B7F5063" w14:textId="77777777" w:rsidR="00B1750B" w:rsidRPr="00587EA8" w:rsidRDefault="00B1750B" w:rsidP="003202B7">
      <w:pPr>
        <w:pStyle w:val="Bullets"/>
        <w:rPr>
          <w:rFonts w:eastAsia="Arial Unicode MS"/>
        </w:rPr>
      </w:pPr>
      <w:proofErr w:type="spellStart"/>
      <w:r w:rsidRPr="00587EA8">
        <w:rPr>
          <w:rFonts w:eastAsia="Arial Unicode MS"/>
        </w:rPr>
        <w:t>Iekšlietu</w:t>
      </w:r>
      <w:proofErr w:type="spellEnd"/>
      <w:r w:rsidRPr="00587EA8">
        <w:rPr>
          <w:rFonts w:eastAsia="Arial Unicode MS"/>
        </w:rPr>
        <w:t xml:space="preserve"> ministrijai </w:t>
      </w:r>
      <w:r>
        <w:rPr>
          <w:rFonts w:eastAsia="Arial Unicode MS"/>
        </w:rPr>
        <w:t xml:space="preserve">15,4 </w:t>
      </w:r>
      <w:r w:rsidRPr="00E03367">
        <w:t>milj.</w:t>
      </w:r>
      <w:r w:rsidRPr="00587EA8">
        <w:rPr>
          <w:rFonts w:eastAsia="Arial Unicode MS"/>
        </w:rPr>
        <w:t xml:space="preserve"> </w:t>
      </w:r>
      <w:r w:rsidRPr="009C6F0C">
        <w:rPr>
          <w:rFonts w:eastAsia="Arial Unicode MS"/>
          <w:i/>
        </w:rPr>
        <w:t>euro</w:t>
      </w:r>
      <w:r w:rsidRPr="00587EA8">
        <w:rPr>
          <w:rFonts w:eastAsia="Arial Unicode MS"/>
        </w:rPr>
        <w:t xml:space="preserve"> vērtībā </w:t>
      </w:r>
      <w:r>
        <w:rPr>
          <w:rFonts w:eastAsia="Arial Unicode MS"/>
        </w:rPr>
        <w:t>p</w:t>
      </w:r>
      <w:r w:rsidRPr="00587EA8">
        <w:rPr>
          <w:rFonts w:eastAsia="Arial Unicode MS"/>
        </w:rPr>
        <w:t>ar atzītiem izdevumiem par atalgojumu</w:t>
      </w:r>
      <w:r>
        <w:rPr>
          <w:rFonts w:eastAsia="Arial Unicode MS"/>
        </w:rPr>
        <w:t xml:space="preserve"> – </w:t>
      </w:r>
      <w:r w:rsidRPr="00587EA8">
        <w:rPr>
          <w:rFonts w:eastAsia="Arial Unicode MS"/>
        </w:rPr>
        <w:t>atbilstoši likumā “Valsts un pašvaldību institūciju amatpersonu un darbinieku atlīdzības likumā” noteiktaja</w:t>
      </w:r>
      <w:r>
        <w:rPr>
          <w:rFonts w:eastAsia="Arial Unicode MS"/>
        </w:rPr>
        <w:t>m</w:t>
      </w:r>
      <w:r w:rsidRPr="00587EA8">
        <w:rPr>
          <w:rFonts w:eastAsia="Arial Unicode MS"/>
        </w:rPr>
        <w:t>;</w:t>
      </w:r>
    </w:p>
    <w:p w14:paraId="7E3B9B29" w14:textId="77777777" w:rsidR="00B1750B" w:rsidRPr="00587EA8" w:rsidRDefault="00B1750B" w:rsidP="003202B7">
      <w:pPr>
        <w:pStyle w:val="Bullets"/>
        <w:rPr>
          <w:rFonts w:eastAsia="Arial Unicode MS"/>
        </w:rPr>
      </w:pPr>
      <w:r>
        <w:rPr>
          <w:rFonts w:eastAsia="Arial Unicode MS"/>
        </w:rPr>
        <w:t>Mārupes novadam</w:t>
      </w:r>
      <w:r w:rsidRPr="00587EA8">
        <w:rPr>
          <w:rFonts w:eastAsia="Arial Unicode MS"/>
        </w:rPr>
        <w:t xml:space="preserve"> </w:t>
      </w:r>
      <w:r>
        <w:rPr>
          <w:rFonts w:eastAsia="Arial Unicode MS"/>
        </w:rPr>
        <w:t xml:space="preserve">6,1 </w:t>
      </w:r>
      <w:r w:rsidRPr="00E03367">
        <w:t>milj.</w:t>
      </w:r>
      <w:r w:rsidRPr="00587EA8">
        <w:rPr>
          <w:rFonts w:eastAsia="Arial Unicode MS"/>
        </w:rPr>
        <w:t xml:space="preserve"> </w:t>
      </w:r>
      <w:r w:rsidRPr="00587EA8">
        <w:rPr>
          <w:rFonts w:eastAsia="Arial Unicode MS"/>
          <w:i/>
        </w:rPr>
        <w:t>euro</w:t>
      </w:r>
      <w:r w:rsidRPr="00587EA8">
        <w:rPr>
          <w:rFonts w:eastAsia="Arial Unicode MS"/>
        </w:rPr>
        <w:t xml:space="preserve"> vērtībā </w:t>
      </w:r>
      <w:r>
        <w:rPr>
          <w:rFonts w:eastAsia="Arial Unicode MS"/>
        </w:rPr>
        <w:t>p</w:t>
      </w:r>
      <w:r w:rsidRPr="00587EA8">
        <w:rPr>
          <w:rFonts w:eastAsia="Arial Unicode MS"/>
        </w:rPr>
        <w:t xml:space="preserve">ar atzītiem izdevumiem par atalgojumu, </w:t>
      </w:r>
      <w:r>
        <w:rPr>
          <w:rFonts w:eastAsia="Arial Unicode MS"/>
        </w:rPr>
        <w:t>jo palielinājās vidējā bruto darba samaksa valstī</w:t>
      </w:r>
      <w:r w:rsidRPr="00587EA8">
        <w:rPr>
          <w:rFonts w:eastAsia="Arial Unicode MS"/>
        </w:rPr>
        <w:t>;</w:t>
      </w:r>
    </w:p>
    <w:p w14:paraId="4FBC72BF" w14:textId="464ABE3C" w:rsidR="00B1750B" w:rsidRDefault="00B1750B" w:rsidP="003202B7">
      <w:pPr>
        <w:pStyle w:val="Bullets"/>
        <w:rPr>
          <w:rFonts w:eastAsia="Arial Unicode MS"/>
        </w:rPr>
      </w:pPr>
      <w:r>
        <w:rPr>
          <w:rFonts w:eastAsia="Arial Unicode MS"/>
        </w:rPr>
        <w:t>Ogres novadam</w:t>
      </w:r>
      <w:r w:rsidRPr="00587EA8">
        <w:rPr>
          <w:rFonts w:eastAsia="Arial Unicode MS"/>
        </w:rPr>
        <w:t xml:space="preserve"> </w:t>
      </w:r>
      <w:r>
        <w:rPr>
          <w:rFonts w:eastAsia="Arial Unicode MS"/>
        </w:rPr>
        <w:t>7,</w:t>
      </w:r>
      <w:r w:rsidR="0048279B">
        <w:rPr>
          <w:rFonts w:eastAsia="Arial Unicode MS"/>
        </w:rPr>
        <w:t>2</w:t>
      </w:r>
      <w:r>
        <w:rPr>
          <w:rFonts w:eastAsia="Arial Unicode MS"/>
        </w:rPr>
        <w:t xml:space="preserve"> </w:t>
      </w:r>
      <w:r w:rsidRPr="00E03367">
        <w:t>milj.</w:t>
      </w:r>
      <w:r w:rsidRPr="00587EA8">
        <w:rPr>
          <w:rFonts w:eastAsia="Arial Unicode MS"/>
        </w:rPr>
        <w:t xml:space="preserve"> </w:t>
      </w:r>
      <w:r w:rsidRPr="009C6F0C">
        <w:rPr>
          <w:rFonts w:eastAsia="Arial Unicode MS"/>
          <w:i/>
        </w:rPr>
        <w:t>euro</w:t>
      </w:r>
      <w:r w:rsidRPr="00587EA8">
        <w:rPr>
          <w:rFonts w:eastAsia="Arial Unicode MS"/>
        </w:rPr>
        <w:t xml:space="preserve"> vērtībā </w:t>
      </w:r>
      <w:r>
        <w:rPr>
          <w:rFonts w:eastAsia="Arial Unicode MS"/>
        </w:rPr>
        <w:t>p</w:t>
      </w:r>
      <w:r w:rsidRPr="00587EA8">
        <w:rPr>
          <w:rFonts w:eastAsia="Arial Unicode MS"/>
        </w:rPr>
        <w:t>ar atzītiem izdevumiem par atalgojumu,</w:t>
      </w:r>
      <w:r>
        <w:rPr>
          <w:rFonts w:eastAsia="Arial Unicode MS"/>
        </w:rPr>
        <w:t xml:space="preserve"> </w:t>
      </w:r>
      <w:r w:rsidRPr="00587EA8">
        <w:rPr>
          <w:rFonts w:eastAsia="Arial Unicode MS"/>
        </w:rPr>
        <w:t>kas saistīts ar minimālās algas palielinājumu</w:t>
      </w:r>
      <w:r>
        <w:rPr>
          <w:rFonts w:eastAsia="Arial Unicode MS"/>
        </w:rPr>
        <w:t xml:space="preserve"> valstī, kā arī no 2024.</w:t>
      </w:r>
      <w:r w:rsidR="003202B7">
        <w:rPr>
          <w:rFonts w:eastAsia="Arial Unicode MS"/>
        </w:rPr>
        <w:t> </w:t>
      </w:r>
      <w:r>
        <w:rPr>
          <w:rFonts w:eastAsia="Arial Unicode MS"/>
        </w:rPr>
        <w:t>gada 1.</w:t>
      </w:r>
      <w:r w:rsidR="003202B7">
        <w:rPr>
          <w:rFonts w:eastAsia="Arial Unicode MS"/>
        </w:rPr>
        <w:t> </w:t>
      </w:r>
      <w:r>
        <w:rPr>
          <w:rFonts w:eastAsia="Arial Unicode MS"/>
        </w:rPr>
        <w:t>marta palielinā</w:t>
      </w:r>
      <w:r w:rsidR="00EB1463">
        <w:rPr>
          <w:rFonts w:eastAsia="Arial Unicode MS"/>
        </w:rPr>
        <w:t>jās</w:t>
      </w:r>
      <w:r>
        <w:rPr>
          <w:rFonts w:eastAsia="Arial Unicode MS"/>
        </w:rPr>
        <w:t xml:space="preserve"> darba alga pašvaldības struktūrās strādājošajiem darbiniekiem</w:t>
      </w:r>
      <w:r w:rsidRPr="00587EA8">
        <w:rPr>
          <w:rFonts w:eastAsia="Arial Unicode MS"/>
        </w:rPr>
        <w:t>.</w:t>
      </w:r>
    </w:p>
    <w:p w14:paraId="6D389757" w14:textId="77777777" w:rsidR="00B1750B" w:rsidRDefault="00B1750B" w:rsidP="00B1750B">
      <w:pPr>
        <w:pStyle w:val="Heading4"/>
        <w:ind w:left="0"/>
      </w:pPr>
      <w:r w:rsidRPr="00E05702">
        <w:t>Piezīme N</w:t>
      </w:r>
      <w:r>
        <w:t>r.</w:t>
      </w:r>
      <w:r w:rsidRPr="008F51F1">
        <w:t>FD</w:t>
      </w:r>
      <w:r>
        <w:t>.</w:t>
      </w:r>
      <w:r w:rsidRPr="008F51F1">
        <w:t>A28. Procentu izdevumi</w:t>
      </w:r>
    </w:p>
    <w:p w14:paraId="2F12CE55" w14:textId="4CD628E3" w:rsidR="00B1750B" w:rsidRDefault="00B1750B" w:rsidP="00845526">
      <w:pPr>
        <w:pStyle w:val="Pamatteksts1"/>
        <w:rPr>
          <w:lang w:eastAsia="lv-LV"/>
        </w:rPr>
      </w:pPr>
      <w:r w:rsidRPr="002A75F3">
        <w:rPr>
          <w:lang w:eastAsia="lv-LV"/>
        </w:rPr>
        <w:t>Informācija par procentu izdevum</w:t>
      </w:r>
      <w:r>
        <w:rPr>
          <w:lang w:eastAsia="lv-LV"/>
        </w:rPr>
        <w:t xml:space="preserve">iem </w:t>
      </w:r>
      <w:r w:rsidRPr="000F1234">
        <w:rPr>
          <w:lang w:eastAsia="lv-LV"/>
        </w:rPr>
        <w:t>sadalījumā pa darījuma veidiem norādīt</w:t>
      </w:r>
      <w:r w:rsidR="0057580F">
        <w:rPr>
          <w:lang w:eastAsia="lv-LV"/>
        </w:rPr>
        <w:t>a</w:t>
      </w:r>
      <w:r w:rsidRPr="00A27896">
        <w:rPr>
          <w:rFonts w:eastAsia="Arial Unicode MS"/>
        </w:rPr>
        <w:t xml:space="preserve"> </w:t>
      </w:r>
      <w:r>
        <w:rPr>
          <w:lang w:eastAsia="lv-LV"/>
        </w:rPr>
        <w:t>2.7</w:t>
      </w:r>
      <w:r w:rsidRPr="000F1234">
        <w:rPr>
          <w:lang w:eastAsia="lv-LV"/>
        </w:rPr>
        <w:t>. tabulā.</w:t>
      </w:r>
    </w:p>
    <w:p w14:paraId="7F8251BD" w14:textId="77777777" w:rsidR="00B1750B" w:rsidRPr="00094B12" w:rsidRDefault="00B1750B" w:rsidP="00324AC5">
      <w:pPr>
        <w:pStyle w:val="Tabnosauk"/>
      </w:pPr>
      <w:r>
        <w:t>2.7</w:t>
      </w:r>
      <w:r w:rsidRPr="002A75F3">
        <w:t>. t</w:t>
      </w:r>
      <w:r>
        <w:t>abula. Procentu izdevumi (euro)</w:t>
      </w:r>
    </w:p>
    <w:tbl>
      <w:tblPr>
        <w:tblW w:w="9493" w:type="dxa"/>
        <w:tblInd w:w="5" w:type="dxa"/>
        <w:tblLook w:val="04A0" w:firstRow="1" w:lastRow="0" w:firstColumn="1" w:lastColumn="0" w:noHBand="0" w:noVBand="1"/>
      </w:tblPr>
      <w:tblGrid>
        <w:gridCol w:w="5240"/>
        <w:gridCol w:w="2378"/>
        <w:gridCol w:w="1875"/>
      </w:tblGrid>
      <w:tr w:rsidR="00B1750B" w:rsidRPr="002A75F3" w14:paraId="70EB0FDB" w14:textId="77777777" w:rsidTr="009A4177">
        <w:trPr>
          <w:trHeight w:val="510"/>
        </w:trPr>
        <w:tc>
          <w:tcPr>
            <w:tcW w:w="5240" w:type="dxa"/>
            <w:tcBorders>
              <w:top w:val="nil"/>
              <w:bottom w:val="single" w:sz="4" w:space="0" w:color="17365D"/>
            </w:tcBorders>
            <w:shd w:val="clear" w:color="auto" w:fill="B8CCE4" w:themeFill="accent1" w:themeFillTint="66"/>
            <w:vAlign w:val="center"/>
            <w:hideMark/>
          </w:tcPr>
          <w:p w14:paraId="4586CF13" w14:textId="77777777" w:rsidR="00B1750B" w:rsidRPr="002A75F3" w:rsidRDefault="00B1750B" w:rsidP="00845526">
            <w:pPr>
              <w:pStyle w:val="Tabgalva"/>
              <w:rPr>
                <w:rFonts w:eastAsia="Arial Unicode MS"/>
              </w:rPr>
            </w:pPr>
            <w:r w:rsidRPr="002A75F3">
              <w:rPr>
                <w:rFonts w:eastAsia="Arial Unicode MS"/>
              </w:rPr>
              <w:t>Darījuma apraksts</w:t>
            </w:r>
          </w:p>
        </w:tc>
        <w:tc>
          <w:tcPr>
            <w:tcW w:w="2378" w:type="dxa"/>
            <w:tcBorders>
              <w:top w:val="nil"/>
              <w:bottom w:val="single" w:sz="4" w:space="0" w:color="17365D"/>
            </w:tcBorders>
            <w:shd w:val="clear" w:color="auto" w:fill="B8CCE4" w:themeFill="accent1" w:themeFillTint="66"/>
            <w:vAlign w:val="center"/>
            <w:hideMark/>
          </w:tcPr>
          <w:p w14:paraId="5FC2D8DA" w14:textId="77777777" w:rsidR="00B1750B" w:rsidRPr="002A75F3" w:rsidRDefault="00B1750B" w:rsidP="00845526">
            <w:pPr>
              <w:pStyle w:val="Tabgalva"/>
              <w:rPr>
                <w:rFonts w:eastAsia="Arial Unicode MS"/>
              </w:rPr>
            </w:pPr>
            <w:r w:rsidRPr="002A75F3">
              <w:rPr>
                <w:rFonts w:eastAsia="Arial Unicode MS"/>
              </w:rPr>
              <w:t>Pārskata periodā</w:t>
            </w:r>
          </w:p>
        </w:tc>
        <w:tc>
          <w:tcPr>
            <w:tcW w:w="1875" w:type="dxa"/>
            <w:tcBorders>
              <w:top w:val="nil"/>
              <w:bottom w:val="single" w:sz="4" w:space="0" w:color="17365D"/>
            </w:tcBorders>
            <w:shd w:val="clear" w:color="auto" w:fill="B8CCE4" w:themeFill="accent1" w:themeFillTint="66"/>
            <w:vAlign w:val="center"/>
          </w:tcPr>
          <w:p w14:paraId="510611F0" w14:textId="77777777" w:rsidR="00B1750B" w:rsidRPr="002A75F3" w:rsidRDefault="00B1750B" w:rsidP="00845526">
            <w:pPr>
              <w:pStyle w:val="Tabgalva"/>
              <w:rPr>
                <w:rFonts w:eastAsia="Arial Unicode MS"/>
              </w:rPr>
            </w:pPr>
            <w:r w:rsidRPr="002A75F3">
              <w:rPr>
                <w:rFonts w:eastAsia="Arial Unicode MS"/>
              </w:rPr>
              <w:t>Iepriekšējā pārskata periodā</w:t>
            </w:r>
          </w:p>
        </w:tc>
      </w:tr>
      <w:tr w:rsidR="00B1750B" w:rsidRPr="003515B6" w14:paraId="724ABD3B" w14:textId="77777777" w:rsidTr="005645F2">
        <w:trPr>
          <w:trHeight w:val="255"/>
        </w:trPr>
        <w:tc>
          <w:tcPr>
            <w:tcW w:w="5240" w:type="dxa"/>
            <w:tcBorders>
              <w:top w:val="single" w:sz="4" w:space="0" w:color="17365D"/>
              <w:bottom w:val="single" w:sz="4" w:space="0" w:color="17365D"/>
            </w:tcBorders>
            <w:shd w:val="clear" w:color="auto" w:fill="auto"/>
            <w:vAlign w:val="center"/>
            <w:hideMark/>
          </w:tcPr>
          <w:p w14:paraId="04CC4570" w14:textId="77777777" w:rsidR="00B1750B" w:rsidRPr="003515B6" w:rsidRDefault="00B1750B" w:rsidP="00845526">
            <w:pPr>
              <w:pStyle w:val="Tabgalva"/>
              <w:rPr>
                <w:rFonts w:eastAsia="Arial Unicode MS"/>
              </w:rPr>
            </w:pPr>
            <w:r w:rsidRPr="003515B6">
              <w:rPr>
                <w:rFonts w:eastAsia="Arial Unicode MS"/>
              </w:rPr>
              <w:t>A</w:t>
            </w:r>
          </w:p>
        </w:tc>
        <w:tc>
          <w:tcPr>
            <w:tcW w:w="2378" w:type="dxa"/>
            <w:tcBorders>
              <w:top w:val="single" w:sz="4" w:space="0" w:color="17365D"/>
              <w:bottom w:val="single" w:sz="4" w:space="0" w:color="17365D"/>
            </w:tcBorders>
            <w:shd w:val="clear" w:color="auto" w:fill="auto"/>
            <w:vAlign w:val="center"/>
            <w:hideMark/>
          </w:tcPr>
          <w:p w14:paraId="2B909D59" w14:textId="77777777" w:rsidR="00B1750B" w:rsidRPr="003515B6" w:rsidRDefault="00B1750B" w:rsidP="00845526">
            <w:pPr>
              <w:pStyle w:val="Tabgalva"/>
              <w:rPr>
                <w:rFonts w:eastAsia="Arial Unicode MS"/>
              </w:rPr>
            </w:pPr>
            <w:r w:rsidRPr="003515B6">
              <w:rPr>
                <w:rFonts w:eastAsia="Arial Unicode MS"/>
              </w:rPr>
              <w:t>1</w:t>
            </w:r>
          </w:p>
        </w:tc>
        <w:tc>
          <w:tcPr>
            <w:tcW w:w="1875" w:type="dxa"/>
            <w:tcBorders>
              <w:top w:val="single" w:sz="4" w:space="0" w:color="17365D"/>
              <w:bottom w:val="single" w:sz="4" w:space="0" w:color="17365D"/>
            </w:tcBorders>
            <w:vAlign w:val="center"/>
          </w:tcPr>
          <w:p w14:paraId="65F139FE" w14:textId="77777777" w:rsidR="00B1750B" w:rsidRPr="003515B6" w:rsidRDefault="00B1750B" w:rsidP="00845526">
            <w:pPr>
              <w:pStyle w:val="Tabgalva"/>
              <w:rPr>
                <w:rFonts w:eastAsia="Arial Unicode MS"/>
              </w:rPr>
            </w:pPr>
            <w:r w:rsidRPr="003515B6">
              <w:rPr>
                <w:rFonts w:eastAsia="Arial Unicode MS"/>
              </w:rPr>
              <w:t>2</w:t>
            </w:r>
          </w:p>
        </w:tc>
      </w:tr>
      <w:tr w:rsidR="00B1750B" w:rsidRPr="002A75F3" w14:paraId="07F712B7" w14:textId="77777777" w:rsidTr="00B779A5">
        <w:trPr>
          <w:trHeight w:val="261"/>
        </w:trPr>
        <w:tc>
          <w:tcPr>
            <w:tcW w:w="5240" w:type="dxa"/>
            <w:tcBorders>
              <w:top w:val="single" w:sz="4" w:space="0" w:color="17365D"/>
              <w:bottom w:val="single" w:sz="4" w:space="0" w:color="17365D"/>
            </w:tcBorders>
            <w:shd w:val="clear" w:color="auto" w:fill="auto"/>
            <w:vAlign w:val="center"/>
          </w:tcPr>
          <w:p w14:paraId="384A7938" w14:textId="77777777" w:rsidR="00B1750B" w:rsidRPr="002A75F3" w:rsidRDefault="00B1750B" w:rsidP="009A09DF">
            <w:pPr>
              <w:spacing w:after="0" w:line="240" w:lineRule="auto"/>
              <w:rPr>
                <w:rFonts w:eastAsia="Arial Unicode MS" w:cs="Times New Roman"/>
                <w:b/>
                <w:color w:val="17365D"/>
                <w:sz w:val="18"/>
                <w:szCs w:val="18"/>
              </w:rPr>
            </w:pPr>
            <w:r w:rsidRPr="002A75F3">
              <w:rPr>
                <w:rFonts w:eastAsia="Arial Unicode MS" w:cs="Times New Roman"/>
                <w:b/>
                <w:color w:val="17365D"/>
                <w:sz w:val="18"/>
                <w:szCs w:val="18"/>
              </w:rPr>
              <w:t>Procentu izdevumi</w:t>
            </w:r>
            <w:r w:rsidRPr="002A75F3">
              <w:rPr>
                <w:rFonts w:eastAsia="Arial Unicode MS" w:cs="Times New Roman"/>
                <w:b/>
                <w:color w:val="17365D"/>
                <w:sz w:val="18"/>
                <w:szCs w:val="18"/>
              </w:rPr>
              <w:tab/>
            </w:r>
          </w:p>
        </w:tc>
        <w:tc>
          <w:tcPr>
            <w:tcW w:w="2378" w:type="dxa"/>
            <w:tcBorders>
              <w:top w:val="single" w:sz="4" w:space="0" w:color="17365D"/>
              <w:bottom w:val="single" w:sz="4" w:space="0" w:color="17365D"/>
            </w:tcBorders>
            <w:shd w:val="clear" w:color="auto" w:fill="auto"/>
            <w:vAlign w:val="center"/>
          </w:tcPr>
          <w:p w14:paraId="1C192BB1" w14:textId="77777777" w:rsidR="00B1750B" w:rsidRPr="002A75F3" w:rsidRDefault="00B1750B" w:rsidP="009A09DF">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508 462 166</w:t>
            </w:r>
          </w:p>
        </w:tc>
        <w:tc>
          <w:tcPr>
            <w:tcW w:w="1875" w:type="dxa"/>
            <w:tcBorders>
              <w:top w:val="single" w:sz="4" w:space="0" w:color="17365D"/>
              <w:bottom w:val="single" w:sz="4" w:space="0" w:color="17365D"/>
            </w:tcBorders>
            <w:shd w:val="clear" w:color="auto" w:fill="auto"/>
            <w:vAlign w:val="center"/>
          </w:tcPr>
          <w:p w14:paraId="0CADF0AF" w14:textId="77777777" w:rsidR="00B1750B" w:rsidRPr="002A75F3" w:rsidRDefault="00B1750B" w:rsidP="009A09DF">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374 713 753</w:t>
            </w:r>
          </w:p>
        </w:tc>
      </w:tr>
      <w:tr w:rsidR="00B1750B" w:rsidRPr="002A75F3" w14:paraId="5B2F2864" w14:textId="77777777" w:rsidTr="00B779A5">
        <w:trPr>
          <w:trHeight w:val="261"/>
        </w:trPr>
        <w:tc>
          <w:tcPr>
            <w:tcW w:w="5240" w:type="dxa"/>
            <w:tcBorders>
              <w:top w:val="single" w:sz="4" w:space="0" w:color="17365D"/>
              <w:bottom w:val="single" w:sz="4" w:space="0" w:color="17365D"/>
            </w:tcBorders>
            <w:shd w:val="clear" w:color="auto" w:fill="auto"/>
            <w:vAlign w:val="center"/>
          </w:tcPr>
          <w:p w14:paraId="2C959F3E" w14:textId="77777777" w:rsidR="00B1750B" w:rsidRPr="002A75F3" w:rsidRDefault="00B1750B" w:rsidP="009A09DF">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Procentu izdevumi par kontu atlikumiem un naudas līdzekļu ekvivalentiem</w:t>
            </w:r>
          </w:p>
        </w:tc>
        <w:tc>
          <w:tcPr>
            <w:tcW w:w="2378" w:type="dxa"/>
            <w:tcBorders>
              <w:top w:val="single" w:sz="4" w:space="0" w:color="17365D"/>
              <w:bottom w:val="single" w:sz="4" w:space="0" w:color="17365D"/>
            </w:tcBorders>
            <w:shd w:val="clear" w:color="auto" w:fill="auto"/>
            <w:vAlign w:val="center"/>
          </w:tcPr>
          <w:p w14:paraId="030AE02C"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196</w:t>
            </w:r>
          </w:p>
        </w:tc>
        <w:tc>
          <w:tcPr>
            <w:tcW w:w="1875" w:type="dxa"/>
            <w:tcBorders>
              <w:top w:val="single" w:sz="4" w:space="0" w:color="17365D"/>
              <w:bottom w:val="single" w:sz="4" w:space="0" w:color="17365D"/>
            </w:tcBorders>
            <w:shd w:val="clear" w:color="auto" w:fill="auto"/>
            <w:vAlign w:val="center"/>
          </w:tcPr>
          <w:p w14:paraId="5346B8DF" w14:textId="77777777" w:rsidR="00B1750B" w:rsidRPr="002A75F3" w:rsidRDefault="00B1750B" w:rsidP="009A09DF">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1 643 684</w:t>
            </w:r>
          </w:p>
        </w:tc>
      </w:tr>
      <w:tr w:rsidR="00B1750B" w:rsidRPr="002A75F3" w14:paraId="6FEC4FBF" w14:textId="77777777" w:rsidTr="00B779A5">
        <w:trPr>
          <w:trHeight w:val="261"/>
        </w:trPr>
        <w:tc>
          <w:tcPr>
            <w:tcW w:w="5240" w:type="dxa"/>
            <w:tcBorders>
              <w:top w:val="single" w:sz="4" w:space="0" w:color="17365D"/>
              <w:bottom w:val="single" w:sz="4" w:space="0" w:color="17365D"/>
            </w:tcBorders>
            <w:shd w:val="clear" w:color="auto" w:fill="auto"/>
            <w:vAlign w:val="center"/>
            <w:hideMark/>
          </w:tcPr>
          <w:p w14:paraId="3B2D6BF4" w14:textId="77777777" w:rsidR="00B1750B" w:rsidRPr="002A75F3" w:rsidRDefault="00B1750B" w:rsidP="009A09DF">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Procentu izdevumi par finanšu instrumentiem, izņemot PVFA un PVFS</w:t>
            </w:r>
          </w:p>
        </w:tc>
        <w:tc>
          <w:tcPr>
            <w:tcW w:w="2378" w:type="dxa"/>
            <w:tcBorders>
              <w:top w:val="single" w:sz="4" w:space="0" w:color="17365D"/>
              <w:bottom w:val="single" w:sz="4" w:space="0" w:color="17365D"/>
            </w:tcBorders>
            <w:shd w:val="clear" w:color="auto" w:fill="auto"/>
            <w:vAlign w:val="center"/>
            <w:hideMark/>
          </w:tcPr>
          <w:p w14:paraId="5893517F"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474 580 652</w:t>
            </w:r>
          </w:p>
        </w:tc>
        <w:tc>
          <w:tcPr>
            <w:tcW w:w="1875" w:type="dxa"/>
            <w:tcBorders>
              <w:top w:val="single" w:sz="4" w:space="0" w:color="17365D"/>
              <w:bottom w:val="single" w:sz="4" w:space="0" w:color="17365D"/>
            </w:tcBorders>
            <w:shd w:val="clear" w:color="auto" w:fill="auto"/>
            <w:vAlign w:val="center"/>
          </w:tcPr>
          <w:p w14:paraId="26AA5785"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335 246 587</w:t>
            </w:r>
          </w:p>
        </w:tc>
      </w:tr>
      <w:tr w:rsidR="00B1750B" w:rsidRPr="002A75F3" w14:paraId="0EC2DFD4" w14:textId="77777777" w:rsidTr="00B779A5">
        <w:trPr>
          <w:trHeight w:val="261"/>
        </w:trPr>
        <w:tc>
          <w:tcPr>
            <w:tcW w:w="5240" w:type="dxa"/>
            <w:tcBorders>
              <w:top w:val="single" w:sz="4" w:space="0" w:color="17365D"/>
              <w:bottom w:val="single" w:sz="4" w:space="0" w:color="17365D"/>
            </w:tcBorders>
            <w:shd w:val="clear" w:color="auto" w:fill="auto"/>
            <w:vAlign w:val="center"/>
            <w:hideMark/>
          </w:tcPr>
          <w:p w14:paraId="57BC48B3" w14:textId="77777777" w:rsidR="00B1750B" w:rsidRPr="002A75F3" w:rsidRDefault="00B1750B" w:rsidP="009A09DF">
            <w:pPr>
              <w:spacing w:after="0" w:line="240" w:lineRule="auto"/>
              <w:contextualSpacing/>
              <w:rPr>
                <w:rFonts w:eastAsia="Arial Unicode MS" w:cs="Times New Roman"/>
                <w:color w:val="17365D"/>
                <w:sz w:val="18"/>
                <w:szCs w:val="18"/>
              </w:rPr>
            </w:pPr>
            <w:r w:rsidRPr="002A75F3">
              <w:rPr>
                <w:rFonts w:eastAsia="Arial Unicode MS" w:cs="Times New Roman"/>
                <w:color w:val="17365D"/>
                <w:sz w:val="18"/>
                <w:szCs w:val="18"/>
              </w:rPr>
              <w:t>t.sk.</w:t>
            </w:r>
            <w:r>
              <w:rPr>
                <w:rFonts w:eastAsia="Arial Unicode MS" w:cs="Times New Roman"/>
                <w:color w:val="17365D"/>
                <w:sz w:val="18"/>
                <w:szCs w:val="18"/>
              </w:rPr>
              <w:t>,   a</w:t>
            </w:r>
            <w:r w:rsidRPr="002A75F3">
              <w:rPr>
                <w:rFonts w:eastAsia="Arial Unicode MS" w:cs="Times New Roman"/>
                <w:color w:val="17365D"/>
                <w:sz w:val="18"/>
                <w:szCs w:val="18"/>
              </w:rPr>
              <w:t xml:space="preserve">izdevumi un prasības </w:t>
            </w:r>
          </w:p>
        </w:tc>
        <w:tc>
          <w:tcPr>
            <w:tcW w:w="2378" w:type="dxa"/>
            <w:tcBorders>
              <w:top w:val="single" w:sz="4" w:space="0" w:color="17365D"/>
              <w:bottom w:val="single" w:sz="4" w:space="0" w:color="17365D"/>
            </w:tcBorders>
            <w:shd w:val="clear" w:color="auto" w:fill="auto"/>
            <w:vAlign w:val="center"/>
            <w:hideMark/>
          </w:tcPr>
          <w:p w14:paraId="6D3DCDAC"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3 110 520</w:t>
            </w:r>
          </w:p>
        </w:tc>
        <w:tc>
          <w:tcPr>
            <w:tcW w:w="1875" w:type="dxa"/>
            <w:tcBorders>
              <w:top w:val="single" w:sz="4" w:space="0" w:color="17365D"/>
              <w:bottom w:val="single" w:sz="4" w:space="0" w:color="17365D"/>
            </w:tcBorders>
            <w:shd w:val="clear" w:color="auto" w:fill="auto"/>
            <w:vAlign w:val="center"/>
          </w:tcPr>
          <w:p w14:paraId="770826BC" w14:textId="77777777" w:rsidR="00B1750B" w:rsidRPr="002A75F3" w:rsidRDefault="00B1750B" w:rsidP="009A09DF">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2 375 575</w:t>
            </w:r>
          </w:p>
        </w:tc>
      </w:tr>
      <w:tr w:rsidR="00B1750B" w:rsidRPr="002A75F3" w14:paraId="7BED221C" w14:textId="77777777" w:rsidTr="00B779A5">
        <w:trPr>
          <w:trHeight w:val="261"/>
        </w:trPr>
        <w:tc>
          <w:tcPr>
            <w:tcW w:w="5240" w:type="dxa"/>
            <w:tcBorders>
              <w:top w:val="single" w:sz="4" w:space="0" w:color="17365D"/>
              <w:bottom w:val="single" w:sz="4" w:space="0" w:color="17365D"/>
            </w:tcBorders>
            <w:shd w:val="clear" w:color="auto" w:fill="auto"/>
            <w:vAlign w:val="center"/>
            <w:hideMark/>
          </w:tcPr>
          <w:p w14:paraId="65118049" w14:textId="77777777" w:rsidR="00B1750B" w:rsidRPr="002A75F3" w:rsidRDefault="00B1750B" w:rsidP="009A09DF">
            <w:pPr>
              <w:spacing w:after="0" w:line="240" w:lineRule="auto"/>
              <w:ind w:left="458" w:right="296"/>
              <w:rPr>
                <w:rFonts w:eastAsia="Arial Unicode MS" w:cs="Times New Roman"/>
                <w:color w:val="17365D"/>
                <w:sz w:val="18"/>
                <w:szCs w:val="18"/>
              </w:rPr>
            </w:pPr>
            <w:r>
              <w:rPr>
                <w:rFonts w:eastAsia="Arial Unicode MS" w:cs="Times New Roman"/>
                <w:color w:val="17365D"/>
                <w:sz w:val="18"/>
                <w:szCs w:val="18"/>
              </w:rPr>
              <w:t>f</w:t>
            </w:r>
            <w:r w:rsidRPr="002A75F3">
              <w:rPr>
                <w:rFonts w:eastAsia="Arial Unicode MS" w:cs="Times New Roman"/>
                <w:color w:val="17365D"/>
                <w:sz w:val="18"/>
                <w:szCs w:val="18"/>
              </w:rPr>
              <w:t>inanšu saistības, kas novērtētas amortizētajā vērtībā, un citas finanšu saistības</w:t>
            </w:r>
          </w:p>
        </w:tc>
        <w:tc>
          <w:tcPr>
            <w:tcW w:w="2378" w:type="dxa"/>
            <w:tcBorders>
              <w:top w:val="single" w:sz="4" w:space="0" w:color="17365D"/>
              <w:bottom w:val="single" w:sz="4" w:space="0" w:color="17365D"/>
            </w:tcBorders>
            <w:shd w:val="clear" w:color="auto" w:fill="auto"/>
            <w:vAlign w:val="center"/>
            <w:hideMark/>
          </w:tcPr>
          <w:p w14:paraId="6B735A2B"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471 470 132</w:t>
            </w:r>
          </w:p>
        </w:tc>
        <w:tc>
          <w:tcPr>
            <w:tcW w:w="1875" w:type="dxa"/>
            <w:tcBorders>
              <w:top w:val="single" w:sz="4" w:space="0" w:color="17365D"/>
              <w:bottom w:val="single" w:sz="4" w:space="0" w:color="17365D"/>
            </w:tcBorders>
            <w:shd w:val="clear" w:color="auto" w:fill="auto"/>
            <w:vAlign w:val="center"/>
          </w:tcPr>
          <w:p w14:paraId="435701CE"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332 871 012</w:t>
            </w:r>
          </w:p>
        </w:tc>
      </w:tr>
      <w:tr w:rsidR="00B1750B" w:rsidRPr="002A75F3" w14:paraId="41074331" w14:textId="77777777" w:rsidTr="00B779A5">
        <w:trPr>
          <w:trHeight w:val="261"/>
        </w:trPr>
        <w:tc>
          <w:tcPr>
            <w:tcW w:w="5240" w:type="dxa"/>
            <w:tcBorders>
              <w:top w:val="single" w:sz="4" w:space="0" w:color="17365D"/>
              <w:bottom w:val="single" w:sz="4" w:space="0" w:color="17365D"/>
            </w:tcBorders>
            <w:shd w:val="clear" w:color="auto" w:fill="auto"/>
            <w:vAlign w:val="center"/>
            <w:hideMark/>
          </w:tcPr>
          <w:p w14:paraId="53428A0D" w14:textId="77777777" w:rsidR="00B1750B" w:rsidRPr="002A75F3" w:rsidRDefault="00B1750B" w:rsidP="009A09DF">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Pārējie procentu izdevumi</w:t>
            </w:r>
          </w:p>
        </w:tc>
        <w:tc>
          <w:tcPr>
            <w:tcW w:w="2378" w:type="dxa"/>
            <w:tcBorders>
              <w:top w:val="single" w:sz="4" w:space="0" w:color="17365D"/>
              <w:bottom w:val="single" w:sz="4" w:space="0" w:color="17365D"/>
            </w:tcBorders>
            <w:shd w:val="clear" w:color="auto" w:fill="auto"/>
            <w:vAlign w:val="center"/>
            <w:hideMark/>
          </w:tcPr>
          <w:p w14:paraId="3AB6F48E"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33 881 318</w:t>
            </w:r>
          </w:p>
        </w:tc>
        <w:tc>
          <w:tcPr>
            <w:tcW w:w="1875" w:type="dxa"/>
            <w:tcBorders>
              <w:top w:val="single" w:sz="4" w:space="0" w:color="17365D"/>
              <w:bottom w:val="single" w:sz="4" w:space="0" w:color="17365D"/>
            </w:tcBorders>
            <w:shd w:val="clear" w:color="auto" w:fill="auto"/>
            <w:vAlign w:val="center"/>
          </w:tcPr>
          <w:p w14:paraId="17D0D1A4" w14:textId="77777777" w:rsidR="00B1750B" w:rsidRPr="002A75F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37 823 482</w:t>
            </w:r>
          </w:p>
        </w:tc>
      </w:tr>
      <w:tr w:rsidR="00B1750B" w:rsidRPr="002A75F3" w14:paraId="30D160AA" w14:textId="77777777" w:rsidTr="005645F2">
        <w:trPr>
          <w:trHeight w:val="119"/>
        </w:trPr>
        <w:tc>
          <w:tcPr>
            <w:tcW w:w="5240" w:type="dxa"/>
            <w:tcBorders>
              <w:top w:val="single" w:sz="4" w:space="0" w:color="17365D"/>
              <w:right w:val="nil"/>
            </w:tcBorders>
            <w:shd w:val="clear" w:color="auto" w:fill="B8CCE4" w:themeFill="accent1" w:themeFillTint="66"/>
            <w:vAlign w:val="center"/>
          </w:tcPr>
          <w:p w14:paraId="4EA974A2" w14:textId="77777777" w:rsidR="00B1750B" w:rsidRPr="00A27896" w:rsidRDefault="00B1750B" w:rsidP="009A09DF">
            <w:pPr>
              <w:spacing w:after="0" w:line="240" w:lineRule="auto"/>
              <w:rPr>
                <w:rFonts w:eastAsia="Arial Unicode MS" w:cs="Times New Roman"/>
                <w:b/>
                <w:color w:val="17365D"/>
                <w:sz w:val="18"/>
                <w:szCs w:val="18"/>
              </w:rPr>
            </w:pPr>
          </w:p>
        </w:tc>
        <w:tc>
          <w:tcPr>
            <w:tcW w:w="2378" w:type="dxa"/>
            <w:tcBorders>
              <w:top w:val="single" w:sz="4" w:space="0" w:color="17365D"/>
              <w:left w:val="nil"/>
              <w:bottom w:val="nil"/>
              <w:right w:val="nil"/>
            </w:tcBorders>
            <w:shd w:val="clear" w:color="auto" w:fill="B8CCE4" w:themeFill="accent1" w:themeFillTint="66"/>
            <w:vAlign w:val="center"/>
          </w:tcPr>
          <w:p w14:paraId="55EC4FC7" w14:textId="77777777" w:rsidR="00B1750B" w:rsidRPr="00A27896" w:rsidRDefault="00B1750B" w:rsidP="009A09DF">
            <w:pPr>
              <w:spacing w:after="0" w:line="240" w:lineRule="auto"/>
              <w:jc w:val="right"/>
              <w:rPr>
                <w:rFonts w:eastAsia="Arial Unicode MS" w:cs="Times New Roman"/>
                <w:b/>
                <w:color w:val="17365D"/>
                <w:sz w:val="18"/>
                <w:szCs w:val="18"/>
              </w:rPr>
            </w:pPr>
          </w:p>
        </w:tc>
        <w:tc>
          <w:tcPr>
            <w:tcW w:w="1875" w:type="dxa"/>
            <w:tcBorders>
              <w:top w:val="single" w:sz="4" w:space="0" w:color="17365D"/>
              <w:left w:val="nil"/>
              <w:bottom w:val="nil"/>
              <w:right w:val="nil"/>
            </w:tcBorders>
            <w:shd w:val="clear" w:color="auto" w:fill="B8CCE4" w:themeFill="accent1" w:themeFillTint="66"/>
            <w:vAlign w:val="center"/>
          </w:tcPr>
          <w:p w14:paraId="65BD78D5" w14:textId="77777777" w:rsidR="00B1750B" w:rsidRPr="00A27896" w:rsidRDefault="00B1750B" w:rsidP="009A09DF">
            <w:pPr>
              <w:spacing w:after="0" w:line="240" w:lineRule="auto"/>
              <w:jc w:val="right"/>
              <w:rPr>
                <w:rFonts w:eastAsia="Arial Unicode MS" w:cs="Times New Roman"/>
                <w:b/>
                <w:color w:val="17365D"/>
                <w:sz w:val="18"/>
                <w:szCs w:val="18"/>
              </w:rPr>
            </w:pPr>
          </w:p>
        </w:tc>
      </w:tr>
    </w:tbl>
    <w:p w14:paraId="6B763910" w14:textId="77777777" w:rsidR="00B1750B" w:rsidRPr="008F51F1" w:rsidRDefault="00B1750B" w:rsidP="00B1750B">
      <w:pPr>
        <w:spacing w:after="120" w:line="240" w:lineRule="auto"/>
        <w:jc w:val="both"/>
        <w:rPr>
          <w:rFonts w:eastAsia="Times New Roman" w:cs="Times New Roman"/>
          <w:color w:val="17365D"/>
          <w:szCs w:val="24"/>
        </w:rPr>
      </w:pPr>
    </w:p>
    <w:p w14:paraId="31781CD0" w14:textId="7026DB4A" w:rsidR="00B1750B" w:rsidRDefault="00B1750B" w:rsidP="00845526">
      <w:pPr>
        <w:pStyle w:val="Pamatteksts1"/>
      </w:pPr>
      <w:r>
        <w:t>Procentu izdevumu</w:t>
      </w:r>
      <w:r w:rsidR="003A2813">
        <w:t xml:space="preserve"> lielākais</w:t>
      </w:r>
      <w:r w:rsidRPr="008F51F1">
        <w:t xml:space="preserve"> palielinājums</w:t>
      </w:r>
      <w:r>
        <w:t xml:space="preserve"> bija:</w:t>
      </w:r>
    </w:p>
    <w:p w14:paraId="67F63718" w14:textId="77777777" w:rsidR="00B1750B" w:rsidRDefault="00B1750B" w:rsidP="00845526">
      <w:pPr>
        <w:pStyle w:val="Bullets"/>
        <w:rPr>
          <w:rFonts w:eastAsia="Arial Unicode MS"/>
        </w:rPr>
      </w:pPr>
      <w:r>
        <w:rPr>
          <w:rFonts w:eastAsia="Arial Unicode MS"/>
        </w:rPr>
        <w:t>v</w:t>
      </w:r>
      <w:r w:rsidRPr="008F51F1">
        <w:rPr>
          <w:rFonts w:eastAsia="Arial Unicode MS"/>
        </w:rPr>
        <w:t>alsts budžeta finanšu uzskaitē</w:t>
      </w:r>
      <w:r>
        <w:rPr>
          <w:rFonts w:eastAsia="Arial Unicode MS"/>
        </w:rPr>
        <w:t>:</w:t>
      </w:r>
      <w:r w:rsidRPr="008F51F1">
        <w:rPr>
          <w:rFonts w:eastAsia="Arial Unicode MS"/>
        </w:rPr>
        <w:t xml:space="preserve"> </w:t>
      </w:r>
    </w:p>
    <w:p w14:paraId="6BAC8442" w14:textId="77777777" w:rsidR="00B1750B" w:rsidRPr="008F51F1" w:rsidRDefault="00B1750B" w:rsidP="00845526">
      <w:pPr>
        <w:pStyle w:val="Bullets2"/>
      </w:pPr>
      <w:r w:rsidRPr="008F51F1">
        <w:t xml:space="preserve">izmaiņas </w:t>
      </w:r>
      <w:r>
        <w:t xml:space="preserve">105,0 </w:t>
      </w:r>
      <w:r w:rsidRPr="00E03367">
        <w:rPr>
          <w:rFonts w:eastAsia="Times New Roman"/>
          <w:lang w:eastAsia="lv-LV"/>
        </w:rPr>
        <w:t>milj.</w:t>
      </w:r>
      <w:r w:rsidRPr="008F51F1">
        <w:t xml:space="preserve"> </w:t>
      </w:r>
      <w:r w:rsidRPr="00415428">
        <w:rPr>
          <w:i/>
        </w:rPr>
        <w:t>euro</w:t>
      </w:r>
      <w:r w:rsidRPr="008F51F1">
        <w:t xml:space="preserve"> vērtībā saistītas ar atzītiem procentu izdevumiem par ārējā finanšu tirgū emitētiem vērtspapīriem;</w:t>
      </w:r>
    </w:p>
    <w:p w14:paraId="545AD16F" w14:textId="77777777" w:rsidR="00B1750B" w:rsidRPr="008F51F1" w:rsidRDefault="00B1750B" w:rsidP="00845526">
      <w:pPr>
        <w:pStyle w:val="Bullets2"/>
      </w:pPr>
      <w:r>
        <w:t>izmaiņas</w:t>
      </w:r>
      <w:r w:rsidRPr="008F51F1">
        <w:t xml:space="preserve"> </w:t>
      </w:r>
      <w:r>
        <w:t xml:space="preserve">25,3 </w:t>
      </w:r>
      <w:r w:rsidRPr="00E03367">
        <w:rPr>
          <w:rFonts w:eastAsia="Times New Roman"/>
          <w:lang w:eastAsia="lv-LV"/>
        </w:rPr>
        <w:t>milj.</w:t>
      </w:r>
      <w:r w:rsidRPr="008F51F1">
        <w:t xml:space="preserve"> </w:t>
      </w:r>
      <w:r w:rsidRPr="00415428">
        <w:rPr>
          <w:i/>
        </w:rPr>
        <w:t>euro</w:t>
      </w:r>
      <w:r w:rsidRPr="008F51F1">
        <w:t xml:space="preserve"> vērtībā saistītas ar atzītiem procentu izdevumiem</w:t>
      </w:r>
      <w:r>
        <w:t xml:space="preserve"> par Valsts kases klientu noguldījumiem</w:t>
      </w:r>
      <w:r w:rsidRPr="008F51F1">
        <w:t>;</w:t>
      </w:r>
    </w:p>
    <w:p w14:paraId="4CF0691A" w14:textId="341A8AAB" w:rsidR="00F274B2" w:rsidRPr="00840322" w:rsidRDefault="00F274B2" w:rsidP="00840322">
      <w:pPr>
        <w:pStyle w:val="Bullets"/>
        <w:rPr>
          <w:rFonts w:eastAsia="Arial Unicode MS"/>
        </w:rPr>
      </w:pPr>
      <w:r w:rsidRPr="00840322">
        <w:rPr>
          <w:rFonts w:eastAsia="Arial Unicode MS"/>
        </w:rPr>
        <w:t xml:space="preserve">Labklājības ministrijai </w:t>
      </w:r>
      <w:r w:rsidR="00840322" w:rsidRPr="00840322">
        <w:rPr>
          <w:rFonts w:eastAsia="Arial Unicode MS"/>
        </w:rPr>
        <w:t xml:space="preserve">5,1 </w:t>
      </w:r>
      <w:r w:rsidR="00840322" w:rsidRPr="00E03367">
        <w:t>milj.</w:t>
      </w:r>
      <w:r w:rsidR="00840322" w:rsidRPr="008F51F1">
        <w:t xml:space="preserve"> </w:t>
      </w:r>
      <w:proofErr w:type="spellStart"/>
      <w:r w:rsidR="00840322" w:rsidRPr="00840322">
        <w:rPr>
          <w:i/>
        </w:rPr>
        <w:t>euro</w:t>
      </w:r>
      <w:proofErr w:type="spellEnd"/>
      <w:r w:rsidR="00840322" w:rsidRPr="008F51F1">
        <w:t xml:space="preserve"> vērtībā</w:t>
      </w:r>
      <w:r w:rsidR="00840322">
        <w:t xml:space="preserve"> </w:t>
      </w:r>
      <w:r w:rsidR="00840322" w:rsidRPr="00840322">
        <w:rPr>
          <w:rFonts w:eastAsia="Arial Unicode MS"/>
        </w:rPr>
        <w:t xml:space="preserve">un </w:t>
      </w:r>
      <w:proofErr w:type="spellStart"/>
      <w:r w:rsidR="00840322" w:rsidRPr="00840322">
        <w:rPr>
          <w:rFonts w:eastAsia="Arial Unicode MS"/>
        </w:rPr>
        <w:t>Iekšlietu</w:t>
      </w:r>
      <w:proofErr w:type="spellEnd"/>
      <w:r w:rsidR="00840322" w:rsidRPr="00840322">
        <w:rPr>
          <w:rFonts w:eastAsia="Arial Unicode MS"/>
        </w:rPr>
        <w:t xml:space="preserve"> ministrijai </w:t>
      </w:r>
      <w:r w:rsidRPr="00840322">
        <w:rPr>
          <w:rFonts w:eastAsia="Arial Unicode MS"/>
        </w:rPr>
        <w:t xml:space="preserve">5,1 </w:t>
      </w:r>
      <w:r w:rsidRPr="00E03367">
        <w:t>milj.</w:t>
      </w:r>
      <w:r w:rsidRPr="008F51F1">
        <w:t xml:space="preserve"> </w:t>
      </w:r>
      <w:r w:rsidRPr="00840322">
        <w:rPr>
          <w:i/>
        </w:rPr>
        <w:t>euro</w:t>
      </w:r>
      <w:r w:rsidRPr="008F51F1">
        <w:t xml:space="preserve"> vērtībā</w:t>
      </w:r>
      <w:r>
        <w:t xml:space="preserve"> uzkrājumu izdienas pensijām diskontēšanas rezultātā</w:t>
      </w:r>
      <w:r w:rsidR="00840322">
        <w:t>.</w:t>
      </w:r>
    </w:p>
    <w:p w14:paraId="0E55E4B5" w14:textId="3C8EBC95" w:rsidR="00B1750B" w:rsidRDefault="00B1750B" w:rsidP="00B1750B">
      <w:pPr>
        <w:pStyle w:val="Heading4"/>
        <w:ind w:left="0"/>
      </w:pPr>
      <w:r>
        <w:t>Piezīme Nr. FD.A31</w:t>
      </w:r>
      <w:r w:rsidR="00A73CA9">
        <w:t>.</w:t>
      </w:r>
      <w:r>
        <w:t xml:space="preserve"> </w:t>
      </w:r>
      <w:r w:rsidRPr="00441B8C">
        <w:t>Pārējie izdevumi</w:t>
      </w:r>
    </w:p>
    <w:p w14:paraId="10339C25" w14:textId="77777777" w:rsidR="00B1750B" w:rsidRPr="002A75F3" w:rsidRDefault="00B1750B" w:rsidP="00845526">
      <w:pPr>
        <w:pStyle w:val="Pamatteksts1"/>
      </w:pPr>
      <w:r w:rsidRPr="002A75F3">
        <w:t>FD.A31. postenī</w:t>
      </w:r>
      <w:r>
        <w:t xml:space="preserve"> iekļauti izdevumi</w:t>
      </w:r>
      <w:r w:rsidRPr="002A75F3">
        <w:t xml:space="preserve">, </w:t>
      </w:r>
      <w:r>
        <w:t>kas no</w:t>
      </w:r>
      <w:r w:rsidRPr="002A75F3">
        <w:t>rādīt</w:t>
      </w:r>
      <w:r>
        <w:t>i</w:t>
      </w:r>
      <w:r w:rsidRPr="002A75F3">
        <w:t xml:space="preserve"> </w:t>
      </w:r>
      <w:r w:rsidRPr="00587C02">
        <w:t>2.8. </w:t>
      </w:r>
      <w:r>
        <w:t xml:space="preserve">un 2.9. </w:t>
      </w:r>
      <w:r w:rsidRPr="00587C02">
        <w:t>tabulā</w:t>
      </w:r>
      <w:r>
        <w:t>.</w:t>
      </w:r>
    </w:p>
    <w:p w14:paraId="26F9E73F" w14:textId="77777777" w:rsidR="00B1750B" w:rsidRDefault="00B1750B" w:rsidP="00324AC5">
      <w:pPr>
        <w:pStyle w:val="Tabnosauk"/>
      </w:pPr>
      <w:r>
        <w:t>2.8</w:t>
      </w:r>
      <w:r w:rsidRPr="002A75F3">
        <w:t xml:space="preserve">. tabula. </w:t>
      </w:r>
      <w:r>
        <w:t>Pārējie</w:t>
      </w:r>
      <w:r w:rsidRPr="002A75F3">
        <w:t xml:space="preserve"> izdevumi (euro)</w:t>
      </w:r>
    </w:p>
    <w:tbl>
      <w:tblPr>
        <w:tblW w:w="9493" w:type="dxa"/>
        <w:tblInd w:w="5" w:type="dxa"/>
        <w:tblLook w:val="04A0" w:firstRow="1" w:lastRow="0" w:firstColumn="1" w:lastColumn="0" w:noHBand="0" w:noVBand="1"/>
      </w:tblPr>
      <w:tblGrid>
        <w:gridCol w:w="4957"/>
        <w:gridCol w:w="2762"/>
        <w:gridCol w:w="1774"/>
      </w:tblGrid>
      <w:tr w:rsidR="00B1750B" w:rsidRPr="002A75F3" w14:paraId="15F86C7A" w14:textId="77777777" w:rsidTr="009A4177">
        <w:trPr>
          <w:trHeight w:val="510"/>
          <w:tblHeader/>
        </w:trPr>
        <w:tc>
          <w:tcPr>
            <w:tcW w:w="4957" w:type="dxa"/>
            <w:tcBorders>
              <w:top w:val="nil"/>
              <w:bottom w:val="single" w:sz="4" w:space="0" w:color="17365D"/>
            </w:tcBorders>
            <w:shd w:val="clear" w:color="auto" w:fill="B8CCE4" w:themeFill="accent1" w:themeFillTint="66"/>
            <w:vAlign w:val="center"/>
            <w:hideMark/>
          </w:tcPr>
          <w:p w14:paraId="5C293161" w14:textId="77777777" w:rsidR="00B1750B" w:rsidRPr="002A75F3" w:rsidRDefault="00B1750B" w:rsidP="00845526">
            <w:pPr>
              <w:pStyle w:val="Tabgalva"/>
              <w:rPr>
                <w:rFonts w:eastAsia="Arial Unicode MS"/>
              </w:rPr>
            </w:pPr>
            <w:r w:rsidRPr="002A75F3">
              <w:rPr>
                <w:rFonts w:eastAsia="Arial Unicode MS"/>
              </w:rPr>
              <w:t>Darījuma apraksts</w:t>
            </w:r>
          </w:p>
        </w:tc>
        <w:tc>
          <w:tcPr>
            <w:tcW w:w="2762" w:type="dxa"/>
            <w:tcBorders>
              <w:top w:val="nil"/>
              <w:bottom w:val="single" w:sz="4" w:space="0" w:color="17365D"/>
            </w:tcBorders>
            <w:shd w:val="clear" w:color="auto" w:fill="B8CCE4" w:themeFill="accent1" w:themeFillTint="66"/>
            <w:vAlign w:val="center"/>
            <w:hideMark/>
          </w:tcPr>
          <w:p w14:paraId="335839BF" w14:textId="77777777" w:rsidR="00B1750B" w:rsidRPr="002A75F3" w:rsidRDefault="00B1750B" w:rsidP="00845526">
            <w:pPr>
              <w:pStyle w:val="Tabgalva"/>
              <w:rPr>
                <w:rFonts w:eastAsia="Arial Unicode MS"/>
              </w:rPr>
            </w:pPr>
            <w:r w:rsidRPr="002A75F3">
              <w:rPr>
                <w:rFonts w:eastAsia="Arial Unicode MS"/>
              </w:rPr>
              <w:t>Pārskata periodā</w:t>
            </w:r>
          </w:p>
        </w:tc>
        <w:tc>
          <w:tcPr>
            <w:tcW w:w="1774" w:type="dxa"/>
            <w:tcBorders>
              <w:top w:val="nil"/>
              <w:bottom w:val="single" w:sz="4" w:space="0" w:color="17365D"/>
            </w:tcBorders>
            <w:shd w:val="clear" w:color="auto" w:fill="B8CCE4" w:themeFill="accent1" w:themeFillTint="66"/>
            <w:vAlign w:val="center"/>
          </w:tcPr>
          <w:p w14:paraId="5AAC1041" w14:textId="77777777" w:rsidR="00B1750B" w:rsidRPr="002A75F3" w:rsidRDefault="00B1750B" w:rsidP="00845526">
            <w:pPr>
              <w:pStyle w:val="Tabgalva"/>
              <w:rPr>
                <w:rFonts w:eastAsia="Arial Unicode MS"/>
              </w:rPr>
            </w:pPr>
            <w:r w:rsidRPr="002A75F3">
              <w:rPr>
                <w:rFonts w:eastAsia="Arial Unicode MS"/>
              </w:rPr>
              <w:t>Iepriekšējā pārskata periodā</w:t>
            </w:r>
          </w:p>
        </w:tc>
      </w:tr>
      <w:tr w:rsidR="00B1750B" w:rsidRPr="002A75F3" w14:paraId="4658CE20" w14:textId="77777777" w:rsidTr="005645F2">
        <w:trPr>
          <w:trHeight w:val="255"/>
          <w:tblHeader/>
        </w:trPr>
        <w:tc>
          <w:tcPr>
            <w:tcW w:w="4957" w:type="dxa"/>
            <w:tcBorders>
              <w:top w:val="single" w:sz="4" w:space="0" w:color="17365D"/>
              <w:bottom w:val="single" w:sz="4" w:space="0" w:color="17365D"/>
            </w:tcBorders>
            <w:shd w:val="clear" w:color="auto" w:fill="auto"/>
            <w:vAlign w:val="center"/>
            <w:hideMark/>
          </w:tcPr>
          <w:p w14:paraId="76663625" w14:textId="77777777" w:rsidR="00B1750B" w:rsidRPr="002A75F3" w:rsidRDefault="00B1750B" w:rsidP="00845526">
            <w:pPr>
              <w:pStyle w:val="Tabgalva"/>
              <w:rPr>
                <w:rFonts w:eastAsia="Arial Unicode MS"/>
              </w:rPr>
            </w:pPr>
            <w:r w:rsidRPr="002A75F3">
              <w:rPr>
                <w:rFonts w:eastAsia="Arial Unicode MS"/>
              </w:rPr>
              <w:t>A</w:t>
            </w:r>
          </w:p>
        </w:tc>
        <w:tc>
          <w:tcPr>
            <w:tcW w:w="2762" w:type="dxa"/>
            <w:tcBorders>
              <w:top w:val="single" w:sz="4" w:space="0" w:color="17365D"/>
              <w:bottom w:val="single" w:sz="4" w:space="0" w:color="17365D"/>
            </w:tcBorders>
            <w:shd w:val="clear" w:color="auto" w:fill="auto"/>
            <w:vAlign w:val="center"/>
            <w:hideMark/>
          </w:tcPr>
          <w:p w14:paraId="4A3821A0" w14:textId="77777777" w:rsidR="00B1750B" w:rsidRPr="002A75F3" w:rsidRDefault="00B1750B" w:rsidP="00845526">
            <w:pPr>
              <w:pStyle w:val="Tabgalva"/>
              <w:rPr>
                <w:rFonts w:eastAsia="Arial Unicode MS"/>
              </w:rPr>
            </w:pPr>
            <w:r w:rsidRPr="002A75F3">
              <w:rPr>
                <w:rFonts w:eastAsia="Arial Unicode MS"/>
              </w:rPr>
              <w:t>1</w:t>
            </w:r>
          </w:p>
        </w:tc>
        <w:tc>
          <w:tcPr>
            <w:tcW w:w="1774" w:type="dxa"/>
            <w:tcBorders>
              <w:top w:val="single" w:sz="4" w:space="0" w:color="17365D"/>
              <w:bottom w:val="single" w:sz="4" w:space="0" w:color="17365D"/>
            </w:tcBorders>
          </w:tcPr>
          <w:p w14:paraId="666EDE73" w14:textId="77777777" w:rsidR="00B1750B" w:rsidRPr="002A75F3" w:rsidRDefault="00B1750B" w:rsidP="00845526">
            <w:pPr>
              <w:pStyle w:val="Tabgalva"/>
              <w:rPr>
                <w:rFonts w:eastAsia="Arial Unicode MS"/>
              </w:rPr>
            </w:pPr>
            <w:r w:rsidRPr="002A75F3">
              <w:rPr>
                <w:rFonts w:eastAsia="Arial Unicode MS"/>
              </w:rPr>
              <w:t>2</w:t>
            </w:r>
          </w:p>
        </w:tc>
      </w:tr>
      <w:tr w:rsidR="00B1750B" w:rsidRPr="002A75F3" w14:paraId="3A31D8D5" w14:textId="77777777" w:rsidTr="009A4177">
        <w:trPr>
          <w:trHeight w:val="261"/>
        </w:trPr>
        <w:tc>
          <w:tcPr>
            <w:tcW w:w="4957" w:type="dxa"/>
            <w:tcBorders>
              <w:top w:val="single" w:sz="4" w:space="0" w:color="17365D"/>
              <w:bottom w:val="single" w:sz="4" w:space="0" w:color="17365D"/>
            </w:tcBorders>
            <w:shd w:val="clear" w:color="auto" w:fill="auto"/>
            <w:vAlign w:val="center"/>
          </w:tcPr>
          <w:p w14:paraId="57E86E20" w14:textId="77777777" w:rsidR="00B1750B" w:rsidRPr="00845526" w:rsidRDefault="00B1750B" w:rsidP="00845526">
            <w:pPr>
              <w:pStyle w:val="Tabteksti"/>
              <w:rPr>
                <w:b/>
                <w:bCs w:val="0"/>
              </w:rPr>
            </w:pPr>
            <w:r w:rsidRPr="00845526">
              <w:rPr>
                <w:b/>
                <w:bCs w:val="0"/>
              </w:rPr>
              <w:t>Pārējie izdevumi</w:t>
            </w:r>
          </w:p>
        </w:tc>
        <w:tc>
          <w:tcPr>
            <w:tcW w:w="2762" w:type="dxa"/>
            <w:tcBorders>
              <w:top w:val="single" w:sz="4" w:space="0" w:color="17365D"/>
              <w:left w:val="nil"/>
              <w:bottom w:val="single" w:sz="4" w:space="0" w:color="17365D"/>
              <w:right w:val="nil"/>
            </w:tcBorders>
            <w:shd w:val="clear" w:color="auto" w:fill="auto"/>
            <w:vAlign w:val="center"/>
          </w:tcPr>
          <w:p w14:paraId="0AD5ACED" w14:textId="77777777" w:rsidR="00B1750B" w:rsidRPr="00845526" w:rsidRDefault="00B1750B" w:rsidP="00845526">
            <w:pPr>
              <w:pStyle w:val="Tabskaiti"/>
              <w:rPr>
                <w:b/>
                <w:bCs w:val="0"/>
              </w:rPr>
            </w:pPr>
            <w:r w:rsidRPr="00845526">
              <w:rPr>
                <w:b/>
                <w:bCs w:val="0"/>
              </w:rPr>
              <w:t>2 036 915 805</w:t>
            </w:r>
          </w:p>
        </w:tc>
        <w:tc>
          <w:tcPr>
            <w:tcW w:w="1774" w:type="dxa"/>
            <w:tcBorders>
              <w:top w:val="single" w:sz="4" w:space="0" w:color="17365D"/>
              <w:left w:val="nil"/>
              <w:bottom w:val="single" w:sz="4" w:space="0" w:color="17365D"/>
              <w:right w:val="nil"/>
            </w:tcBorders>
            <w:shd w:val="clear" w:color="auto" w:fill="auto"/>
            <w:vAlign w:val="center"/>
          </w:tcPr>
          <w:p w14:paraId="4257B7C5" w14:textId="77777777" w:rsidR="00B1750B" w:rsidRPr="00845526" w:rsidRDefault="00B1750B" w:rsidP="00845526">
            <w:pPr>
              <w:pStyle w:val="Tabskaiti"/>
              <w:rPr>
                <w:b/>
                <w:bCs w:val="0"/>
              </w:rPr>
            </w:pPr>
            <w:r w:rsidRPr="00845526">
              <w:rPr>
                <w:b/>
                <w:bCs w:val="0"/>
              </w:rPr>
              <w:t>1 093 581 713</w:t>
            </w:r>
          </w:p>
        </w:tc>
      </w:tr>
      <w:tr w:rsidR="00B1750B" w:rsidRPr="002A75F3" w14:paraId="67B5CADA" w14:textId="77777777" w:rsidTr="009A4177">
        <w:trPr>
          <w:trHeight w:val="261"/>
        </w:trPr>
        <w:tc>
          <w:tcPr>
            <w:tcW w:w="4957" w:type="dxa"/>
            <w:tcBorders>
              <w:top w:val="single" w:sz="4" w:space="0" w:color="17365D"/>
              <w:bottom w:val="single" w:sz="4" w:space="0" w:color="17365D"/>
            </w:tcBorders>
            <w:shd w:val="clear" w:color="auto" w:fill="auto"/>
            <w:vAlign w:val="center"/>
          </w:tcPr>
          <w:p w14:paraId="25583C2C" w14:textId="77777777" w:rsidR="00B1750B" w:rsidRPr="002A75F3" w:rsidRDefault="00B1750B" w:rsidP="00845526">
            <w:pPr>
              <w:pStyle w:val="Tabteksti"/>
            </w:pPr>
            <w:r w:rsidRPr="002A75F3">
              <w:t>Izdevumi no prasību, kas nav finanšu instrumenti, norakstīšanas</w:t>
            </w:r>
          </w:p>
        </w:tc>
        <w:tc>
          <w:tcPr>
            <w:tcW w:w="2762" w:type="dxa"/>
            <w:tcBorders>
              <w:top w:val="single" w:sz="4" w:space="0" w:color="17365D"/>
              <w:left w:val="nil"/>
              <w:bottom w:val="single" w:sz="4" w:space="0" w:color="17365D"/>
              <w:right w:val="nil"/>
            </w:tcBorders>
            <w:shd w:val="clear" w:color="auto" w:fill="auto"/>
            <w:vAlign w:val="center"/>
          </w:tcPr>
          <w:p w14:paraId="450920D3" w14:textId="77777777" w:rsidR="00B1750B" w:rsidRPr="002A75F3" w:rsidRDefault="00B1750B" w:rsidP="00845526">
            <w:pPr>
              <w:pStyle w:val="Tabskaiti"/>
            </w:pPr>
            <w:r>
              <w:t>23 093 917</w:t>
            </w:r>
          </w:p>
        </w:tc>
        <w:tc>
          <w:tcPr>
            <w:tcW w:w="1774" w:type="dxa"/>
            <w:tcBorders>
              <w:top w:val="single" w:sz="4" w:space="0" w:color="17365D"/>
              <w:left w:val="nil"/>
              <w:bottom w:val="single" w:sz="4" w:space="0" w:color="17365D"/>
              <w:right w:val="nil"/>
            </w:tcBorders>
            <w:shd w:val="clear" w:color="auto" w:fill="auto"/>
            <w:vAlign w:val="center"/>
          </w:tcPr>
          <w:p w14:paraId="0A3D2B60" w14:textId="77777777" w:rsidR="00B1750B" w:rsidRPr="002A75F3" w:rsidRDefault="00B1750B" w:rsidP="00845526">
            <w:pPr>
              <w:pStyle w:val="Tabskaiti"/>
            </w:pPr>
            <w:r w:rsidRPr="00942883">
              <w:t>14 673 672</w:t>
            </w:r>
          </w:p>
        </w:tc>
      </w:tr>
      <w:tr w:rsidR="00B1750B" w:rsidRPr="002A75F3" w14:paraId="1E360614"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44340A40" w14:textId="77777777" w:rsidR="00B1750B" w:rsidRPr="002A75F3" w:rsidRDefault="00B1750B" w:rsidP="00845526">
            <w:pPr>
              <w:pStyle w:val="Tabteksti"/>
            </w:pPr>
            <w:r w:rsidRPr="002A75F3">
              <w:lastRenderedPageBreak/>
              <w:t>Izdevumi no nefinanšu aktīvu norakstīšanas un likvidēšanas</w:t>
            </w:r>
          </w:p>
        </w:tc>
        <w:tc>
          <w:tcPr>
            <w:tcW w:w="2762" w:type="dxa"/>
            <w:tcBorders>
              <w:top w:val="single" w:sz="4" w:space="0" w:color="17365D"/>
              <w:left w:val="nil"/>
              <w:bottom w:val="single" w:sz="4" w:space="0" w:color="17365D"/>
              <w:right w:val="nil"/>
            </w:tcBorders>
            <w:shd w:val="clear" w:color="auto" w:fill="auto"/>
            <w:vAlign w:val="center"/>
            <w:hideMark/>
          </w:tcPr>
          <w:p w14:paraId="1B7A1929" w14:textId="77777777" w:rsidR="00B1750B" w:rsidRPr="002A75F3" w:rsidRDefault="00B1750B" w:rsidP="00845526">
            <w:pPr>
              <w:pStyle w:val="Tabskaiti"/>
            </w:pPr>
            <w:r>
              <w:t>126 750 254</w:t>
            </w:r>
          </w:p>
        </w:tc>
        <w:tc>
          <w:tcPr>
            <w:tcW w:w="1774" w:type="dxa"/>
            <w:tcBorders>
              <w:top w:val="single" w:sz="4" w:space="0" w:color="17365D"/>
              <w:left w:val="nil"/>
              <w:bottom w:val="single" w:sz="4" w:space="0" w:color="17365D"/>
              <w:right w:val="nil"/>
            </w:tcBorders>
            <w:shd w:val="clear" w:color="auto" w:fill="auto"/>
            <w:vAlign w:val="center"/>
          </w:tcPr>
          <w:p w14:paraId="3624008E" w14:textId="77777777" w:rsidR="00B1750B" w:rsidRPr="002A75F3" w:rsidRDefault="00B1750B" w:rsidP="00845526">
            <w:pPr>
              <w:pStyle w:val="Tabskaiti"/>
            </w:pPr>
            <w:r>
              <w:t>145 975 932</w:t>
            </w:r>
          </w:p>
        </w:tc>
      </w:tr>
      <w:tr w:rsidR="00B1750B" w:rsidRPr="002A75F3" w14:paraId="3AC56201"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1993F37A" w14:textId="77777777" w:rsidR="00B1750B" w:rsidRPr="002A75F3" w:rsidRDefault="00B1750B" w:rsidP="00845526">
            <w:pPr>
              <w:pStyle w:val="Tabteksti"/>
            </w:pPr>
            <w:r w:rsidRPr="002A75F3">
              <w:t>Izdevumi no naudas līdzekļu vai to ekvivalentu iztrūkuma</w:t>
            </w:r>
          </w:p>
        </w:tc>
        <w:tc>
          <w:tcPr>
            <w:tcW w:w="2762" w:type="dxa"/>
            <w:tcBorders>
              <w:top w:val="single" w:sz="4" w:space="0" w:color="17365D"/>
              <w:left w:val="nil"/>
              <w:bottom w:val="single" w:sz="4" w:space="0" w:color="17365D"/>
              <w:right w:val="nil"/>
            </w:tcBorders>
            <w:shd w:val="clear" w:color="auto" w:fill="auto"/>
            <w:vAlign w:val="center"/>
            <w:hideMark/>
          </w:tcPr>
          <w:p w14:paraId="5BF04A5D" w14:textId="77777777" w:rsidR="00B1750B" w:rsidRPr="002A75F3" w:rsidRDefault="00B1750B" w:rsidP="00845526">
            <w:pPr>
              <w:pStyle w:val="Tabskaiti"/>
            </w:pPr>
            <w:r>
              <w:t>5 063</w:t>
            </w:r>
          </w:p>
        </w:tc>
        <w:tc>
          <w:tcPr>
            <w:tcW w:w="1774" w:type="dxa"/>
            <w:tcBorders>
              <w:top w:val="single" w:sz="4" w:space="0" w:color="17365D"/>
              <w:left w:val="nil"/>
              <w:bottom w:val="single" w:sz="4" w:space="0" w:color="17365D"/>
              <w:right w:val="nil"/>
            </w:tcBorders>
            <w:shd w:val="clear" w:color="auto" w:fill="auto"/>
            <w:vAlign w:val="center"/>
          </w:tcPr>
          <w:p w14:paraId="2C61B0B9" w14:textId="77777777" w:rsidR="00B1750B" w:rsidRPr="002A75F3" w:rsidRDefault="00B1750B" w:rsidP="00845526">
            <w:pPr>
              <w:pStyle w:val="Tabskaiti"/>
            </w:pPr>
            <w:r w:rsidRPr="00942883">
              <w:t>101</w:t>
            </w:r>
          </w:p>
        </w:tc>
      </w:tr>
      <w:tr w:rsidR="00B1750B" w:rsidRPr="002A75F3" w14:paraId="2FBB1DC5"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414D8E10" w14:textId="77777777" w:rsidR="00B1750B" w:rsidRPr="002A75F3" w:rsidRDefault="00B1750B" w:rsidP="00845526">
            <w:pPr>
              <w:pStyle w:val="Tabteksti"/>
            </w:pPr>
            <w:r w:rsidRPr="002A75F3">
              <w:t>Izdevumi no prasību dzēšanas par nodokļiem, nodevām un citiem maksājumiem budžetos</w:t>
            </w:r>
          </w:p>
        </w:tc>
        <w:tc>
          <w:tcPr>
            <w:tcW w:w="2762" w:type="dxa"/>
            <w:tcBorders>
              <w:top w:val="single" w:sz="4" w:space="0" w:color="17365D"/>
              <w:left w:val="nil"/>
              <w:bottom w:val="single" w:sz="4" w:space="0" w:color="17365D"/>
              <w:right w:val="nil"/>
            </w:tcBorders>
            <w:shd w:val="clear" w:color="auto" w:fill="auto"/>
            <w:vAlign w:val="center"/>
            <w:hideMark/>
          </w:tcPr>
          <w:p w14:paraId="574FE383" w14:textId="77777777" w:rsidR="00B1750B" w:rsidRPr="002A75F3" w:rsidRDefault="00B1750B" w:rsidP="00845526">
            <w:pPr>
              <w:pStyle w:val="Tabskaiti"/>
            </w:pPr>
            <w:r>
              <w:t>71 195 587</w:t>
            </w:r>
          </w:p>
        </w:tc>
        <w:tc>
          <w:tcPr>
            <w:tcW w:w="1774" w:type="dxa"/>
            <w:tcBorders>
              <w:top w:val="single" w:sz="4" w:space="0" w:color="17365D"/>
              <w:left w:val="nil"/>
              <w:bottom w:val="single" w:sz="4" w:space="0" w:color="17365D"/>
              <w:right w:val="nil"/>
            </w:tcBorders>
            <w:shd w:val="clear" w:color="auto" w:fill="auto"/>
            <w:vAlign w:val="center"/>
          </w:tcPr>
          <w:p w14:paraId="2ED8016A" w14:textId="77777777" w:rsidR="00B1750B" w:rsidRPr="002A75F3" w:rsidRDefault="00B1750B" w:rsidP="00845526">
            <w:pPr>
              <w:pStyle w:val="Tabskaiti"/>
            </w:pPr>
            <w:r w:rsidRPr="00942883">
              <w:t>57 123 708</w:t>
            </w:r>
          </w:p>
        </w:tc>
      </w:tr>
      <w:tr w:rsidR="00B1750B" w:rsidRPr="002A75F3" w14:paraId="15F87222"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3871D560" w14:textId="77777777" w:rsidR="00B1750B" w:rsidRPr="002A75F3" w:rsidRDefault="00B1750B" w:rsidP="00845526">
            <w:pPr>
              <w:pStyle w:val="Tabteksti"/>
            </w:pPr>
            <w:r w:rsidRPr="002A75F3">
              <w:t>Izdevumi uzkrājumu veidošanai</w:t>
            </w:r>
          </w:p>
        </w:tc>
        <w:tc>
          <w:tcPr>
            <w:tcW w:w="2762" w:type="dxa"/>
            <w:tcBorders>
              <w:top w:val="single" w:sz="4" w:space="0" w:color="17365D"/>
              <w:left w:val="nil"/>
              <w:bottom w:val="single" w:sz="4" w:space="0" w:color="17365D"/>
              <w:right w:val="nil"/>
            </w:tcBorders>
            <w:shd w:val="clear" w:color="auto" w:fill="auto"/>
            <w:vAlign w:val="center"/>
            <w:hideMark/>
          </w:tcPr>
          <w:p w14:paraId="0213904E" w14:textId="77777777" w:rsidR="00B1750B" w:rsidRPr="002A75F3" w:rsidRDefault="00B1750B" w:rsidP="00845526">
            <w:pPr>
              <w:pStyle w:val="Tabskaiti"/>
            </w:pPr>
            <w:r>
              <w:t>997 332 727</w:t>
            </w:r>
          </w:p>
        </w:tc>
        <w:tc>
          <w:tcPr>
            <w:tcW w:w="1774" w:type="dxa"/>
            <w:tcBorders>
              <w:top w:val="single" w:sz="4" w:space="0" w:color="17365D"/>
              <w:left w:val="nil"/>
              <w:bottom w:val="single" w:sz="4" w:space="0" w:color="17365D"/>
              <w:right w:val="nil"/>
            </w:tcBorders>
            <w:shd w:val="clear" w:color="auto" w:fill="auto"/>
            <w:vAlign w:val="center"/>
          </w:tcPr>
          <w:p w14:paraId="4393BE4D" w14:textId="77777777" w:rsidR="00B1750B" w:rsidRPr="002A75F3" w:rsidRDefault="00B1750B" w:rsidP="00845526">
            <w:pPr>
              <w:pStyle w:val="Tabskaiti"/>
            </w:pPr>
            <w:r>
              <w:t>162 432 589</w:t>
            </w:r>
          </w:p>
        </w:tc>
      </w:tr>
      <w:tr w:rsidR="00B1750B" w:rsidRPr="002A75F3" w14:paraId="78F9D196"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773F4AE1" w14:textId="77777777" w:rsidR="00B1750B" w:rsidRPr="002A75F3" w:rsidRDefault="00B1750B" w:rsidP="00845526">
            <w:pPr>
              <w:pStyle w:val="Tabteksti"/>
            </w:pPr>
            <w:r w:rsidRPr="002A75F3">
              <w:t>Izdevumi no bioloģisko aktīvu lauksaimnieciskajai darbībai un lauksaimniecības produktu sākotnējās atzīšanas un uzskaites vērtības izmaiņām pārskata perioda beigās</w:t>
            </w:r>
          </w:p>
        </w:tc>
        <w:tc>
          <w:tcPr>
            <w:tcW w:w="2762" w:type="dxa"/>
            <w:tcBorders>
              <w:top w:val="single" w:sz="4" w:space="0" w:color="17365D"/>
              <w:left w:val="nil"/>
              <w:bottom w:val="single" w:sz="4" w:space="0" w:color="17365D"/>
              <w:right w:val="nil"/>
            </w:tcBorders>
            <w:shd w:val="clear" w:color="auto" w:fill="auto"/>
            <w:vAlign w:val="center"/>
            <w:hideMark/>
          </w:tcPr>
          <w:p w14:paraId="52289359" w14:textId="77777777" w:rsidR="00B1750B" w:rsidRPr="002A75F3" w:rsidRDefault="00B1750B" w:rsidP="00845526">
            <w:pPr>
              <w:pStyle w:val="Tabskaiti"/>
            </w:pPr>
            <w:r>
              <w:t>20 291 796</w:t>
            </w:r>
          </w:p>
        </w:tc>
        <w:tc>
          <w:tcPr>
            <w:tcW w:w="1774" w:type="dxa"/>
            <w:tcBorders>
              <w:top w:val="single" w:sz="4" w:space="0" w:color="17365D"/>
              <w:left w:val="nil"/>
              <w:bottom w:val="single" w:sz="4" w:space="0" w:color="17365D"/>
              <w:right w:val="nil"/>
            </w:tcBorders>
            <w:shd w:val="clear" w:color="auto" w:fill="auto"/>
            <w:vAlign w:val="center"/>
          </w:tcPr>
          <w:p w14:paraId="79A98FAD" w14:textId="77777777" w:rsidR="00B1750B" w:rsidRPr="002A75F3" w:rsidRDefault="00B1750B" w:rsidP="00845526">
            <w:pPr>
              <w:pStyle w:val="Tabskaiti"/>
            </w:pPr>
            <w:r w:rsidRPr="00942883">
              <w:t>24 265 874</w:t>
            </w:r>
          </w:p>
        </w:tc>
      </w:tr>
      <w:tr w:rsidR="00B1750B" w:rsidRPr="002A75F3" w14:paraId="23362065"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22EA5D82" w14:textId="77777777" w:rsidR="00B1750B" w:rsidRPr="002A75F3" w:rsidRDefault="00B1750B" w:rsidP="00845526">
            <w:pPr>
              <w:pStyle w:val="Tabteksti"/>
            </w:pPr>
            <w:r w:rsidRPr="002A75F3">
              <w:t xml:space="preserve">Izdevumi no ilgtermiņa finanšu ieguldījumu pārvērtēšanas </w:t>
            </w:r>
          </w:p>
        </w:tc>
        <w:tc>
          <w:tcPr>
            <w:tcW w:w="2762" w:type="dxa"/>
            <w:tcBorders>
              <w:top w:val="single" w:sz="4" w:space="0" w:color="17365D"/>
              <w:left w:val="nil"/>
              <w:bottom w:val="single" w:sz="4" w:space="0" w:color="17365D"/>
              <w:right w:val="nil"/>
            </w:tcBorders>
            <w:shd w:val="clear" w:color="auto" w:fill="auto"/>
            <w:vAlign w:val="center"/>
            <w:hideMark/>
          </w:tcPr>
          <w:p w14:paraId="1411FB01" w14:textId="77777777" w:rsidR="00B1750B" w:rsidRPr="002A75F3" w:rsidRDefault="00B1750B" w:rsidP="00845526">
            <w:pPr>
              <w:pStyle w:val="Tabskaiti"/>
            </w:pPr>
            <w:r>
              <w:t>150 774 378</w:t>
            </w:r>
          </w:p>
        </w:tc>
        <w:tc>
          <w:tcPr>
            <w:tcW w:w="1774" w:type="dxa"/>
            <w:tcBorders>
              <w:top w:val="single" w:sz="4" w:space="0" w:color="17365D"/>
              <w:left w:val="nil"/>
              <w:bottom w:val="single" w:sz="4" w:space="0" w:color="17365D"/>
              <w:right w:val="nil"/>
            </w:tcBorders>
            <w:shd w:val="clear" w:color="auto" w:fill="auto"/>
            <w:vAlign w:val="center"/>
          </w:tcPr>
          <w:p w14:paraId="10D70060" w14:textId="77777777" w:rsidR="00B1750B" w:rsidRPr="002A75F3" w:rsidRDefault="00B1750B" w:rsidP="00845526">
            <w:pPr>
              <w:pStyle w:val="Tabskaiti"/>
            </w:pPr>
            <w:r>
              <w:t>88 774 497</w:t>
            </w:r>
          </w:p>
        </w:tc>
      </w:tr>
      <w:tr w:rsidR="00B1750B" w:rsidRPr="002A75F3" w14:paraId="02EE5F7F"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6E857B09" w14:textId="77777777" w:rsidR="00B1750B" w:rsidRPr="002A75F3" w:rsidRDefault="00B1750B" w:rsidP="00845526">
            <w:pPr>
              <w:pStyle w:val="Tabteksti"/>
            </w:pPr>
            <w:r w:rsidRPr="002A75F3">
              <w:t>Izdevumi no asociētu un radniecīgo kapitālsabiedrību kapitāla daļu pārdošanas un izslēgšanas no uzskaites</w:t>
            </w:r>
          </w:p>
        </w:tc>
        <w:tc>
          <w:tcPr>
            <w:tcW w:w="2762" w:type="dxa"/>
            <w:tcBorders>
              <w:top w:val="single" w:sz="4" w:space="0" w:color="17365D"/>
              <w:left w:val="nil"/>
              <w:bottom w:val="single" w:sz="4" w:space="0" w:color="17365D"/>
              <w:right w:val="nil"/>
            </w:tcBorders>
            <w:shd w:val="clear" w:color="auto" w:fill="auto"/>
            <w:vAlign w:val="center"/>
            <w:hideMark/>
          </w:tcPr>
          <w:p w14:paraId="11CDF8E4" w14:textId="77777777" w:rsidR="00B1750B" w:rsidRPr="002A75F3" w:rsidRDefault="00B1750B" w:rsidP="00845526">
            <w:pPr>
              <w:pStyle w:val="Tabskaiti"/>
            </w:pPr>
            <w:r>
              <w:t>29 629 636</w:t>
            </w:r>
          </w:p>
        </w:tc>
        <w:tc>
          <w:tcPr>
            <w:tcW w:w="1774" w:type="dxa"/>
            <w:tcBorders>
              <w:top w:val="single" w:sz="4" w:space="0" w:color="17365D"/>
              <w:left w:val="nil"/>
              <w:bottom w:val="single" w:sz="4" w:space="0" w:color="17365D"/>
              <w:right w:val="nil"/>
            </w:tcBorders>
            <w:shd w:val="clear" w:color="auto" w:fill="auto"/>
            <w:vAlign w:val="center"/>
          </w:tcPr>
          <w:p w14:paraId="25D1F69B" w14:textId="77777777" w:rsidR="00B1750B" w:rsidRPr="002A75F3" w:rsidRDefault="00B1750B" w:rsidP="00845526">
            <w:pPr>
              <w:pStyle w:val="Tabskaiti"/>
            </w:pPr>
            <w:r w:rsidRPr="00942883">
              <w:t>7 330 327</w:t>
            </w:r>
          </w:p>
        </w:tc>
      </w:tr>
      <w:tr w:rsidR="00B1750B" w:rsidRPr="002A75F3" w14:paraId="6DADC723"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0DD22DAF" w14:textId="77777777" w:rsidR="00B1750B" w:rsidRPr="002A75F3" w:rsidRDefault="00B1750B" w:rsidP="00845526">
            <w:pPr>
              <w:pStyle w:val="Tabteksti"/>
            </w:pPr>
            <w:r w:rsidRPr="002A75F3">
              <w:t>Izdevumi no valūtas kursu svārstībām, kas neattiecas uz finanšu instrumentiem</w:t>
            </w:r>
          </w:p>
        </w:tc>
        <w:tc>
          <w:tcPr>
            <w:tcW w:w="2762" w:type="dxa"/>
            <w:tcBorders>
              <w:top w:val="single" w:sz="4" w:space="0" w:color="17365D"/>
              <w:bottom w:val="single" w:sz="4" w:space="0" w:color="17365D"/>
            </w:tcBorders>
            <w:shd w:val="clear" w:color="auto" w:fill="auto"/>
            <w:vAlign w:val="center"/>
            <w:hideMark/>
          </w:tcPr>
          <w:p w14:paraId="532F3BF0" w14:textId="77777777" w:rsidR="00B1750B" w:rsidRPr="002A75F3" w:rsidRDefault="00B1750B" w:rsidP="00845526">
            <w:pPr>
              <w:pStyle w:val="Tabskaiti"/>
            </w:pPr>
            <w:r>
              <w:t>18 777 090</w:t>
            </w:r>
          </w:p>
        </w:tc>
        <w:tc>
          <w:tcPr>
            <w:tcW w:w="1774" w:type="dxa"/>
            <w:tcBorders>
              <w:top w:val="single" w:sz="4" w:space="0" w:color="17365D"/>
              <w:bottom w:val="single" w:sz="4" w:space="0" w:color="17365D"/>
            </w:tcBorders>
            <w:shd w:val="clear" w:color="auto" w:fill="auto"/>
            <w:vAlign w:val="center"/>
          </w:tcPr>
          <w:p w14:paraId="561B3ADB" w14:textId="77777777" w:rsidR="00B1750B" w:rsidRPr="002A75F3" w:rsidRDefault="00B1750B" w:rsidP="00845526">
            <w:pPr>
              <w:pStyle w:val="Tabskaiti"/>
            </w:pPr>
            <w:r w:rsidRPr="002A75F3">
              <w:t>20 946 406</w:t>
            </w:r>
          </w:p>
        </w:tc>
      </w:tr>
      <w:tr w:rsidR="00B1750B" w:rsidRPr="002A75F3" w14:paraId="5FCD56F0"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3EBD72EA" w14:textId="77777777" w:rsidR="00B1750B" w:rsidRPr="002A75F3" w:rsidRDefault="00B1750B" w:rsidP="00845526">
            <w:pPr>
              <w:pStyle w:val="Tabteksti"/>
            </w:pPr>
            <w:r w:rsidRPr="002A75F3">
              <w:t xml:space="preserve">Pārējie darījumi </w:t>
            </w:r>
          </w:p>
        </w:tc>
        <w:tc>
          <w:tcPr>
            <w:tcW w:w="2762" w:type="dxa"/>
            <w:tcBorders>
              <w:top w:val="single" w:sz="4" w:space="0" w:color="17365D"/>
              <w:left w:val="nil"/>
              <w:bottom w:val="single" w:sz="4" w:space="0" w:color="17365D"/>
              <w:right w:val="nil"/>
            </w:tcBorders>
            <w:shd w:val="clear" w:color="auto" w:fill="auto"/>
            <w:vAlign w:val="center"/>
            <w:hideMark/>
          </w:tcPr>
          <w:p w14:paraId="04EE55C0" w14:textId="77777777" w:rsidR="00B1750B" w:rsidRPr="002A75F3" w:rsidRDefault="00B1750B" w:rsidP="00845526">
            <w:pPr>
              <w:pStyle w:val="Tabskaiti"/>
            </w:pPr>
            <w:r>
              <w:t>599 065 357</w:t>
            </w:r>
          </w:p>
        </w:tc>
        <w:tc>
          <w:tcPr>
            <w:tcW w:w="1774" w:type="dxa"/>
            <w:tcBorders>
              <w:top w:val="single" w:sz="4" w:space="0" w:color="17365D"/>
              <w:left w:val="nil"/>
              <w:bottom w:val="single" w:sz="4" w:space="0" w:color="17365D"/>
              <w:right w:val="nil"/>
            </w:tcBorders>
            <w:shd w:val="clear" w:color="auto" w:fill="auto"/>
            <w:vAlign w:val="center"/>
          </w:tcPr>
          <w:p w14:paraId="465C58F4" w14:textId="77777777" w:rsidR="00B1750B" w:rsidRPr="002A75F3" w:rsidRDefault="00B1750B" w:rsidP="00845526">
            <w:pPr>
              <w:pStyle w:val="Tabskaiti"/>
            </w:pPr>
            <w:r>
              <w:t>572 058 607</w:t>
            </w:r>
          </w:p>
        </w:tc>
      </w:tr>
      <w:tr w:rsidR="00B1750B" w:rsidRPr="002A75F3" w14:paraId="11BFA34B" w14:textId="77777777" w:rsidTr="009A4177">
        <w:trPr>
          <w:trHeight w:val="58"/>
        </w:trPr>
        <w:tc>
          <w:tcPr>
            <w:tcW w:w="4957" w:type="dxa"/>
            <w:tcBorders>
              <w:top w:val="single" w:sz="4" w:space="0" w:color="17365D"/>
            </w:tcBorders>
            <w:shd w:val="clear" w:color="auto" w:fill="B8CCE4" w:themeFill="accent1" w:themeFillTint="66"/>
            <w:vAlign w:val="center"/>
          </w:tcPr>
          <w:p w14:paraId="638D2E45" w14:textId="77777777" w:rsidR="00B1750B" w:rsidRPr="00A27896" w:rsidRDefault="00B1750B" w:rsidP="009A09DF">
            <w:pPr>
              <w:spacing w:after="0" w:line="240" w:lineRule="auto"/>
              <w:rPr>
                <w:rFonts w:eastAsia="Arial Unicode MS" w:cs="Times New Roman"/>
                <w:b/>
                <w:color w:val="17365D"/>
                <w:sz w:val="18"/>
                <w:szCs w:val="18"/>
              </w:rPr>
            </w:pPr>
          </w:p>
        </w:tc>
        <w:tc>
          <w:tcPr>
            <w:tcW w:w="2762" w:type="dxa"/>
            <w:tcBorders>
              <w:top w:val="single" w:sz="4" w:space="0" w:color="17365D"/>
            </w:tcBorders>
            <w:shd w:val="clear" w:color="auto" w:fill="B8CCE4" w:themeFill="accent1" w:themeFillTint="66"/>
            <w:vAlign w:val="center"/>
          </w:tcPr>
          <w:p w14:paraId="3A34FB49" w14:textId="77777777" w:rsidR="00B1750B" w:rsidRPr="00A27896" w:rsidRDefault="00B1750B" w:rsidP="009A09DF">
            <w:pPr>
              <w:spacing w:after="0" w:line="240" w:lineRule="auto"/>
              <w:jc w:val="right"/>
              <w:rPr>
                <w:rFonts w:eastAsia="Arial Unicode MS" w:cs="Times New Roman"/>
                <w:b/>
                <w:color w:val="17365D"/>
                <w:sz w:val="18"/>
                <w:szCs w:val="18"/>
              </w:rPr>
            </w:pPr>
          </w:p>
        </w:tc>
        <w:tc>
          <w:tcPr>
            <w:tcW w:w="1774" w:type="dxa"/>
            <w:tcBorders>
              <w:top w:val="single" w:sz="4" w:space="0" w:color="17365D"/>
            </w:tcBorders>
            <w:shd w:val="clear" w:color="auto" w:fill="B8CCE4" w:themeFill="accent1" w:themeFillTint="66"/>
            <w:vAlign w:val="center"/>
          </w:tcPr>
          <w:p w14:paraId="1D9900C7" w14:textId="77777777" w:rsidR="00B1750B" w:rsidRPr="00A27896" w:rsidRDefault="00B1750B" w:rsidP="009A09DF">
            <w:pPr>
              <w:spacing w:after="0" w:line="240" w:lineRule="auto"/>
              <w:jc w:val="right"/>
              <w:rPr>
                <w:rFonts w:eastAsia="Arial Unicode MS" w:cs="Times New Roman"/>
                <w:b/>
                <w:color w:val="17365D"/>
                <w:sz w:val="18"/>
                <w:szCs w:val="18"/>
              </w:rPr>
            </w:pPr>
          </w:p>
        </w:tc>
      </w:tr>
    </w:tbl>
    <w:p w14:paraId="7FE83548" w14:textId="77777777" w:rsidR="00B1750B" w:rsidRPr="00CF0813" w:rsidRDefault="00B1750B" w:rsidP="00B1750B">
      <w:pPr>
        <w:spacing w:after="0"/>
        <w:rPr>
          <w:rFonts w:eastAsia="Arial Unicode MS" w:cs="Times New Roman"/>
          <w:color w:val="17365D"/>
          <w:sz w:val="20"/>
          <w:szCs w:val="24"/>
        </w:rPr>
      </w:pPr>
    </w:p>
    <w:p w14:paraId="0A50FE79" w14:textId="77777777" w:rsidR="00B1750B" w:rsidRDefault="00B1750B" w:rsidP="00A73CA9">
      <w:pPr>
        <w:pStyle w:val="Pamatteksts1"/>
      </w:pPr>
      <w:r w:rsidRPr="00CF0813">
        <w:t xml:space="preserve">Informācija par </w:t>
      </w:r>
      <w:r w:rsidRPr="00CF0813">
        <w:rPr>
          <w:rFonts w:eastAsia="Times New Roman"/>
          <w:noProof/>
          <w:lang w:eastAsia="lv-LV"/>
        </w:rPr>
        <w:t>izdevumiem no aktīvu vērtības samazinājuma</w:t>
      </w:r>
      <w:r w:rsidRPr="00CF0813">
        <w:t xml:space="preserve"> </w:t>
      </w:r>
      <w:r>
        <w:t>pa darījuma veidiem no</w:t>
      </w:r>
      <w:r w:rsidRPr="00587C02">
        <w:t>rādīta 2.9</w:t>
      </w:r>
      <w:r w:rsidRPr="00587C02">
        <w:rPr>
          <w:rFonts w:eastAsia="Times New Roman"/>
          <w:noProof/>
          <w:lang w:eastAsia="lv-LV"/>
        </w:rPr>
        <w:t>. tabulā</w:t>
      </w:r>
      <w:r w:rsidRPr="00587C02">
        <w:t>.</w:t>
      </w:r>
    </w:p>
    <w:p w14:paraId="603F3069" w14:textId="53CDB6BD" w:rsidR="00B1750B" w:rsidRDefault="00B1750B" w:rsidP="00324AC5">
      <w:pPr>
        <w:pStyle w:val="Tabnosauk"/>
      </w:pPr>
      <w:r>
        <w:t>2.9</w:t>
      </w:r>
      <w:r w:rsidRPr="00CF0813">
        <w:t>. tabula. Izdevumi no aktīvu vērtības samazinājuma (euro)</w:t>
      </w:r>
    </w:p>
    <w:tbl>
      <w:tblPr>
        <w:tblW w:w="9493" w:type="dxa"/>
        <w:tblInd w:w="5" w:type="dxa"/>
        <w:tblLook w:val="04A0" w:firstRow="1" w:lastRow="0" w:firstColumn="1" w:lastColumn="0" w:noHBand="0" w:noVBand="1"/>
      </w:tblPr>
      <w:tblGrid>
        <w:gridCol w:w="4957"/>
        <w:gridCol w:w="2693"/>
        <w:gridCol w:w="1843"/>
      </w:tblGrid>
      <w:tr w:rsidR="00B1750B" w:rsidRPr="00CF0813" w14:paraId="6531CC82" w14:textId="77777777" w:rsidTr="009A4177">
        <w:trPr>
          <w:trHeight w:val="255"/>
        </w:trPr>
        <w:tc>
          <w:tcPr>
            <w:tcW w:w="4957" w:type="dxa"/>
            <w:tcBorders>
              <w:bottom w:val="single" w:sz="4" w:space="0" w:color="17365D"/>
            </w:tcBorders>
            <w:shd w:val="clear" w:color="auto" w:fill="B8CCE4" w:themeFill="accent1" w:themeFillTint="66"/>
            <w:vAlign w:val="center"/>
            <w:hideMark/>
          </w:tcPr>
          <w:p w14:paraId="73311EC8" w14:textId="77777777" w:rsidR="00B1750B" w:rsidRPr="00CF0813" w:rsidRDefault="00B1750B" w:rsidP="00024628">
            <w:pPr>
              <w:pStyle w:val="Tabgalva"/>
            </w:pPr>
            <w:r w:rsidRPr="00CF0813">
              <w:t>Darījuma apraksts</w:t>
            </w:r>
          </w:p>
        </w:tc>
        <w:tc>
          <w:tcPr>
            <w:tcW w:w="2693" w:type="dxa"/>
            <w:tcBorders>
              <w:bottom w:val="single" w:sz="4" w:space="0" w:color="17365D"/>
            </w:tcBorders>
            <w:shd w:val="clear" w:color="auto" w:fill="B8CCE4" w:themeFill="accent1" w:themeFillTint="66"/>
            <w:vAlign w:val="center"/>
            <w:hideMark/>
          </w:tcPr>
          <w:p w14:paraId="3E76DB6A" w14:textId="77777777" w:rsidR="00B1750B" w:rsidRPr="00CF0813" w:rsidRDefault="00B1750B" w:rsidP="00024628">
            <w:pPr>
              <w:pStyle w:val="Tabgalva"/>
            </w:pPr>
            <w:r w:rsidRPr="00CF0813">
              <w:t>Pārskata periodā</w:t>
            </w:r>
          </w:p>
        </w:tc>
        <w:tc>
          <w:tcPr>
            <w:tcW w:w="1843" w:type="dxa"/>
            <w:tcBorders>
              <w:bottom w:val="single" w:sz="4" w:space="0" w:color="17365D"/>
            </w:tcBorders>
            <w:shd w:val="clear" w:color="auto" w:fill="B8CCE4" w:themeFill="accent1" w:themeFillTint="66"/>
            <w:vAlign w:val="center"/>
          </w:tcPr>
          <w:p w14:paraId="70CC359D" w14:textId="77777777" w:rsidR="00B1750B" w:rsidRPr="00CF0813" w:rsidRDefault="00B1750B" w:rsidP="00024628">
            <w:pPr>
              <w:pStyle w:val="Tabgalva"/>
            </w:pPr>
            <w:r w:rsidRPr="00CF0813">
              <w:t>Iepriekšējā pārskata periodā</w:t>
            </w:r>
          </w:p>
        </w:tc>
      </w:tr>
      <w:tr w:rsidR="00B1750B" w:rsidRPr="00CF0813" w14:paraId="1D794789" w14:textId="77777777" w:rsidTr="005645F2">
        <w:trPr>
          <w:trHeight w:val="255"/>
        </w:trPr>
        <w:tc>
          <w:tcPr>
            <w:tcW w:w="4957" w:type="dxa"/>
            <w:tcBorders>
              <w:top w:val="single" w:sz="4" w:space="0" w:color="17365D"/>
              <w:bottom w:val="single" w:sz="4" w:space="0" w:color="17365D"/>
            </w:tcBorders>
            <w:shd w:val="clear" w:color="auto" w:fill="auto"/>
            <w:vAlign w:val="center"/>
            <w:hideMark/>
          </w:tcPr>
          <w:p w14:paraId="427F7676" w14:textId="77777777" w:rsidR="00B1750B" w:rsidRPr="00CF0813" w:rsidRDefault="00B1750B" w:rsidP="00024628">
            <w:pPr>
              <w:pStyle w:val="Tabgalva"/>
            </w:pPr>
            <w:r w:rsidRPr="00CF0813">
              <w:t>A</w:t>
            </w:r>
          </w:p>
        </w:tc>
        <w:tc>
          <w:tcPr>
            <w:tcW w:w="2693" w:type="dxa"/>
            <w:tcBorders>
              <w:top w:val="single" w:sz="4" w:space="0" w:color="17365D"/>
              <w:bottom w:val="single" w:sz="4" w:space="0" w:color="17365D"/>
            </w:tcBorders>
            <w:shd w:val="clear" w:color="auto" w:fill="auto"/>
            <w:vAlign w:val="center"/>
            <w:hideMark/>
          </w:tcPr>
          <w:p w14:paraId="2EF0618A" w14:textId="77777777" w:rsidR="00B1750B" w:rsidRPr="00CF0813" w:rsidRDefault="00B1750B" w:rsidP="00024628">
            <w:pPr>
              <w:pStyle w:val="Tabgalva"/>
            </w:pPr>
            <w:r w:rsidRPr="00CF0813">
              <w:t>1</w:t>
            </w:r>
          </w:p>
        </w:tc>
        <w:tc>
          <w:tcPr>
            <w:tcW w:w="1843" w:type="dxa"/>
            <w:tcBorders>
              <w:top w:val="single" w:sz="4" w:space="0" w:color="17365D"/>
              <w:bottom w:val="single" w:sz="4" w:space="0" w:color="17365D"/>
            </w:tcBorders>
            <w:vAlign w:val="center"/>
          </w:tcPr>
          <w:p w14:paraId="56DAA859" w14:textId="77777777" w:rsidR="00B1750B" w:rsidRPr="00CF0813" w:rsidRDefault="00B1750B" w:rsidP="00024628">
            <w:pPr>
              <w:pStyle w:val="Tabgalva"/>
            </w:pPr>
            <w:r w:rsidRPr="00CF0813">
              <w:t>2</w:t>
            </w:r>
          </w:p>
        </w:tc>
      </w:tr>
      <w:tr w:rsidR="00B1750B" w:rsidRPr="00CF0813" w14:paraId="00315545" w14:textId="77777777" w:rsidTr="009A4177">
        <w:trPr>
          <w:trHeight w:val="261"/>
        </w:trPr>
        <w:tc>
          <w:tcPr>
            <w:tcW w:w="4957" w:type="dxa"/>
            <w:tcBorders>
              <w:top w:val="single" w:sz="4" w:space="0" w:color="17365D"/>
              <w:bottom w:val="single" w:sz="4" w:space="0" w:color="17365D"/>
            </w:tcBorders>
            <w:shd w:val="clear" w:color="auto" w:fill="auto"/>
            <w:vAlign w:val="center"/>
          </w:tcPr>
          <w:p w14:paraId="50BA0725" w14:textId="77777777" w:rsidR="00B1750B" w:rsidRPr="00CF0813" w:rsidRDefault="00B1750B" w:rsidP="009A09DF">
            <w:pPr>
              <w:spacing w:after="0" w:line="240" w:lineRule="auto"/>
              <w:rPr>
                <w:rFonts w:eastAsia="Arial Unicode MS" w:cs="Times New Roman"/>
                <w:b/>
                <w:color w:val="17365D"/>
                <w:sz w:val="18"/>
                <w:szCs w:val="18"/>
              </w:rPr>
            </w:pPr>
            <w:r w:rsidRPr="00CF0813">
              <w:rPr>
                <w:rFonts w:eastAsia="Arial Unicode MS" w:cs="Times New Roman"/>
                <w:b/>
                <w:color w:val="17365D"/>
                <w:sz w:val="18"/>
                <w:szCs w:val="18"/>
              </w:rPr>
              <w:t>Izdevumi no aktīvu vērtības samazinājuma</w:t>
            </w:r>
          </w:p>
        </w:tc>
        <w:tc>
          <w:tcPr>
            <w:tcW w:w="2693" w:type="dxa"/>
            <w:tcBorders>
              <w:top w:val="single" w:sz="4" w:space="0" w:color="17365D"/>
              <w:bottom w:val="single" w:sz="4" w:space="0" w:color="17365D"/>
            </w:tcBorders>
            <w:shd w:val="clear" w:color="auto" w:fill="auto"/>
            <w:vAlign w:val="center"/>
          </w:tcPr>
          <w:p w14:paraId="0BB0EF03" w14:textId="77777777" w:rsidR="00B1750B" w:rsidRPr="00EE726D" w:rsidRDefault="00B1750B" w:rsidP="009A09DF">
            <w:pPr>
              <w:spacing w:after="0" w:line="240" w:lineRule="auto"/>
              <w:jc w:val="right"/>
              <w:rPr>
                <w:rFonts w:eastAsia="Arial Unicode MS" w:cs="Times New Roman"/>
                <w:b/>
                <w:bCs/>
                <w:color w:val="17365D"/>
                <w:sz w:val="18"/>
                <w:szCs w:val="18"/>
              </w:rPr>
            </w:pPr>
            <w:r w:rsidRPr="00EE726D">
              <w:rPr>
                <w:rFonts w:eastAsia="Arial Unicode MS" w:cs="Times New Roman"/>
                <w:b/>
                <w:bCs/>
                <w:color w:val="17365D"/>
                <w:sz w:val="18"/>
                <w:szCs w:val="18"/>
              </w:rPr>
              <w:t>568 262 592</w:t>
            </w:r>
          </w:p>
        </w:tc>
        <w:tc>
          <w:tcPr>
            <w:tcW w:w="1843" w:type="dxa"/>
            <w:tcBorders>
              <w:top w:val="single" w:sz="4" w:space="0" w:color="17365D"/>
              <w:bottom w:val="single" w:sz="4" w:space="0" w:color="17365D"/>
            </w:tcBorders>
            <w:shd w:val="clear" w:color="auto" w:fill="auto"/>
            <w:vAlign w:val="center"/>
          </w:tcPr>
          <w:p w14:paraId="1DCDEE07" w14:textId="77777777" w:rsidR="00B1750B" w:rsidRPr="00EE726D" w:rsidRDefault="00B1750B" w:rsidP="009A09DF">
            <w:pPr>
              <w:spacing w:after="0" w:line="240" w:lineRule="auto"/>
              <w:jc w:val="right"/>
              <w:rPr>
                <w:rFonts w:eastAsia="Arial Unicode MS" w:cs="Times New Roman"/>
                <w:b/>
                <w:bCs/>
                <w:color w:val="17365D"/>
                <w:sz w:val="18"/>
                <w:szCs w:val="18"/>
              </w:rPr>
            </w:pPr>
            <w:r w:rsidRPr="00EE726D">
              <w:rPr>
                <w:rFonts w:eastAsia="Arial Unicode MS" w:cs="Times New Roman"/>
                <w:b/>
                <w:bCs/>
                <w:color w:val="17365D"/>
                <w:sz w:val="18"/>
                <w:szCs w:val="18"/>
              </w:rPr>
              <w:t>600 831 065</w:t>
            </w:r>
          </w:p>
        </w:tc>
      </w:tr>
      <w:tr w:rsidR="00B1750B" w:rsidRPr="00CF0813" w14:paraId="1E8423D3" w14:textId="77777777" w:rsidTr="009A4177">
        <w:trPr>
          <w:trHeight w:val="261"/>
        </w:trPr>
        <w:tc>
          <w:tcPr>
            <w:tcW w:w="4957" w:type="dxa"/>
            <w:tcBorders>
              <w:top w:val="single" w:sz="4" w:space="0" w:color="17365D"/>
              <w:bottom w:val="single" w:sz="4" w:space="0" w:color="17365D"/>
            </w:tcBorders>
            <w:shd w:val="clear" w:color="auto" w:fill="auto"/>
            <w:vAlign w:val="center"/>
          </w:tcPr>
          <w:p w14:paraId="7FA0D98E" w14:textId="77777777" w:rsidR="00B1750B" w:rsidRPr="00CF0813" w:rsidRDefault="00B1750B" w:rsidP="009A09DF">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 xml:space="preserve">Izdevumi no vērtības samazinājuma avansa maksājumiem par </w:t>
            </w:r>
            <w:proofErr w:type="spellStart"/>
            <w:r w:rsidRPr="00CF0813">
              <w:rPr>
                <w:rFonts w:eastAsia="Arial Unicode MS" w:cs="Times New Roman"/>
                <w:color w:val="17365D"/>
                <w:sz w:val="18"/>
                <w:szCs w:val="18"/>
              </w:rPr>
              <w:t>nefinanšu</w:t>
            </w:r>
            <w:proofErr w:type="spellEnd"/>
            <w:r w:rsidRPr="00CF0813">
              <w:rPr>
                <w:rFonts w:eastAsia="Arial Unicode MS" w:cs="Times New Roman"/>
                <w:color w:val="17365D"/>
                <w:sz w:val="18"/>
                <w:szCs w:val="18"/>
              </w:rPr>
              <w:t xml:space="preserve"> aktīviem</w:t>
            </w:r>
          </w:p>
        </w:tc>
        <w:tc>
          <w:tcPr>
            <w:tcW w:w="2693" w:type="dxa"/>
            <w:tcBorders>
              <w:top w:val="single" w:sz="4" w:space="0" w:color="17365D"/>
              <w:bottom w:val="single" w:sz="4" w:space="0" w:color="17365D"/>
            </w:tcBorders>
            <w:shd w:val="clear" w:color="auto" w:fill="auto"/>
            <w:vAlign w:val="center"/>
          </w:tcPr>
          <w:p w14:paraId="58C72435"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324 227</w:t>
            </w:r>
          </w:p>
        </w:tc>
        <w:tc>
          <w:tcPr>
            <w:tcW w:w="1843" w:type="dxa"/>
            <w:tcBorders>
              <w:top w:val="single" w:sz="4" w:space="0" w:color="17365D"/>
              <w:bottom w:val="single" w:sz="4" w:space="0" w:color="17365D"/>
            </w:tcBorders>
            <w:shd w:val="clear" w:color="auto" w:fill="auto"/>
            <w:vAlign w:val="center"/>
          </w:tcPr>
          <w:p w14:paraId="6AC4E4A3"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505 082</w:t>
            </w:r>
          </w:p>
        </w:tc>
      </w:tr>
      <w:tr w:rsidR="00B1750B" w:rsidRPr="00CF0813" w14:paraId="7153754C"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4E5F0AA0" w14:textId="77777777" w:rsidR="00B1750B" w:rsidRPr="00CF0813" w:rsidRDefault="00B1750B" w:rsidP="009A09DF">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 xml:space="preserve">Izdevumi no vērtības samazinājuma </w:t>
            </w:r>
            <w:proofErr w:type="spellStart"/>
            <w:r w:rsidRPr="00CF0813">
              <w:rPr>
                <w:rFonts w:eastAsia="Arial Unicode MS" w:cs="Times New Roman"/>
                <w:color w:val="17365D"/>
                <w:sz w:val="18"/>
                <w:szCs w:val="18"/>
              </w:rPr>
              <w:t>nefinanšu</w:t>
            </w:r>
            <w:proofErr w:type="spellEnd"/>
            <w:r w:rsidRPr="00CF0813">
              <w:rPr>
                <w:rFonts w:eastAsia="Arial Unicode MS" w:cs="Times New Roman"/>
                <w:color w:val="17365D"/>
                <w:sz w:val="18"/>
                <w:szCs w:val="18"/>
              </w:rPr>
              <w:t xml:space="preserve"> aktīviem</w:t>
            </w:r>
          </w:p>
        </w:tc>
        <w:tc>
          <w:tcPr>
            <w:tcW w:w="2693" w:type="dxa"/>
            <w:tcBorders>
              <w:top w:val="single" w:sz="4" w:space="0" w:color="17365D"/>
              <w:bottom w:val="single" w:sz="4" w:space="0" w:color="17365D"/>
            </w:tcBorders>
            <w:shd w:val="clear" w:color="auto" w:fill="auto"/>
            <w:vAlign w:val="center"/>
            <w:hideMark/>
          </w:tcPr>
          <w:p w14:paraId="2F278613"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2 261 357</w:t>
            </w:r>
          </w:p>
        </w:tc>
        <w:tc>
          <w:tcPr>
            <w:tcW w:w="1843" w:type="dxa"/>
            <w:tcBorders>
              <w:top w:val="single" w:sz="4" w:space="0" w:color="17365D"/>
              <w:bottom w:val="single" w:sz="4" w:space="0" w:color="17365D"/>
            </w:tcBorders>
            <w:shd w:val="clear" w:color="auto" w:fill="auto"/>
            <w:vAlign w:val="center"/>
          </w:tcPr>
          <w:p w14:paraId="1A4F5A9A"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3 647 329</w:t>
            </w:r>
          </w:p>
        </w:tc>
      </w:tr>
      <w:tr w:rsidR="00B1750B" w:rsidRPr="00CF0813" w14:paraId="408D089E"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29C7DD05" w14:textId="77777777" w:rsidR="00B1750B" w:rsidRPr="00CF0813" w:rsidRDefault="00B1750B" w:rsidP="009A09DF">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prasībām un avansiem par pakalpojumiem</w:t>
            </w:r>
          </w:p>
        </w:tc>
        <w:tc>
          <w:tcPr>
            <w:tcW w:w="2693" w:type="dxa"/>
            <w:tcBorders>
              <w:top w:val="single" w:sz="4" w:space="0" w:color="17365D"/>
              <w:bottom w:val="single" w:sz="4" w:space="0" w:color="17365D"/>
            </w:tcBorders>
            <w:shd w:val="clear" w:color="auto" w:fill="auto"/>
            <w:vAlign w:val="center"/>
            <w:hideMark/>
          </w:tcPr>
          <w:p w14:paraId="7376DEC2"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55 359 356</w:t>
            </w:r>
          </w:p>
        </w:tc>
        <w:tc>
          <w:tcPr>
            <w:tcW w:w="1843" w:type="dxa"/>
            <w:tcBorders>
              <w:top w:val="single" w:sz="4" w:space="0" w:color="17365D"/>
              <w:bottom w:val="single" w:sz="4" w:space="0" w:color="17365D"/>
            </w:tcBorders>
            <w:shd w:val="clear" w:color="auto" w:fill="auto"/>
            <w:vAlign w:val="center"/>
          </w:tcPr>
          <w:p w14:paraId="324C9F6E"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85 744 306</w:t>
            </w:r>
          </w:p>
        </w:tc>
      </w:tr>
      <w:tr w:rsidR="00B1750B" w:rsidRPr="00CF0813" w14:paraId="38ED313B"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7D905E13" w14:textId="77777777" w:rsidR="00B1750B" w:rsidRPr="00CF0813" w:rsidRDefault="00B1750B" w:rsidP="009A09DF">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prasībām par nodokļiem, nodevām un citiem maksājumiem budžetos</w:t>
            </w:r>
          </w:p>
        </w:tc>
        <w:tc>
          <w:tcPr>
            <w:tcW w:w="2693" w:type="dxa"/>
            <w:tcBorders>
              <w:top w:val="single" w:sz="4" w:space="0" w:color="17365D"/>
              <w:bottom w:val="single" w:sz="4" w:space="0" w:color="17365D"/>
            </w:tcBorders>
            <w:shd w:val="clear" w:color="auto" w:fill="auto"/>
            <w:vAlign w:val="center"/>
            <w:hideMark/>
          </w:tcPr>
          <w:p w14:paraId="26760673"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507 136 461</w:t>
            </w:r>
          </w:p>
        </w:tc>
        <w:tc>
          <w:tcPr>
            <w:tcW w:w="1843" w:type="dxa"/>
            <w:tcBorders>
              <w:top w:val="single" w:sz="4" w:space="0" w:color="17365D"/>
              <w:bottom w:val="single" w:sz="4" w:space="0" w:color="17365D"/>
            </w:tcBorders>
            <w:shd w:val="clear" w:color="auto" w:fill="auto"/>
            <w:vAlign w:val="center"/>
          </w:tcPr>
          <w:p w14:paraId="18E233E2" w14:textId="77777777" w:rsidR="00B1750B" w:rsidRPr="00CF0813" w:rsidRDefault="00B1750B" w:rsidP="009A09DF">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508</w:t>
            </w:r>
            <w:r>
              <w:rPr>
                <w:rFonts w:eastAsia="Arial Unicode MS" w:cs="Times New Roman"/>
                <w:color w:val="17365D"/>
                <w:sz w:val="18"/>
                <w:szCs w:val="18"/>
              </w:rPr>
              <w:t xml:space="preserve"> </w:t>
            </w:r>
            <w:r w:rsidRPr="00942883">
              <w:rPr>
                <w:rFonts w:eastAsia="Arial Unicode MS" w:cs="Times New Roman"/>
                <w:color w:val="17365D"/>
                <w:sz w:val="18"/>
                <w:szCs w:val="18"/>
              </w:rPr>
              <w:t>419</w:t>
            </w:r>
            <w:r>
              <w:rPr>
                <w:rFonts w:eastAsia="Arial Unicode MS" w:cs="Times New Roman"/>
                <w:color w:val="17365D"/>
                <w:sz w:val="18"/>
                <w:szCs w:val="18"/>
              </w:rPr>
              <w:t xml:space="preserve"> </w:t>
            </w:r>
            <w:r w:rsidRPr="00942883">
              <w:rPr>
                <w:rFonts w:eastAsia="Arial Unicode MS" w:cs="Times New Roman"/>
                <w:color w:val="17365D"/>
                <w:sz w:val="18"/>
                <w:szCs w:val="18"/>
              </w:rPr>
              <w:t>135</w:t>
            </w:r>
          </w:p>
        </w:tc>
      </w:tr>
      <w:tr w:rsidR="00B1750B" w:rsidRPr="00CF0813" w14:paraId="400373AB" w14:textId="77777777" w:rsidTr="009A4177">
        <w:trPr>
          <w:trHeight w:val="261"/>
        </w:trPr>
        <w:tc>
          <w:tcPr>
            <w:tcW w:w="4957" w:type="dxa"/>
            <w:tcBorders>
              <w:top w:val="single" w:sz="4" w:space="0" w:color="17365D"/>
              <w:bottom w:val="single" w:sz="4" w:space="0" w:color="17365D"/>
            </w:tcBorders>
            <w:shd w:val="clear" w:color="auto" w:fill="auto"/>
            <w:noWrap/>
            <w:vAlign w:val="center"/>
            <w:hideMark/>
          </w:tcPr>
          <w:p w14:paraId="7E866CE3" w14:textId="77777777" w:rsidR="00B1750B" w:rsidRPr="00CF0813" w:rsidRDefault="00B1750B" w:rsidP="009A09DF">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finanšu instrumentiem:</w:t>
            </w:r>
          </w:p>
        </w:tc>
        <w:tc>
          <w:tcPr>
            <w:tcW w:w="2693" w:type="dxa"/>
            <w:tcBorders>
              <w:top w:val="single" w:sz="4" w:space="0" w:color="17365D"/>
              <w:bottom w:val="single" w:sz="4" w:space="0" w:color="17365D"/>
            </w:tcBorders>
            <w:shd w:val="clear" w:color="auto" w:fill="auto"/>
            <w:vAlign w:val="center"/>
            <w:hideMark/>
          </w:tcPr>
          <w:p w14:paraId="060C331C"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63 582</w:t>
            </w:r>
          </w:p>
        </w:tc>
        <w:tc>
          <w:tcPr>
            <w:tcW w:w="1843" w:type="dxa"/>
            <w:tcBorders>
              <w:top w:val="single" w:sz="4" w:space="0" w:color="17365D"/>
              <w:bottom w:val="single" w:sz="4" w:space="0" w:color="17365D"/>
            </w:tcBorders>
            <w:shd w:val="clear" w:color="auto" w:fill="auto"/>
            <w:vAlign w:val="center"/>
          </w:tcPr>
          <w:p w14:paraId="1D11695A"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126 131</w:t>
            </w:r>
          </w:p>
        </w:tc>
      </w:tr>
      <w:tr w:rsidR="00B1750B" w:rsidRPr="00CF0813" w14:paraId="1F87F2CE" w14:textId="77777777" w:rsidTr="009A4177">
        <w:trPr>
          <w:trHeight w:val="261"/>
        </w:trPr>
        <w:tc>
          <w:tcPr>
            <w:tcW w:w="4957" w:type="dxa"/>
            <w:tcBorders>
              <w:top w:val="single" w:sz="4" w:space="0" w:color="17365D"/>
              <w:bottom w:val="single" w:sz="4" w:space="0" w:color="17365D"/>
            </w:tcBorders>
            <w:shd w:val="clear" w:color="auto" w:fill="auto"/>
            <w:noWrap/>
            <w:vAlign w:val="center"/>
          </w:tcPr>
          <w:p w14:paraId="5F793605" w14:textId="77777777" w:rsidR="00B1750B" w:rsidRPr="00CF0813" w:rsidRDefault="00B1750B" w:rsidP="009A09DF">
            <w:pPr>
              <w:spacing w:after="0" w:line="240" w:lineRule="auto"/>
              <w:ind w:firstLine="314"/>
              <w:rPr>
                <w:rFonts w:eastAsia="Arial Unicode MS" w:cs="Times New Roman"/>
                <w:color w:val="17365D"/>
                <w:sz w:val="18"/>
                <w:szCs w:val="18"/>
              </w:rPr>
            </w:pPr>
            <w:r w:rsidRPr="00CF0813">
              <w:rPr>
                <w:rFonts w:eastAsia="Arial Unicode MS" w:cs="Times New Roman"/>
                <w:color w:val="17365D"/>
                <w:sz w:val="18"/>
                <w:szCs w:val="18"/>
              </w:rPr>
              <w:t>t.sk.</w:t>
            </w:r>
            <w:r>
              <w:rPr>
                <w:rFonts w:eastAsia="Arial Unicode MS" w:cs="Times New Roman"/>
                <w:color w:val="17365D"/>
                <w:sz w:val="18"/>
                <w:szCs w:val="18"/>
              </w:rPr>
              <w:t xml:space="preserve">, </w:t>
            </w:r>
            <w:r w:rsidRPr="00CF0813">
              <w:rPr>
                <w:rFonts w:eastAsia="Arial Unicode MS" w:cs="Times New Roman"/>
                <w:color w:val="17365D"/>
                <w:sz w:val="18"/>
                <w:szCs w:val="18"/>
              </w:rPr>
              <w:t>līdz ter</w:t>
            </w:r>
            <w:r>
              <w:rPr>
                <w:rFonts w:eastAsia="Arial Unicode MS" w:cs="Times New Roman"/>
                <w:color w:val="17365D"/>
                <w:sz w:val="18"/>
                <w:szCs w:val="18"/>
              </w:rPr>
              <w:t>miņa beigām turētie ieguldījumi</w:t>
            </w:r>
          </w:p>
        </w:tc>
        <w:tc>
          <w:tcPr>
            <w:tcW w:w="2693" w:type="dxa"/>
            <w:tcBorders>
              <w:top w:val="single" w:sz="4" w:space="0" w:color="17365D"/>
              <w:bottom w:val="single" w:sz="4" w:space="0" w:color="17365D"/>
            </w:tcBorders>
            <w:shd w:val="clear" w:color="auto" w:fill="auto"/>
            <w:vAlign w:val="center"/>
          </w:tcPr>
          <w:p w14:paraId="481A41EC"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1843" w:type="dxa"/>
            <w:tcBorders>
              <w:top w:val="single" w:sz="4" w:space="0" w:color="17365D"/>
              <w:bottom w:val="single" w:sz="4" w:space="0" w:color="17365D"/>
            </w:tcBorders>
            <w:shd w:val="clear" w:color="auto" w:fill="auto"/>
            <w:vAlign w:val="center"/>
          </w:tcPr>
          <w:p w14:paraId="325FC7FD"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3 989</w:t>
            </w:r>
          </w:p>
        </w:tc>
      </w:tr>
      <w:tr w:rsidR="00B1750B" w:rsidRPr="00CF0813" w14:paraId="2BFDCCD0" w14:textId="77777777" w:rsidTr="009A4177">
        <w:trPr>
          <w:trHeight w:val="261"/>
        </w:trPr>
        <w:tc>
          <w:tcPr>
            <w:tcW w:w="4957" w:type="dxa"/>
            <w:tcBorders>
              <w:top w:val="single" w:sz="4" w:space="0" w:color="17365D"/>
              <w:bottom w:val="single" w:sz="4" w:space="0" w:color="17365D"/>
            </w:tcBorders>
            <w:shd w:val="clear" w:color="auto" w:fill="auto"/>
            <w:vAlign w:val="center"/>
            <w:hideMark/>
          </w:tcPr>
          <w:p w14:paraId="3D7A7DA9" w14:textId="77777777" w:rsidR="00B1750B" w:rsidRPr="00CF0813" w:rsidRDefault="00B1750B" w:rsidP="009A09DF">
            <w:pPr>
              <w:spacing w:after="0" w:line="240" w:lineRule="auto"/>
              <w:ind w:firstLine="739"/>
              <w:rPr>
                <w:rFonts w:eastAsia="Arial Unicode MS" w:cs="Times New Roman"/>
                <w:color w:val="17365D"/>
                <w:sz w:val="18"/>
                <w:szCs w:val="18"/>
              </w:rPr>
            </w:pPr>
            <w:r>
              <w:rPr>
                <w:rFonts w:eastAsia="Arial Unicode MS" w:cs="Times New Roman"/>
                <w:color w:val="17365D"/>
                <w:sz w:val="18"/>
                <w:szCs w:val="18"/>
              </w:rPr>
              <w:t>aizdevumi un prasības</w:t>
            </w:r>
          </w:p>
        </w:tc>
        <w:tc>
          <w:tcPr>
            <w:tcW w:w="2693" w:type="dxa"/>
            <w:tcBorders>
              <w:top w:val="single" w:sz="4" w:space="0" w:color="17365D"/>
              <w:bottom w:val="single" w:sz="4" w:space="0" w:color="17365D"/>
            </w:tcBorders>
            <w:shd w:val="clear" w:color="auto" w:fill="auto"/>
            <w:vAlign w:val="center"/>
            <w:hideMark/>
          </w:tcPr>
          <w:p w14:paraId="1F339869"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40 473</w:t>
            </w:r>
          </w:p>
        </w:tc>
        <w:tc>
          <w:tcPr>
            <w:tcW w:w="1843" w:type="dxa"/>
            <w:tcBorders>
              <w:top w:val="single" w:sz="4" w:space="0" w:color="17365D"/>
              <w:bottom w:val="single" w:sz="4" w:space="0" w:color="17365D"/>
            </w:tcBorders>
            <w:shd w:val="clear" w:color="auto" w:fill="auto"/>
            <w:vAlign w:val="center"/>
          </w:tcPr>
          <w:p w14:paraId="196AA9B9"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80 457</w:t>
            </w:r>
          </w:p>
        </w:tc>
      </w:tr>
      <w:tr w:rsidR="00B1750B" w:rsidRPr="00CF0813" w14:paraId="70733895" w14:textId="77777777" w:rsidTr="009A4177">
        <w:trPr>
          <w:trHeight w:val="261"/>
        </w:trPr>
        <w:tc>
          <w:tcPr>
            <w:tcW w:w="4957" w:type="dxa"/>
            <w:tcBorders>
              <w:top w:val="single" w:sz="4" w:space="0" w:color="17365D"/>
              <w:bottom w:val="single" w:sz="4" w:space="0" w:color="17365D"/>
            </w:tcBorders>
            <w:shd w:val="clear" w:color="auto" w:fill="auto"/>
            <w:vAlign w:val="center"/>
          </w:tcPr>
          <w:p w14:paraId="42A720A7" w14:textId="77777777" w:rsidR="00B1750B" w:rsidRPr="00CF0813" w:rsidRDefault="00B1750B" w:rsidP="009A09DF">
            <w:pPr>
              <w:spacing w:after="0" w:line="240" w:lineRule="auto"/>
              <w:ind w:firstLine="739"/>
              <w:rPr>
                <w:rFonts w:eastAsia="Arial Unicode MS" w:cs="Times New Roman"/>
                <w:color w:val="17365D"/>
                <w:sz w:val="18"/>
                <w:szCs w:val="18"/>
              </w:rPr>
            </w:pPr>
            <w:r>
              <w:rPr>
                <w:rFonts w:eastAsia="Arial Unicode MS" w:cs="Times New Roman"/>
                <w:color w:val="17365D"/>
                <w:sz w:val="18"/>
                <w:szCs w:val="18"/>
              </w:rPr>
              <w:t>p</w:t>
            </w:r>
            <w:r w:rsidRPr="00CF0813">
              <w:rPr>
                <w:rFonts w:eastAsia="Arial Unicode MS" w:cs="Times New Roman"/>
                <w:color w:val="17365D"/>
                <w:sz w:val="18"/>
                <w:szCs w:val="18"/>
              </w:rPr>
              <w:t>ārd</w:t>
            </w:r>
            <w:r>
              <w:rPr>
                <w:rFonts w:eastAsia="Arial Unicode MS" w:cs="Times New Roman"/>
                <w:color w:val="17365D"/>
                <w:sz w:val="18"/>
                <w:szCs w:val="18"/>
              </w:rPr>
              <w:t>ošanai pieejamie finanšu aktīvi</w:t>
            </w:r>
          </w:p>
        </w:tc>
        <w:tc>
          <w:tcPr>
            <w:tcW w:w="2693" w:type="dxa"/>
            <w:tcBorders>
              <w:top w:val="single" w:sz="4" w:space="0" w:color="17365D"/>
              <w:bottom w:val="single" w:sz="4" w:space="0" w:color="17365D"/>
            </w:tcBorders>
            <w:shd w:val="clear" w:color="auto" w:fill="auto"/>
            <w:vAlign w:val="center"/>
          </w:tcPr>
          <w:p w14:paraId="209C7F63"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23 109</w:t>
            </w:r>
          </w:p>
        </w:tc>
        <w:tc>
          <w:tcPr>
            <w:tcW w:w="1843" w:type="dxa"/>
            <w:tcBorders>
              <w:top w:val="single" w:sz="4" w:space="0" w:color="17365D"/>
              <w:bottom w:val="single" w:sz="4" w:space="0" w:color="17365D"/>
            </w:tcBorders>
            <w:shd w:val="clear" w:color="auto" w:fill="auto"/>
            <w:vAlign w:val="center"/>
          </w:tcPr>
          <w:p w14:paraId="2ECFAED7" w14:textId="77777777" w:rsidR="00B1750B" w:rsidRPr="00CF0813" w:rsidRDefault="00B1750B" w:rsidP="009A09DF">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41 685</w:t>
            </w:r>
          </w:p>
        </w:tc>
      </w:tr>
      <w:tr w:rsidR="00B1750B" w:rsidRPr="00CF0813" w14:paraId="171E5C84" w14:textId="77777777" w:rsidTr="009A4177">
        <w:trPr>
          <w:trHeight w:val="261"/>
        </w:trPr>
        <w:tc>
          <w:tcPr>
            <w:tcW w:w="4957" w:type="dxa"/>
            <w:tcBorders>
              <w:top w:val="single" w:sz="4" w:space="0" w:color="17365D"/>
              <w:bottom w:val="single" w:sz="4" w:space="0" w:color="auto"/>
            </w:tcBorders>
            <w:shd w:val="clear" w:color="auto" w:fill="auto"/>
            <w:vAlign w:val="center"/>
          </w:tcPr>
          <w:p w14:paraId="0F4E9B1A" w14:textId="77777777" w:rsidR="00B1750B" w:rsidRPr="00CF0813" w:rsidRDefault="00B1750B" w:rsidP="009A09DF">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aktīviem, kas nav minēti citur</w:t>
            </w:r>
          </w:p>
        </w:tc>
        <w:tc>
          <w:tcPr>
            <w:tcW w:w="2693" w:type="dxa"/>
            <w:tcBorders>
              <w:top w:val="single" w:sz="4" w:space="0" w:color="17365D"/>
              <w:bottom w:val="single" w:sz="4" w:space="0" w:color="auto"/>
            </w:tcBorders>
            <w:shd w:val="clear" w:color="auto" w:fill="auto"/>
            <w:vAlign w:val="center"/>
          </w:tcPr>
          <w:p w14:paraId="55A0E85F"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3 117 609</w:t>
            </w:r>
          </w:p>
        </w:tc>
        <w:tc>
          <w:tcPr>
            <w:tcW w:w="1843" w:type="dxa"/>
            <w:tcBorders>
              <w:top w:val="single" w:sz="4" w:space="0" w:color="17365D"/>
              <w:bottom w:val="single" w:sz="4" w:space="0" w:color="auto"/>
            </w:tcBorders>
            <w:shd w:val="clear" w:color="auto" w:fill="auto"/>
            <w:vAlign w:val="center"/>
          </w:tcPr>
          <w:p w14:paraId="18FF59A2" w14:textId="77777777" w:rsidR="00B1750B" w:rsidRPr="00CF0813"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2 389 082</w:t>
            </w:r>
          </w:p>
        </w:tc>
      </w:tr>
      <w:tr w:rsidR="00B1750B" w:rsidRPr="00CF0813" w14:paraId="35120638" w14:textId="77777777" w:rsidTr="005645F2">
        <w:trPr>
          <w:trHeight w:val="57"/>
        </w:trPr>
        <w:tc>
          <w:tcPr>
            <w:tcW w:w="4957" w:type="dxa"/>
            <w:tcBorders>
              <w:top w:val="single" w:sz="4" w:space="0" w:color="auto"/>
            </w:tcBorders>
            <w:shd w:val="clear" w:color="auto" w:fill="B8CCE4" w:themeFill="accent1" w:themeFillTint="66"/>
            <w:vAlign w:val="center"/>
          </w:tcPr>
          <w:p w14:paraId="02D0046E" w14:textId="77777777" w:rsidR="00B1750B" w:rsidRPr="00A27896" w:rsidRDefault="00B1750B" w:rsidP="009A09DF">
            <w:pPr>
              <w:spacing w:after="0" w:line="240" w:lineRule="auto"/>
              <w:rPr>
                <w:rFonts w:eastAsia="Arial Unicode MS" w:cs="Times New Roman"/>
                <w:b/>
                <w:color w:val="17365D"/>
                <w:sz w:val="18"/>
                <w:szCs w:val="18"/>
              </w:rPr>
            </w:pPr>
          </w:p>
        </w:tc>
        <w:tc>
          <w:tcPr>
            <w:tcW w:w="2693" w:type="dxa"/>
            <w:tcBorders>
              <w:top w:val="single" w:sz="4" w:space="0" w:color="auto"/>
            </w:tcBorders>
            <w:shd w:val="clear" w:color="auto" w:fill="B8CCE4" w:themeFill="accent1" w:themeFillTint="66"/>
            <w:vAlign w:val="center"/>
          </w:tcPr>
          <w:p w14:paraId="0146A696" w14:textId="77777777" w:rsidR="00B1750B" w:rsidRPr="00A27896" w:rsidRDefault="00B1750B" w:rsidP="009A09DF">
            <w:pPr>
              <w:spacing w:after="0" w:line="240" w:lineRule="auto"/>
              <w:jc w:val="right"/>
              <w:rPr>
                <w:rFonts w:eastAsia="Arial Unicode MS" w:cs="Times New Roman"/>
                <w:b/>
                <w:color w:val="17365D"/>
                <w:sz w:val="18"/>
                <w:szCs w:val="18"/>
              </w:rPr>
            </w:pPr>
          </w:p>
        </w:tc>
        <w:tc>
          <w:tcPr>
            <w:tcW w:w="1843" w:type="dxa"/>
            <w:tcBorders>
              <w:top w:val="single" w:sz="4" w:space="0" w:color="auto"/>
            </w:tcBorders>
            <w:shd w:val="clear" w:color="auto" w:fill="B8CCE4" w:themeFill="accent1" w:themeFillTint="66"/>
            <w:vAlign w:val="center"/>
          </w:tcPr>
          <w:p w14:paraId="0E718BEF" w14:textId="77777777" w:rsidR="00B1750B" w:rsidRPr="00A27896" w:rsidRDefault="00B1750B" w:rsidP="009A09DF">
            <w:pPr>
              <w:spacing w:after="0" w:line="240" w:lineRule="auto"/>
              <w:jc w:val="right"/>
              <w:rPr>
                <w:rFonts w:eastAsia="Arial Unicode MS" w:cs="Times New Roman"/>
                <w:b/>
                <w:color w:val="17365D"/>
                <w:sz w:val="18"/>
                <w:szCs w:val="18"/>
              </w:rPr>
            </w:pPr>
          </w:p>
        </w:tc>
      </w:tr>
    </w:tbl>
    <w:p w14:paraId="419653C5" w14:textId="77777777" w:rsidR="00E807EB" w:rsidRDefault="00E807EB" w:rsidP="00845526">
      <w:pPr>
        <w:pStyle w:val="Pamatteksts1"/>
      </w:pPr>
    </w:p>
    <w:p w14:paraId="08F8AA50" w14:textId="41767FBE" w:rsidR="00B1750B" w:rsidRPr="00DB5DC9" w:rsidRDefault="00A73CA9" w:rsidP="00845526">
      <w:pPr>
        <w:pStyle w:val="Pamatteksts1"/>
      </w:pPr>
      <w:r>
        <w:t>Pārējo izdevumu</w:t>
      </w:r>
      <w:r w:rsidR="003A2813">
        <w:t xml:space="preserve"> lielākais</w:t>
      </w:r>
      <w:r w:rsidR="00B1750B" w:rsidRPr="00DB5DC9">
        <w:t xml:space="preserve"> palielinājums veidojās:</w:t>
      </w:r>
    </w:p>
    <w:p w14:paraId="46AA875E" w14:textId="38CF1A98" w:rsidR="00B1750B" w:rsidRDefault="00B1750B" w:rsidP="00845526">
      <w:pPr>
        <w:pStyle w:val="Bullets"/>
        <w:rPr>
          <w:rFonts w:eastAsia="Arial Unicode MS"/>
        </w:rPr>
      </w:pPr>
      <w:proofErr w:type="spellStart"/>
      <w:r>
        <w:rPr>
          <w:rFonts w:eastAsia="Arial Unicode MS"/>
        </w:rPr>
        <w:t>Iekšlietu</w:t>
      </w:r>
      <w:proofErr w:type="spellEnd"/>
      <w:r>
        <w:rPr>
          <w:rFonts w:eastAsia="Arial Unicode MS"/>
        </w:rPr>
        <w:t xml:space="preserve"> ministrijai 120,</w:t>
      </w:r>
      <w:r w:rsidR="0048279B">
        <w:rPr>
          <w:rFonts w:eastAsia="Arial Unicode MS"/>
        </w:rPr>
        <w:t>5</w:t>
      </w:r>
      <w:r>
        <w:rPr>
          <w:rFonts w:eastAsia="Arial Unicode MS"/>
        </w:rPr>
        <w:t xml:space="preserve"> </w:t>
      </w:r>
      <w:r w:rsidRPr="00E03367">
        <w:t>milj.</w:t>
      </w:r>
      <w:r>
        <w:rPr>
          <w:rFonts w:eastAsia="Arial Unicode MS"/>
        </w:rPr>
        <w:t xml:space="preserve"> </w:t>
      </w:r>
      <w:r w:rsidRPr="00DB5DC9">
        <w:rPr>
          <w:rFonts w:eastAsia="Arial Unicode MS"/>
          <w:i/>
        </w:rPr>
        <w:t>euro</w:t>
      </w:r>
      <w:r w:rsidRPr="00DB5DC9">
        <w:rPr>
          <w:rFonts w:eastAsia="Arial Unicode MS"/>
        </w:rPr>
        <w:t xml:space="preserve"> vērtībā par atzītiem izdevumiem</w:t>
      </w:r>
      <w:r>
        <w:rPr>
          <w:rFonts w:eastAsia="Arial Unicode MS"/>
        </w:rPr>
        <w:t xml:space="preserve"> no uzkrājumu veidošanas amatpersonām ar speciālo dienesta pakāpi izdienas pensijām un </w:t>
      </w:r>
      <w:r w:rsidR="00E75BD2">
        <w:rPr>
          <w:rFonts w:eastAsia="Arial Unicode MS"/>
        </w:rPr>
        <w:t>izdienas pabalstiem</w:t>
      </w:r>
      <w:r w:rsidRPr="00DB5DC9">
        <w:rPr>
          <w:rFonts w:eastAsia="Arial Unicode MS"/>
        </w:rPr>
        <w:t>;</w:t>
      </w:r>
    </w:p>
    <w:p w14:paraId="171805DB" w14:textId="335681DF" w:rsidR="00B1750B" w:rsidRDefault="00B1750B" w:rsidP="00845526">
      <w:pPr>
        <w:pStyle w:val="Bullets"/>
        <w:rPr>
          <w:rFonts w:eastAsia="Arial Unicode MS"/>
        </w:rPr>
      </w:pPr>
      <w:r w:rsidRPr="00F10EFD">
        <w:rPr>
          <w:rFonts w:eastAsia="Arial Unicode MS"/>
        </w:rPr>
        <w:t>Ai</w:t>
      </w:r>
      <w:r>
        <w:rPr>
          <w:rFonts w:eastAsia="Arial Unicode MS"/>
        </w:rPr>
        <w:t>z</w:t>
      </w:r>
      <w:r w:rsidRPr="00F10EFD">
        <w:rPr>
          <w:rFonts w:eastAsia="Arial Unicode MS"/>
        </w:rPr>
        <w:t>sardzības ministrijai 638</w:t>
      </w:r>
      <w:r>
        <w:rPr>
          <w:rFonts w:eastAsia="Arial Unicode MS"/>
        </w:rPr>
        <w:t>,</w:t>
      </w:r>
      <w:r w:rsidR="0048279B">
        <w:rPr>
          <w:rFonts w:eastAsia="Arial Unicode MS"/>
        </w:rPr>
        <w:t>6</w:t>
      </w:r>
      <w:r>
        <w:rPr>
          <w:rFonts w:eastAsia="Arial Unicode MS"/>
        </w:rPr>
        <w:t xml:space="preserve"> </w:t>
      </w:r>
      <w:r w:rsidRPr="00E03367">
        <w:t>milj.</w:t>
      </w:r>
      <w:r w:rsidRPr="00F10EFD">
        <w:rPr>
          <w:rFonts w:eastAsia="Arial Unicode MS"/>
        </w:rPr>
        <w:t xml:space="preserve"> </w:t>
      </w:r>
      <w:r w:rsidRPr="00DB5DC9">
        <w:rPr>
          <w:rFonts w:eastAsia="Arial Unicode MS"/>
          <w:i/>
        </w:rPr>
        <w:t>euro</w:t>
      </w:r>
      <w:r w:rsidRPr="00DB5DC9">
        <w:rPr>
          <w:rFonts w:eastAsia="Arial Unicode MS"/>
        </w:rPr>
        <w:t xml:space="preserve"> vērtībā par atzītiem izdevumiem</w:t>
      </w:r>
      <w:r>
        <w:rPr>
          <w:rFonts w:eastAsia="Arial Unicode MS"/>
        </w:rPr>
        <w:t xml:space="preserve"> no uzkrājumu veidošanas militārpersonu izdienas pensijām un </w:t>
      </w:r>
      <w:r w:rsidR="00B952A9">
        <w:rPr>
          <w:rFonts w:eastAsia="Arial Unicode MS"/>
        </w:rPr>
        <w:t>izdienas pabalstiem</w:t>
      </w:r>
      <w:r>
        <w:rPr>
          <w:rFonts w:eastAsia="Arial Unicode MS"/>
        </w:rPr>
        <w:t>;</w:t>
      </w:r>
    </w:p>
    <w:p w14:paraId="0FA55AD5" w14:textId="54AC0B88" w:rsidR="00B1750B" w:rsidRDefault="00B1750B" w:rsidP="00845526">
      <w:pPr>
        <w:pStyle w:val="Bullets"/>
        <w:rPr>
          <w:rFonts w:eastAsia="Arial Unicode MS"/>
        </w:rPr>
      </w:pPr>
      <w:r w:rsidRPr="0098708A">
        <w:rPr>
          <w:rFonts w:eastAsia="Arial Unicode MS"/>
        </w:rPr>
        <w:t>Labklājības ministrija</w:t>
      </w:r>
      <w:r>
        <w:rPr>
          <w:rFonts w:eastAsia="Arial Unicode MS"/>
        </w:rPr>
        <w:t xml:space="preserve">i 105,1 </w:t>
      </w:r>
      <w:r w:rsidRPr="00E03367">
        <w:t>milj.</w:t>
      </w:r>
      <w:r>
        <w:rPr>
          <w:rFonts w:eastAsia="Arial Unicode MS"/>
        </w:rPr>
        <w:t xml:space="preserve"> </w:t>
      </w:r>
      <w:r w:rsidRPr="0098708A">
        <w:rPr>
          <w:rFonts w:eastAsia="Arial Unicode MS"/>
          <w:i/>
        </w:rPr>
        <w:t>euro</w:t>
      </w:r>
      <w:r w:rsidRPr="0098708A">
        <w:rPr>
          <w:rFonts w:eastAsia="Arial Unicode MS"/>
        </w:rPr>
        <w:t xml:space="preserve"> vērtībā</w:t>
      </w:r>
      <w:r>
        <w:rPr>
          <w:rFonts w:eastAsia="Arial Unicode MS"/>
        </w:rPr>
        <w:t xml:space="preserve"> </w:t>
      </w:r>
      <w:r w:rsidRPr="00DB5DC9">
        <w:rPr>
          <w:rFonts w:eastAsia="Arial Unicode MS"/>
        </w:rPr>
        <w:t>par atzītiem izdevumiem</w:t>
      </w:r>
      <w:r>
        <w:rPr>
          <w:rFonts w:eastAsia="Arial Unicode MS"/>
        </w:rPr>
        <w:t xml:space="preserve"> no uzkrājumu veidošanas izdienas pensijām;</w:t>
      </w:r>
    </w:p>
    <w:p w14:paraId="559A60AA" w14:textId="2411B3E9" w:rsidR="00B1750B" w:rsidRPr="001D19BD" w:rsidRDefault="00B1750B" w:rsidP="005800AC">
      <w:pPr>
        <w:pStyle w:val="Bullets"/>
      </w:pPr>
      <w:r w:rsidRPr="0098708A">
        <w:t xml:space="preserve">Satiksmes ministrijai </w:t>
      </w:r>
      <w:r>
        <w:t>89,</w:t>
      </w:r>
      <w:r w:rsidR="0048279B">
        <w:t>8</w:t>
      </w:r>
      <w:r>
        <w:t xml:space="preserve"> </w:t>
      </w:r>
      <w:r w:rsidRPr="00E03367">
        <w:t>milj.</w:t>
      </w:r>
      <w:r w:rsidRPr="0098708A">
        <w:rPr>
          <w:i/>
        </w:rPr>
        <w:t xml:space="preserve"> </w:t>
      </w:r>
      <w:r w:rsidRPr="00DB5DC9">
        <w:rPr>
          <w:i/>
        </w:rPr>
        <w:t>euro</w:t>
      </w:r>
      <w:r w:rsidRPr="00DB5DC9">
        <w:t xml:space="preserve"> vērtībā par </w:t>
      </w:r>
      <w:r>
        <w:t>atzītiem izdevumiem</w:t>
      </w:r>
      <w:r w:rsidRPr="0098708A">
        <w:t xml:space="preserve"> no ilgtermiņa finanšu ieguldījumu pārvērtēšanas</w:t>
      </w:r>
      <w:r>
        <w:t>.</w:t>
      </w:r>
    </w:p>
    <w:p w14:paraId="1E7B37F2" w14:textId="77777777" w:rsidR="00B1750B" w:rsidRPr="00DD2F2B" w:rsidRDefault="00B1750B" w:rsidP="00B1750B">
      <w:pPr>
        <w:pStyle w:val="Heading3"/>
        <w:rPr>
          <w:lang w:eastAsia="lv-LV"/>
        </w:rPr>
      </w:pPr>
      <w:r w:rsidRPr="00051043">
        <w:t>Ieņēmumi</w:t>
      </w:r>
      <w:r w:rsidRPr="00F72A6E">
        <w:t xml:space="preserve"> un izdevum</w:t>
      </w:r>
      <w:r>
        <w:t>i</w:t>
      </w:r>
      <w:r w:rsidRPr="00F72A6E">
        <w:t xml:space="preserve"> neto vērtīb</w:t>
      </w:r>
      <w:r>
        <w:t>ā</w:t>
      </w:r>
    </w:p>
    <w:p w14:paraId="781DFEC0" w14:textId="77777777" w:rsidR="00B1750B" w:rsidRPr="00F72A6E" w:rsidRDefault="00B1750B" w:rsidP="00845526">
      <w:pPr>
        <w:pStyle w:val="Pamatteksts1"/>
      </w:pPr>
      <w:r w:rsidRPr="00F72A6E">
        <w:t xml:space="preserve">Ieņēmumu un izdevumu neto vērtību izmaiņas uzrādītas </w:t>
      </w:r>
      <w:r>
        <w:t>2.1</w:t>
      </w:r>
      <w:r w:rsidRPr="00587C02">
        <w:t>0. tabulā.</w:t>
      </w:r>
    </w:p>
    <w:p w14:paraId="31C302AA" w14:textId="3EBFF2C5" w:rsidR="00B1750B" w:rsidRDefault="00B1750B" w:rsidP="00B1750B">
      <w:pPr>
        <w:spacing w:after="0"/>
        <w:jc w:val="right"/>
        <w:rPr>
          <w:rFonts w:eastAsia="Arial Unicode MS" w:cs="Times New Roman"/>
          <w:i/>
          <w:color w:val="17365D"/>
          <w:sz w:val="20"/>
          <w:szCs w:val="24"/>
        </w:rPr>
      </w:pPr>
      <w:r>
        <w:rPr>
          <w:rFonts w:eastAsia="Arial Unicode MS" w:cs="Times New Roman"/>
          <w:i/>
          <w:color w:val="17365D"/>
          <w:sz w:val="20"/>
          <w:szCs w:val="24"/>
        </w:rPr>
        <w:lastRenderedPageBreak/>
        <w:t>2.10</w:t>
      </w:r>
      <w:r w:rsidRPr="00F72A6E">
        <w:rPr>
          <w:rFonts w:eastAsia="Arial Unicode MS" w:cs="Times New Roman"/>
          <w:i/>
          <w:color w:val="17365D"/>
          <w:sz w:val="20"/>
          <w:szCs w:val="24"/>
        </w:rPr>
        <w:t>. tabula. Ieņēmumu un izdevumu neto vērtību izmaiņas (euro)</w:t>
      </w:r>
    </w:p>
    <w:tbl>
      <w:tblPr>
        <w:tblW w:w="9498" w:type="dxa"/>
        <w:tblBorders>
          <w:insideH w:val="single" w:sz="4" w:space="0" w:color="012169"/>
        </w:tblBorders>
        <w:tblLayout w:type="fixed"/>
        <w:tblLook w:val="04A0" w:firstRow="1" w:lastRow="0" w:firstColumn="1" w:lastColumn="0" w:noHBand="0" w:noVBand="1"/>
      </w:tblPr>
      <w:tblGrid>
        <w:gridCol w:w="2694"/>
        <w:gridCol w:w="943"/>
        <w:gridCol w:w="1418"/>
        <w:gridCol w:w="1417"/>
        <w:gridCol w:w="1418"/>
        <w:gridCol w:w="1608"/>
      </w:tblGrid>
      <w:tr w:rsidR="00B1750B" w:rsidRPr="00F72A6E" w14:paraId="4D1D721C" w14:textId="77777777" w:rsidTr="009A4177">
        <w:trPr>
          <w:trHeight w:val="791"/>
          <w:tblHeader/>
        </w:trPr>
        <w:tc>
          <w:tcPr>
            <w:tcW w:w="2694" w:type="dxa"/>
            <w:tcBorders>
              <w:bottom w:val="single" w:sz="4" w:space="0" w:color="012169"/>
            </w:tcBorders>
            <w:shd w:val="clear" w:color="auto" w:fill="B9CDE5"/>
            <w:vAlign w:val="center"/>
            <w:hideMark/>
          </w:tcPr>
          <w:p w14:paraId="2149F16D" w14:textId="77777777" w:rsidR="00B1750B" w:rsidRPr="00F72A6E"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943" w:type="dxa"/>
            <w:tcBorders>
              <w:bottom w:val="single" w:sz="4" w:space="0" w:color="012169"/>
            </w:tcBorders>
            <w:shd w:val="clear" w:color="auto" w:fill="B9CDE5"/>
            <w:vAlign w:val="center"/>
          </w:tcPr>
          <w:p w14:paraId="2CBFA8E2" w14:textId="77777777" w:rsidR="00B1750B" w:rsidRPr="00F72A6E" w:rsidRDefault="00B1750B" w:rsidP="009A09DF">
            <w:pPr>
              <w:spacing w:after="0" w:line="240" w:lineRule="auto"/>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Piezīmes Nr.</w:t>
            </w:r>
          </w:p>
        </w:tc>
        <w:tc>
          <w:tcPr>
            <w:tcW w:w="1418" w:type="dxa"/>
            <w:tcBorders>
              <w:bottom w:val="single" w:sz="4" w:space="0" w:color="012169"/>
            </w:tcBorders>
            <w:shd w:val="clear" w:color="auto" w:fill="B9CDE5"/>
            <w:vAlign w:val="center"/>
          </w:tcPr>
          <w:p w14:paraId="4FBEA81D" w14:textId="77777777" w:rsidR="00B1750B" w:rsidRPr="00F72A6E" w:rsidRDefault="00B1750B" w:rsidP="009A09DF">
            <w:pPr>
              <w:spacing w:after="0" w:line="240" w:lineRule="auto"/>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Pārskata periods</w:t>
            </w:r>
          </w:p>
        </w:tc>
        <w:tc>
          <w:tcPr>
            <w:tcW w:w="1417" w:type="dxa"/>
            <w:tcBorders>
              <w:bottom w:val="single" w:sz="4" w:space="0" w:color="012169"/>
            </w:tcBorders>
            <w:shd w:val="clear" w:color="auto" w:fill="B9CDE5"/>
            <w:vAlign w:val="center"/>
          </w:tcPr>
          <w:p w14:paraId="60443B59" w14:textId="77777777" w:rsidR="00B1750B" w:rsidRPr="00F72A6E" w:rsidRDefault="00B1750B" w:rsidP="009A09DF">
            <w:pPr>
              <w:spacing w:after="0" w:line="240" w:lineRule="auto"/>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Iepriekšējais pārskata periods</w:t>
            </w:r>
          </w:p>
        </w:tc>
        <w:tc>
          <w:tcPr>
            <w:tcW w:w="1418" w:type="dxa"/>
            <w:tcBorders>
              <w:bottom w:val="single" w:sz="4" w:space="0" w:color="012169"/>
            </w:tcBorders>
            <w:shd w:val="clear" w:color="auto" w:fill="B9CDE5"/>
            <w:vAlign w:val="center"/>
          </w:tcPr>
          <w:p w14:paraId="34A5A4DE" w14:textId="77777777" w:rsidR="00B1750B" w:rsidRPr="00F72A6E" w:rsidRDefault="00B1750B" w:rsidP="009A09DF">
            <w:pPr>
              <w:spacing w:after="0" w:line="240" w:lineRule="auto"/>
              <w:ind w:left="-107" w:right="-109"/>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Izmaiņas (1. – 2.)</w:t>
            </w:r>
          </w:p>
        </w:tc>
        <w:tc>
          <w:tcPr>
            <w:tcW w:w="1608" w:type="dxa"/>
            <w:tcBorders>
              <w:bottom w:val="single" w:sz="4" w:space="0" w:color="012169"/>
            </w:tcBorders>
            <w:shd w:val="clear" w:color="auto" w:fill="B9CDE5"/>
            <w:vAlign w:val="center"/>
          </w:tcPr>
          <w:p w14:paraId="51B2A2D4" w14:textId="77777777" w:rsidR="00B1750B" w:rsidRPr="00F72A6E" w:rsidRDefault="00B1750B" w:rsidP="009A09DF">
            <w:pPr>
              <w:spacing w:after="0" w:line="240" w:lineRule="auto"/>
              <w:ind w:left="-107" w:right="-109"/>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 xml:space="preserve">Procentuālās izmaiņas </w:t>
            </w:r>
            <w:r w:rsidRPr="00F72A6E">
              <w:rPr>
                <w:rFonts w:eastAsia="Times New Roman" w:cs="Times New Roman"/>
                <w:b/>
                <w:color w:val="17365D"/>
                <w:sz w:val="18"/>
                <w:szCs w:val="18"/>
                <w:lang w:eastAsia="lv-LV"/>
              </w:rPr>
              <w:br/>
              <w:t>(3/2. x 100)</w:t>
            </w:r>
          </w:p>
        </w:tc>
      </w:tr>
      <w:tr w:rsidR="00B1750B" w:rsidRPr="00F72A6E" w14:paraId="6944B8A8" w14:textId="77777777" w:rsidTr="009A4177">
        <w:trPr>
          <w:trHeight w:val="56"/>
        </w:trPr>
        <w:tc>
          <w:tcPr>
            <w:tcW w:w="2694" w:type="dxa"/>
            <w:tcBorders>
              <w:top w:val="single" w:sz="4" w:space="0" w:color="012169"/>
              <w:bottom w:val="single" w:sz="4" w:space="0" w:color="012169"/>
            </w:tcBorders>
            <w:shd w:val="clear" w:color="auto" w:fill="auto"/>
            <w:vAlign w:val="center"/>
          </w:tcPr>
          <w:p w14:paraId="7DAF86DE" w14:textId="77777777" w:rsidR="00B1750B" w:rsidRPr="00F72A6E" w:rsidRDefault="00B1750B" w:rsidP="009A09DF">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A</w:t>
            </w:r>
          </w:p>
        </w:tc>
        <w:tc>
          <w:tcPr>
            <w:tcW w:w="943" w:type="dxa"/>
            <w:tcBorders>
              <w:top w:val="single" w:sz="4" w:space="0" w:color="012169"/>
              <w:bottom w:val="single" w:sz="4" w:space="0" w:color="012169"/>
            </w:tcBorders>
            <w:shd w:val="clear" w:color="auto" w:fill="auto"/>
            <w:vAlign w:val="center"/>
          </w:tcPr>
          <w:p w14:paraId="51D5E5AA" w14:textId="77777777" w:rsidR="00B1750B" w:rsidRPr="00F72A6E" w:rsidRDefault="00B1750B" w:rsidP="009A09DF">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B</w:t>
            </w:r>
          </w:p>
        </w:tc>
        <w:tc>
          <w:tcPr>
            <w:tcW w:w="1418" w:type="dxa"/>
            <w:tcBorders>
              <w:top w:val="single" w:sz="4" w:space="0" w:color="012169"/>
              <w:bottom w:val="single" w:sz="4" w:space="0" w:color="012169"/>
            </w:tcBorders>
            <w:shd w:val="clear" w:color="auto" w:fill="auto"/>
            <w:vAlign w:val="center"/>
          </w:tcPr>
          <w:p w14:paraId="15D87DB5" w14:textId="77777777" w:rsidR="00B1750B" w:rsidRPr="00F72A6E" w:rsidRDefault="00B1750B" w:rsidP="009A09DF">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1</w:t>
            </w:r>
          </w:p>
        </w:tc>
        <w:tc>
          <w:tcPr>
            <w:tcW w:w="1417" w:type="dxa"/>
            <w:tcBorders>
              <w:top w:val="single" w:sz="4" w:space="0" w:color="012169"/>
              <w:bottom w:val="single" w:sz="4" w:space="0" w:color="012169"/>
            </w:tcBorders>
            <w:shd w:val="clear" w:color="auto" w:fill="auto"/>
            <w:vAlign w:val="center"/>
          </w:tcPr>
          <w:p w14:paraId="2D5B3F27" w14:textId="77777777" w:rsidR="00B1750B" w:rsidRPr="00F72A6E" w:rsidRDefault="00B1750B" w:rsidP="009A09DF">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2</w:t>
            </w:r>
          </w:p>
        </w:tc>
        <w:tc>
          <w:tcPr>
            <w:tcW w:w="1418" w:type="dxa"/>
            <w:tcBorders>
              <w:top w:val="single" w:sz="4" w:space="0" w:color="012169"/>
              <w:bottom w:val="single" w:sz="4" w:space="0" w:color="012169"/>
            </w:tcBorders>
            <w:shd w:val="clear" w:color="auto" w:fill="auto"/>
            <w:vAlign w:val="center"/>
          </w:tcPr>
          <w:p w14:paraId="20929010" w14:textId="77777777" w:rsidR="00B1750B" w:rsidRPr="00F72A6E" w:rsidRDefault="00B1750B" w:rsidP="009A09DF">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3</w:t>
            </w:r>
          </w:p>
        </w:tc>
        <w:tc>
          <w:tcPr>
            <w:tcW w:w="1608" w:type="dxa"/>
            <w:tcBorders>
              <w:top w:val="single" w:sz="4" w:space="0" w:color="012169"/>
              <w:bottom w:val="single" w:sz="4" w:space="0" w:color="012169"/>
            </w:tcBorders>
            <w:shd w:val="clear" w:color="auto" w:fill="auto"/>
            <w:vAlign w:val="center"/>
          </w:tcPr>
          <w:p w14:paraId="31AD87EF" w14:textId="77777777" w:rsidR="00B1750B" w:rsidRPr="00F72A6E" w:rsidRDefault="00B1750B" w:rsidP="009A09DF">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4</w:t>
            </w:r>
          </w:p>
        </w:tc>
      </w:tr>
      <w:tr w:rsidR="00B1750B" w:rsidRPr="00F72A6E" w14:paraId="7A158F46" w14:textId="77777777" w:rsidTr="009A4177">
        <w:trPr>
          <w:trHeight w:val="261"/>
        </w:trPr>
        <w:tc>
          <w:tcPr>
            <w:tcW w:w="2694" w:type="dxa"/>
            <w:tcBorders>
              <w:top w:val="single" w:sz="4" w:space="0" w:color="012169"/>
              <w:bottom w:val="single" w:sz="4" w:space="0" w:color="012169"/>
              <w:right w:val="nil"/>
            </w:tcBorders>
            <w:shd w:val="clear" w:color="auto" w:fill="auto"/>
            <w:vAlign w:val="center"/>
          </w:tcPr>
          <w:p w14:paraId="0C6D0743" w14:textId="77777777" w:rsidR="00B1750B" w:rsidRPr="00F72A6E" w:rsidRDefault="00B1750B" w:rsidP="009A09DF">
            <w:pPr>
              <w:spacing w:after="0" w:line="240" w:lineRule="auto"/>
              <w:rPr>
                <w:rFonts w:eastAsia="Times New Roman" w:cs="Times New Roman"/>
                <w:color w:val="17365D"/>
                <w:sz w:val="18"/>
                <w:szCs w:val="18"/>
              </w:rPr>
            </w:pPr>
            <w:r>
              <w:rPr>
                <w:color w:val="17365D"/>
                <w:sz w:val="18"/>
                <w:szCs w:val="18"/>
              </w:rPr>
              <w:t>Ieņēmumi (+) vai izdevumi (–) no finanšu instrumentiem</w:t>
            </w:r>
          </w:p>
        </w:tc>
        <w:tc>
          <w:tcPr>
            <w:tcW w:w="943" w:type="dxa"/>
            <w:tcBorders>
              <w:top w:val="single" w:sz="4" w:space="0" w:color="012169"/>
              <w:left w:val="nil"/>
              <w:bottom w:val="single" w:sz="4" w:space="0" w:color="012169"/>
              <w:right w:val="nil"/>
            </w:tcBorders>
            <w:shd w:val="clear" w:color="auto" w:fill="auto"/>
            <w:vAlign w:val="center"/>
          </w:tcPr>
          <w:p w14:paraId="4DBC3CFA" w14:textId="77777777" w:rsidR="00B1750B" w:rsidRPr="00F72A6E" w:rsidRDefault="00B1750B" w:rsidP="009A09DF">
            <w:pPr>
              <w:spacing w:after="0" w:line="240" w:lineRule="auto"/>
              <w:jc w:val="center"/>
              <w:rPr>
                <w:rFonts w:eastAsia="Times New Roman" w:cs="Times New Roman"/>
                <w:color w:val="17365D"/>
                <w:sz w:val="18"/>
                <w:szCs w:val="18"/>
              </w:rPr>
            </w:pPr>
          </w:p>
        </w:tc>
        <w:tc>
          <w:tcPr>
            <w:tcW w:w="1418" w:type="dxa"/>
            <w:tcBorders>
              <w:top w:val="single" w:sz="4" w:space="0" w:color="012169"/>
              <w:left w:val="nil"/>
              <w:bottom w:val="single" w:sz="4" w:space="0" w:color="012169"/>
              <w:right w:val="nil"/>
            </w:tcBorders>
            <w:shd w:val="clear" w:color="F2F2F2" w:fill="FFFFFF"/>
            <w:vAlign w:val="center"/>
          </w:tcPr>
          <w:p w14:paraId="497C2008"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-35 553 577</w:t>
            </w:r>
          </w:p>
        </w:tc>
        <w:tc>
          <w:tcPr>
            <w:tcW w:w="1417" w:type="dxa"/>
            <w:tcBorders>
              <w:top w:val="single" w:sz="4" w:space="0" w:color="012169"/>
              <w:left w:val="nil"/>
              <w:bottom w:val="single" w:sz="4" w:space="0" w:color="012169"/>
              <w:right w:val="nil"/>
            </w:tcBorders>
            <w:shd w:val="clear" w:color="F2F2F2" w:fill="FFFFFF"/>
            <w:vAlign w:val="center"/>
          </w:tcPr>
          <w:p w14:paraId="39E5AB3F"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12 086 232</w:t>
            </w:r>
          </w:p>
        </w:tc>
        <w:tc>
          <w:tcPr>
            <w:tcW w:w="1418" w:type="dxa"/>
            <w:tcBorders>
              <w:top w:val="single" w:sz="4" w:space="0" w:color="012169"/>
              <w:left w:val="nil"/>
              <w:bottom w:val="single" w:sz="4" w:space="0" w:color="012169"/>
              <w:right w:val="nil"/>
            </w:tcBorders>
            <w:shd w:val="clear" w:color="F2F2F2" w:fill="FFFFFF"/>
            <w:vAlign w:val="center"/>
          </w:tcPr>
          <w:p w14:paraId="3AE76FA5"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-47 639 809</w:t>
            </w:r>
          </w:p>
        </w:tc>
        <w:tc>
          <w:tcPr>
            <w:tcW w:w="1608" w:type="dxa"/>
            <w:tcBorders>
              <w:top w:val="single" w:sz="4" w:space="0" w:color="012169"/>
              <w:left w:val="nil"/>
              <w:bottom w:val="single" w:sz="4" w:space="0" w:color="012169"/>
              <w:right w:val="nil"/>
            </w:tcBorders>
            <w:shd w:val="clear" w:color="F2F2F2" w:fill="FFFFFF"/>
            <w:vAlign w:val="center"/>
          </w:tcPr>
          <w:p w14:paraId="5BB2EC06"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-394.17</w:t>
            </w:r>
          </w:p>
        </w:tc>
      </w:tr>
      <w:tr w:rsidR="00B1750B" w:rsidRPr="00F72A6E" w14:paraId="719BCC92" w14:textId="77777777" w:rsidTr="009A4177">
        <w:trPr>
          <w:trHeight w:val="261"/>
        </w:trPr>
        <w:tc>
          <w:tcPr>
            <w:tcW w:w="2694" w:type="dxa"/>
            <w:tcBorders>
              <w:top w:val="single" w:sz="4" w:space="0" w:color="012169"/>
              <w:bottom w:val="single" w:sz="4" w:space="0" w:color="012169"/>
              <w:right w:val="nil"/>
            </w:tcBorders>
            <w:shd w:val="clear" w:color="auto" w:fill="auto"/>
            <w:vAlign w:val="center"/>
          </w:tcPr>
          <w:p w14:paraId="28265C41" w14:textId="77777777" w:rsidR="00B1750B" w:rsidRPr="00F72A6E" w:rsidRDefault="00B1750B" w:rsidP="009A09DF">
            <w:pPr>
              <w:spacing w:after="0" w:line="240" w:lineRule="auto"/>
              <w:rPr>
                <w:rFonts w:eastAsia="Times New Roman" w:cs="Times New Roman"/>
                <w:color w:val="17365D"/>
                <w:sz w:val="18"/>
                <w:szCs w:val="18"/>
              </w:rPr>
            </w:pPr>
            <w:r>
              <w:rPr>
                <w:color w:val="17365D"/>
                <w:sz w:val="18"/>
                <w:szCs w:val="18"/>
              </w:rPr>
              <w:t xml:space="preserve">Ieņēmumi (+) vai izdevumi (–) no </w:t>
            </w:r>
            <w:proofErr w:type="spellStart"/>
            <w:r>
              <w:rPr>
                <w:color w:val="17365D"/>
                <w:sz w:val="18"/>
                <w:szCs w:val="18"/>
              </w:rPr>
              <w:t>nefinanšu</w:t>
            </w:r>
            <w:proofErr w:type="spellEnd"/>
            <w:r>
              <w:rPr>
                <w:color w:val="17365D"/>
                <w:sz w:val="18"/>
                <w:szCs w:val="18"/>
              </w:rPr>
              <w:t xml:space="preserve"> aktīvu atsavināšanas</w:t>
            </w:r>
          </w:p>
        </w:tc>
        <w:tc>
          <w:tcPr>
            <w:tcW w:w="943" w:type="dxa"/>
            <w:tcBorders>
              <w:top w:val="single" w:sz="4" w:space="0" w:color="012169"/>
              <w:left w:val="nil"/>
              <w:bottom w:val="single" w:sz="4" w:space="0" w:color="012169"/>
              <w:right w:val="nil"/>
            </w:tcBorders>
            <w:shd w:val="clear" w:color="auto" w:fill="auto"/>
            <w:vAlign w:val="center"/>
          </w:tcPr>
          <w:p w14:paraId="62ADEBC6" w14:textId="77777777" w:rsidR="00B1750B" w:rsidRPr="00F72A6E"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18" w:type="dxa"/>
            <w:tcBorders>
              <w:top w:val="single" w:sz="4" w:space="0" w:color="012169"/>
              <w:left w:val="nil"/>
              <w:bottom w:val="single" w:sz="4" w:space="0" w:color="012169"/>
              <w:right w:val="nil"/>
            </w:tcBorders>
            <w:shd w:val="clear" w:color="F2F2F2" w:fill="FFFFFF"/>
            <w:vAlign w:val="center"/>
          </w:tcPr>
          <w:p w14:paraId="453AF3AE"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9 467 335</w:t>
            </w:r>
          </w:p>
        </w:tc>
        <w:tc>
          <w:tcPr>
            <w:tcW w:w="1417" w:type="dxa"/>
            <w:tcBorders>
              <w:top w:val="single" w:sz="4" w:space="0" w:color="012169"/>
              <w:left w:val="nil"/>
              <w:bottom w:val="single" w:sz="4" w:space="0" w:color="012169"/>
              <w:right w:val="nil"/>
            </w:tcBorders>
            <w:shd w:val="clear" w:color="F2F2F2" w:fill="FFFFFF"/>
            <w:vAlign w:val="center"/>
          </w:tcPr>
          <w:p w14:paraId="01A33182"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27 612 443</w:t>
            </w:r>
          </w:p>
        </w:tc>
        <w:tc>
          <w:tcPr>
            <w:tcW w:w="1418" w:type="dxa"/>
            <w:tcBorders>
              <w:top w:val="single" w:sz="4" w:space="0" w:color="012169"/>
              <w:left w:val="nil"/>
              <w:bottom w:val="single" w:sz="4" w:space="0" w:color="012169"/>
              <w:right w:val="nil"/>
            </w:tcBorders>
            <w:shd w:val="clear" w:color="F2F2F2" w:fill="FFFFFF"/>
            <w:vAlign w:val="center"/>
          </w:tcPr>
          <w:p w14:paraId="6CAEECCA"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-18 145 108</w:t>
            </w:r>
          </w:p>
        </w:tc>
        <w:tc>
          <w:tcPr>
            <w:tcW w:w="1608" w:type="dxa"/>
            <w:tcBorders>
              <w:top w:val="single" w:sz="4" w:space="0" w:color="012169"/>
              <w:left w:val="nil"/>
              <w:bottom w:val="single" w:sz="4" w:space="0" w:color="012169"/>
              <w:right w:val="nil"/>
            </w:tcBorders>
            <w:shd w:val="clear" w:color="F2F2F2" w:fill="FFFFFF"/>
            <w:vAlign w:val="center"/>
          </w:tcPr>
          <w:p w14:paraId="0DBEF3CE"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-65.71</w:t>
            </w:r>
          </w:p>
        </w:tc>
      </w:tr>
      <w:tr w:rsidR="00B1750B" w:rsidRPr="00F72A6E" w14:paraId="430BA063" w14:textId="77777777" w:rsidTr="009A4177">
        <w:trPr>
          <w:trHeight w:val="261"/>
        </w:trPr>
        <w:tc>
          <w:tcPr>
            <w:tcW w:w="2694" w:type="dxa"/>
            <w:tcBorders>
              <w:top w:val="single" w:sz="4" w:space="0" w:color="012169"/>
              <w:bottom w:val="single" w:sz="4" w:space="0" w:color="auto"/>
              <w:right w:val="nil"/>
            </w:tcBorders>
            <w:shd w:val="clear" w:color="auto" w:fill="auto"/>
            <w:vAlign w:val="center"/>
          </w:tcPr>
          <w:p w14:paraId="0103F9B9" w14:textId="06007C13" w:rsidR="00B1750B" w:rsidRPr="00F72A6E" w:rsidRDefault="00B1750B" w:rsidP="009A09DF">
            <w:pPr>
              <w:spacing w:after="0" w:line="240" w:lineRule="auto"/>
              <w:rPr>
                <w:rFonts w:eastAsia="Times New Roman" w:cs="Times New Roman"/>
                <w:color w:val="17365D"/>
                <w:sz w:val="18"/>
                <w:szCs w:val="18"/>
              </w:rPr>
            </w:pPr>
            <w:r>
              <w:rPr>
                <w:color w:val="17365D"/>
                <w:sz w:val="18"/>
                <w:szCs w:val="18"/>
              </w:rPr>
              <w:t>Budžeta izpildes rezultāts</w:t>
            </w:r>
          </w:p>
        </w:tc>
        <w:tc>
          <w:tcPr>
            <w:tcW w:w="943" w:type="dxa"/>
            <w:tcBorders>
              <w:top w:val="single" w:sz="4" w:space="0" w:color="012169"/>
              <w:left w:val="nil"/>
              <w:bottom w:val="single" w:sz="4" w:space="0" w:color="auto"/>
              <w:right w:val="nil"/>
            </w:tcBorders>
            <w:shd w:val="clear" w:color="auto" w:fill="auto"/>
            <w:vAlign w:val="center"/>
          </w:tcPr>
          <w:p w14:paraId="108FEB47" w14:textId="77777777" w:rsidR="00B1750B" w:rsidRPr="00F72A6E" w:rsidRDefault="00B1750B" w:rsidP="009A09DF">
            <w:pPr>
              <w:spacing w:after="0" w:line="240" w:lineRule="auto"/>
              <w:jc w:val="center"/>
              <w:rPr>
                <w:rFonts w:eastAsia="Times New Roman" w:cs="Times New Roman"/>
                <w:color w:val="17365D"/>
                <w:sz w:val="18"/>
                <w:szCs w:val="18"/>
              </w:rPr>
            </w:pPr>
            <w:r>
              <w:rPr>
                <w:color w:val="17365D"/>
                <w:sz w:val="18"/>
                <w:szCs w:val="18"/>
              </w:rPr>
              <w:t> </w:t>
            </w:r>
          </w:p>
        </w:tc>
        <w:tc>
          <w:tcPr>
            <w:tcW w:w="1418" w:type="dxa"/>
            <w:tcBorders>
              <w:top w:val="single" w:sz="4" w:space="0" w:color="012169"/>
              <w:left w:val="nil"/>
              <w:bottom w:val="single" w:sz="4" w:space="0" w:color="auto"/>
              <w:right w:val="nil"/>
            </w:tcBorders>
            <w:shd w:val="clear" w:color="F2F2F2" w:fill="FFFFFF"/>
            <w:vAlign w:val="center"/>
          </w:tcPr>
          <w:p w14:paraId="7C41B7B1"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-406 425 881</w:t>
            </w:r>
          </w:p>
        </w:tc>
        <w:tc>
          <w:tcPr>
            <w:tcW w:w="1417" w:type="dxa"/>
            <w:tcBorders>
              <w:top w:val="single" w:sz="4" w:space="0" w:color="012169"/>
              <w:left w:val="nil"/>
              <w:bottom w:val="single" w:sz="4" w:space="0" w:color="auto"/>
              <w:right w:val="nil"/>
            </w:tcBorders>
            <w:shd w:val="clear" w:color="F2F2F2" w:fill="FFFFFF"/>
            <w:vAlign w:val="center"/>
          </w:tcPr>
          <w:p w14:paraId="0030EFC9"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67 272 288</w:t>
            </w:r>
          </w:p>
        </w:tc>
        <w:tc>
          <w:tcPr>
            <w:tcW w:w="1418" w:type="dxa"/>
            <w:tcBorders>
              <w:top w:val="single" w:sz="4" w:space="0" w:color="012169"/>
              <w:left w:val="nil"/>
              <w:bottom w:val="single" w:sz="4" w:space="0" w:color="auto"/>
              <w:right w:val="nil"/>
            </w:tcBorders>
            <w:shd w:val="clear" w:color="auto" w:fill="auto"/>
            <w:vAlign w:val="center"/>
          </w:tcPr>
          <w:p w14:paraId="706BB23B"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-473 698 169</w:t>
            </w:r>
          </w:p>
        </w:tc>
        <w:tc>
          <w:tcPr>
            <w:tcW w:w="1608" w:type="dxa"/>
            <w:tcBorders>
              <w:top w:val="single" w:sz="4" w:space="0" w:color="012169"/>
              <w:left w:val="nil"/>
              <w:bottom w:val="single" w:sz="4" w:space="0" w:color="auto"/>
              <w:right w:val="nil"/>
            </w:tcBorders>
            <w:shd w:val="clear" w:color="auto" w:fill="auto"/>
            <w:vAlign w:val="center"/>
          </w:tcPr>
          <w:p w14:paraId="6EA174D2" w14:textId="77777777" w:rsidR="00B1750B" w:rsidRPr="00F72A6E" w:rsidRDefault="00B1750B" w:rsidP="009A09DF">
            <w:pPr>
              <w:spacing w:after="0" w:line="240" w:lineRule="auto"/>
              <w:jc w:val="right"/>
              <w:rPr>
                <w:rFonts w:eastAsia="Arial Unicode MS" w:cs="Times New Roman"/>
                <w:color w:val="17365D"/>
                <w:sz w:val="18"/>
                <w:szCs w:val="18"/>
              </w:rPr>
            </w:pPr>
            <w:r>
              <w:rPr>
                <w:color w:val="17365D"/>
                <w:sz w:val="18"/>
                <w:szCs w:val="18"/>
              </w:rPr>
              <w:t>-704.15</w:t>
            </w:r>
          </w:p>
        </w:tc>
      </w:tr>
      <w:tr w:rsidR="00B1750B" w:rsidRPr="00F72A6E" w14:paraId="1672C5E7" w14:textId="77777777" w:rsidTr="00024628">
        <w:trPr>
          <w:trHeight w:val="156"/>
        </w:trPr>
        <w:tc>
          <w:tcPr>
            <w:tcW w:w="2694" w:type="dxa"/>
            <w:tcBorders>
              <w:top w:val="single" w:sz="4" w:space="0" w:color="auto"/>
            </w:tcBorders>
            <w:shd w:val="clear" w:color="auto" w:fill="B8CCE4" w:themeFill="accent1" w:themeFillTint="66"/>
            <w:vAlign w:val="center"/>
          </w:tcPr>
          <w:p w14:paraId="3014D8CC" w14:textId="77777777" w:rsidR="00B1750B" w:rsidRPr="00A27896" w:rsidRDefault="00B1750B" w:rsidP="009A09DF">
            <w:pPr>
              <w:spacing w:after="0" w:line="240" w:lineRule="auto"/>
              <w:rPr>
                <w:rFonts w:eastAsia="Times New Roman" w:cs="Times New Roman"/>
                <w:color w:val="17365D"/>
                <w:sz w:val="18"/>
                <w:szCs w:val="18"/>
              </w:rPr>
            </w:pPr>
          </w:p>
        </w:tc>
        <w:tc>
          <w:tcPr>
            <w:tcW w:w="943" w:type="dxa"/>
            <w:tcBorders>
              <w:top w:val="single" w:sz="4" w:space="0" w:color="auto"/>
            </w:tcBorders>
            <w:shd w:val="clear" w:color="auto" w:fill="B8CCE4" w:themeFill="accent1" w:themeFillTint="66"/>
            <w:vAlign w:val="center"/>
          </w:tcPr>
          <w:p w14:paraId="2ACDD3FE" w14:textId="77777777" w:rsidR="00B1750B" w:rsidRPr="00A27896" w:rsidRDefault="00B1750B" w:rsidP="009A09DF">
            <w:pPr>
              <w:spacing w:after="0" w:line="240" w:lineRule="auto"/>
              <w:jc w:val="center"/>
              <w:rPr>
                <w:rFonts w:eastAsia="Times New Roman" w:cs="Times New Roman"/>
                <w:color w:val="17365D"/>
                <w:sz w:val="18"/>
                <w:szCs w:val="18"/>
              </w:rPr>
            </w:pPr>
          </w:p>
        </w:tc>
        <w:tc>
          <w:tcPr>
            <w:tcW w:w="1418" w:type="dxa"/>
            <w:tcBorders>
              <w:top w:val="single" w:sz="4" w:space="0" w:color="auto"/>
            </w:tcBorders>
            <w:shd w:val="clear" w:color="auto" w:fill="B8CCE4" w:themeFill="accent1" w:themeFillTint="66"/>
          </w:tcPr>
          <w:p w14:paraId="354A6E7F" w14:textId="77777777" w:rsidR="00B1750B" w:rsidRPr="00A27896" w:rsidRDefault="00B1750B" w:rsidP="009A09DF">
            <w:pPr>
              <w:spacing w:after="0" w:line="240" w:lineRule="auto"/>
              <w:jc w:val="right"/>
              <w:rPr>
                <w:rFonts w:eastAsia="Times New Roman" w:cs="Times New Roman"/>
                <w:b/>
                <w:color w:val="17365D"/>
                <w:sz w:val="18"/>
                <w:szCs w:val="18"/>
              </w:rPr>
            </w:pPr>
          </w:p>
        </w:tc>
        <w:tc>
          <w:tcPr>
            <w:tcW w:w="1417" w:type="dxa"/>
            <w:tcBorders>
              <w:top w:val="single" w:sz="4" w:space="0" w:color="auto"/>
            </w:tcBorders>
            <w:shd w:val="clear" w:color="auto" w:fill="B8CCE4" w:themeFill="accent1" w:themeFillTint="66"/>
          </w:tcPr>
          <w:p w14:paraId="037DD2F6" w14:textId="77777777" w:rsidR="00B1750B" w:rsidRPr="00A27896" w:rsidRDefault="00B1750B" w:rsidP="009A09DF">
            <w:pPr>
              <w:spacing w:after="0" w:line="240" w:lineRule="auto"/>
              <w:jc w:val="right"/>
              <w:rPr>
                <w:rFonts w:eastAsia="Times New Roman" w:cs="Times New Roman"/>
                <w:b/>
                <w:color w:val="17365D"/>
                <w:sz w:val="18"/>
                <w:szCs w:val="18"/>
              </w:rPr>
            </w:pPr>
          </w:p>
        </w:tc>
        <w:tc>
          <w:tcPr>
            <w:tcW w:w="1418" w:type="dxa"/>
            <w:tcBorders>
              <w:top w:val="single" w:sz="4" w:space="0" w:color="auto"/>
            </w:tcBorders>
            <w:shd w:val="clear" w:color="auto" w:fill="B8CCE4" w:themeFill="accent1" w:themeFillTint="66"/>
          </w:tcPr>
          <w:p w14:paraId="0D12CC29" w14:textId="77777777" w:rsidR="00B1750B" w:rsidRPr="00A27896" w:rsidRDefault="00B1750B" w:rsidP="009A09DF">
            <w:pPr>
              <w:spacing w:after="0" w:line="240" w:lineRule="auto"/>
              <w:jc w:val="right"/>
              <w:rPr>
                <w:rFonts w:eastAsia="Times New Roman" w:cs="Times New Roman"/>
                <w:b/>
                <w:color w:val="17365D"/>
                <w:sz w:val="18"/>
                <w:szCs w:val="18"/>
              </w:rPr>
            </w:pPr>
          </w:p>
        </w:tc>
        <w:tc>
          <w:tcPr>
            <w:tcW w:w="1608" w:type="dxa"/>
            <w:tcBorders>
              <w:top w:val="single" w:sz="4" w:space="0" w:color="auto"/>
            </w:tcBorders>
            <w:shd w:val="clear" w:color="auto" w:fill="B8CCE4" w:themeFill="accent1" w:themeFillTint="66"/>
          </w:tcPr>
          <w:p w14:paraId="252EFB7E" w14:textId="77777777" w:rsidR="00B1750B" w:rsidRPr="00A27896" w:rsidRDefault="00B1750B" w:rsidP="009A09DF">
            <w:pPr>
              <w:spacing w:after="0" w:line="240" w:lineRule="auto"/>
              <w:jc w:val="right"/>
              <w:rPr>
                <w:rFonts w:eastAsia="Times New Roman" w:cs="Times New Roman"/>
                <w:b/>
                <w:color w:val="17365D"/>
                <w:sz w:val="18"/>
                <w:szCs w:val="18"/>
              </w:rPr>
            </w:pPr>
          </w:p>
        </w:tc>
      </w:tr>
    </w:tbl>
    <w:p w14:paraId="4C1EDA14" w14:textId="77777777" w:rsidR="00B1750B" w:rsidRPr="00024628" w:rsidRDefault="00B1750B" w:rsidP="00B1750B">
      <w:pPr>
        <w:spacing w:after="0"/>
        <w:rPr>
          <w:rFonts w:eastAsia="Arial Unicode MS" w:cs="Times New Roman"/>
          <w:color w:val="17365D"/>
          <w:sz w:val="10"/>
          <w:szCs w:val="14"/>
        </w:rPr>
      </w:pPr>
    </w:p>
    <w:p w14:paraId="4E3EF7F0" w14:textId="77777777" w:rsidR="00097B42" w:rsidRDefault="00B1750B" w:rsidP="00097B42">
      <w:pPr>
        <w:pStyle w:val="Pamatteksts1"/>
      </w:pPr>
      <w:r w:rsidRPr="002716E4">
        <w:rPr>
          <w:noProof/>
          <w:lang w:eastAsia="lv-LV"/>
        </w:rPr>
        <w:t>Konsolidētajā pārskatā par darbības finansiālajiem rezultātiem 202</w:t>
      </w:r>
      <w:r>
        <w:rPr>
          <w:noProof/>
          <w:lang w:eastAsia="lv-LV"/>
        </w:rPr>
        <w:t>4</w:t>
      </w:r>
      <w:r w:rsidRPr="002716E4">
        <w:rPr>
          <w:noProof/>
          <w:lang w:eastAsia="lv-LV"/>
        </w:rPr>
        <w:t>.</w:t>
      </w:r>
      <w:r>
        <w:rPr>
          <w:noProof/>
          <w:lang w:eastAsia="lv-LV"/>
        </w:rPr>
        <w:t> </w:t>
      </w:r>
      <w:r w:rsidRPr="002716E4">
        <w:rPr>
          <w:noProof/>
          <w:lang w:eastAsia="lv-LV"/>
        </w:rPr>
        <w:t xml:space="preserve">gadā </w:t>
      </w:r>
      <w:r w:rsidRPr="002716E4">
        <w:t>budžeta izpildes rezultāts</w:t>
      </w:r>
      <w:r w:rsidRPr="002716E4">
        <w:rPr>
          <w:noProof/>
          <w:lang w:eastAsia="lv-LV"/>
        </w:rPr>
        <w:t xml:space="preserve"> veidojas </w:t>
      </w:r>
      <w:r>
        <w:rPr>
          <w:noProof/>
          <w:lang w:eastAsia="lv-LV"/>
        </w:rPr>
        <w:t>(406,4)</w:t>
      </w:r>
      <w:r w:rsidRPr="00B57038">
        <w:rPr>
          <w:noProof/>
          <w:lang w:eastAsia="lv-LV"/>
        </w:rPr>
        <w:t xml:space="preserve"> </w:t>
      </w:r>
      <w:r w:rsidRPr="00E03367">
        <w:rPr>
          <w:rFonts w:eastAsia="Times New Roman"/>
          <w:lang w:eastAsia="lv-LV"/>
        </w:rPr>
        <w:t>milj.</w:t>
      </w:r>
      <w:r>
        <w:rPr>
          <w:rFonts w:eastAsia="Times New Roman"/>
          <w:lang w:eastAsia="lv-LV"/>
        </w:rPr>
        <w:t xml:space="preserve"> </w:t>
      </w:r>
      <w:r w:rsidRPr="002716E4">
        <w:rPr>
          <w:i/>
        </w:rPr>
        <w:t>euro</w:t>
      </w:r>
      <w:r w:rsidRPr="002716E4">
        <w:t xml:space="preserve"> vērtībā, izmaiņa</w:t>
      </w:r>
      <w:r>
        <w:t>s</w:t>
      </w:r>
      <w:r w:rsidRPr="002716E4">
        <w:t xml:space="preserve"> pret iepriekšējo pārskata periodu ir</w:t>
      </w:r>
      <w:r>
        <w:t xml:space="preserve"> (473,</w:t>
      </w:r>
      <w:r w:rsidR="003202B7">
        <w:t>7</w:t>
      </w:r>
      <w:r>
        <w:t>) </w:t>
      </w:r>
      <w:r w:rsidRPr="00E03367">
        <w:rPr>
          <w:rFonts w:eastAsia="Times New Roman"/>
          <w:lang w:eastAsia="lv-LV"/>
        </w:rPr>
        <w:t>milj.</w:t>
      </w:r>
      <w:r w:rsidRPr="002716E4">
        <w:t xml:space="preserve"> </w:t>
      </w:r>
      <w:r w:rsidRPr="002716E4">
        <w:rPr>
          <w:i/>
        </w:rPr>
        <w:t>euro</w:t>
      </w:r>
      <w:r w:rsidRPr="002716E4">
        <w:t xml:space="preserve"> vērtībā.</w:t>
      </w:r>
    </w:p>
    <w:p w14:paraId="5ACEC910" w14:textId="71390351" w:rsidR="00B1750B" w:rsidRDefault="00B1750B" w:rsidP="00097B42">
      <w:pPr>
        <w:pStyle w:val="Pamatteksts1"/>
        <w:rPr>
          <w:noProof/>
          <w:lang w:eastAsia="lv-LV"/>
        </w:rPr>
      </w:pPr>
      <w:r w:rsidRPr="000D52A2">
        <w:t>Finanšu instrumentu</w:t>
      </w:r>
      <w:r w:rsidR="00097B42">
        <w:t>, izņemot riska ierobežošanas instrumentu,</w:t>
      </w:r>
      <w:r w:rsidRPr="000D52A2">
        <w:t xml:space="preserve"> neto rezultāts sadalījumā pa finanšu instrumentu kategorijām un darījumu veidiem</w:t>
      </w:r>
      <w:r w:rsidR="00097B42">
        <w:t xml:space="preserve"> norādīts 2.11.tabulā.</w:t>
      </w:r>
    </w:p>
    <w:p w14:paraId="4A046445" w14:textId="77777777" w:rsidR="00B1750B" w:rsidRPr="00161C5B" w:rsidRDefault="00B1750B" w:rsidP="00B1750B">
      <w:pPr>
        <w:pStyle w:val="Tabulasnosaukums1"/>
        <w:spacing w:before="0" w:line="240" w:lineRule="auto"/>
        <w:rPr>
          <w:rFonts w:eastAsia="Arial Unicode MS" w:cs="Times New Roman"/>
          <w:i/>
          <w:color w:val="17365D"/>
        </w:rPr>
      </w:pPr>
      <w:r w:rsidRPr="00161C5B">
        <w:rPr>
          <w:rFonts w:eastAsia="Arial Unicode MS" w:cs="Times New Roman"/>
          <w:i/>
          <w:color w:val="17365D"/>
        </w:rPr>
        <w:t>2.11. tabula. Finanšu instrumentu neto rezultāts (euro)</w:t>
      </w:r>
    </w:p>
    <w:tbl>
      <w:tblPr>
        <w:tblW w:w="9493" w:type="dxa"/>
        <w:tblInd w:w="5" w:type="dxa"/>
        <w:tblLayout w:type="fixed"/>
        <w:tblLook w:val="04A0" w:firstRow="1" w:lastRow="0" w:firstColumn="1" w:lastColumn="0" w:noHBand="0" w:noVBand="1"/>
      </w:tblPr>
      <w:tblGrid>
        <w:gridCol w:w="2830"/>
        <w:gridCol w:w="1417"/>
        <w:gridCol w:w="850"/>
        <w:gridCol w:w="994"/>
        <w:gridCol w:w="141"/>
        <w:gridCol w:w="142"/>
        <w:gridCol w:w="1275"/>
        <w:gridCol w:w="709"/>
        <w:gridCol w:w="1135"/>
      </w:tblGrid>
      <w:tr w:rsidR="008B42E4" w:rsidRPr="00F72A6E" w14:paraId="42F291C1" w14:textId="77777777" w:rsidTr="0034710B">
        <w:trPr>
          <w:trHeight w:val="263"/>
          <w:tblHeader/>
        </w:trPr>
        <w:tc>
          <w:tcPr>
            <w:tcW w:w="2830" w:type="dxa"/>
            <w:vMerge w:val="restart"/>
            <w:tcBorders>
              <w:top w:val="nil"/>
              <w:bottom w:val="single" w:sz="4" w:space="0" w:color="000000"/>
            </w:tcBorders>
            <w:shd w:val="clear" w:color="auto" w:fill="B8CCE4" w:themeFill="accent1" w:themeFillTint="66"/>
            <w:vAlign w:val="center"/>
            <w:hideMark/>
          </w:tcPr>
          <w:p w14:paraId="258795C4" w14:textId="77777777" w:rsidR="008B42E4" w:rsidRPr="008E569C" w:rsidRDefault="008B42E4" w:rsidP="008B42E4">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Finanšu instrumenta kategorijas nosaukums/darījuma apraksts</w:t>
            </w:r>
          </w:p>
        </w:tc>
        <w:tc>
          <w:tcPr>
            <w:tcW w:w="3261" w:type="dxa"/>
            <w:gridSpan w:val="3"/>
            <w:tcBorders>
              <w:top w:val="nil"/>
              <w:bottom w:val="single" w:sz="4" w:space="0" w:color="000000"/>
            </w:tcBorders>
            <w:shd w:val="clear" w:color="auto" w:fill="B8CCE4" w:themeFill="accent1" w:themeFillTint="66"/>
            <w:vAlign w:val="center"/>
            <w:hideMark/>
          </w:tcPr>
          <w:p w14:paraId="5D894CDA" w14:textId="77777777" w:rsidR="008B42E4" w:rsidRPr="008E569C" w:rsidRDefault="008B42E4" w:rsidP="008B42E4">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Pārskata periodā</w:t>
            </w:r>
          </w:p>
        </w:tc>
        <w:tc>
          <w:tcPr>
            <w:tcW w:w="283" w:type="dxa"/>
            <w:gridSpan w:val="2"/>
            <w:tcBorders>
              <w:top w:val="nil"/>
            </w:tcBorders>
            <w:shd w:val="clear" w:color="auto" w:fill="B8CCE4" w:themeFill="accent1" w:themeFillTint="66"/>
            <w:vAlign w:val="center"/>
          </w:tcPr>
          <w:p w14:paraId="1A68EBFF" w14:textId="2252FC67" w:rsidR="008B42E4" w:rsidRPr="008E569C" w:rsidRDefault="008B42E4" w:rsidP="008B42E4">
            <w:pPr>
              <w:spacing w:after="0" w:line="240" w:lineRule="auto"/>
              <w:jc w:val="center"/>
              <w:rPr>
                <w:rFonts w:eastAsia="Arial Unicode MS" w:cs="Times New Roman"/>
                <w:b/>
                <w:color w:val="17365D"/>
                <w:sz w:val="18"/>
                <w:szCs w:val="18"/>
              </w:rPr>
            </w:pPr>
          </w:p>
        </w:tc>
        <w:tc>
          <w:tcPr>
            <w:tcW w:w="3119" w:type="dxa"/>
            <w:gridSpan w:val="3"/>
            <w:tcBorders>
              <w:top w:val="nil"/>
              <w:bottom w:val="single" w:sz="4" w:space="0" w:color="000000"/>
            </w:tcBorders>
            <w:shd w:val="clear" w:color="auto" w:fill="B8CCE4" w:themeFill="accent1" w:themeFillTint="66"/>
            <w:vAlign w:val="center"/>
          </w:tcPr>
          <w:p w14:paraId="7756406D" w14:textId="436F0D10" w:rsidR="008B42E4" w:rsidRPr="008E569C" w:rsidRDefault="008B42E4" w:rsidP="008B42E4">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Iepriekšējā pārskata periodā</w:t>
            </w:r>
          </w:p>
        </w:tc>
      </w:tr>
      <w:tr w:rsidR="008B42E4" w:rsidRPr="00F72A6E" w14:paraId="41A4656B" w14:textId="77777777" w:rsidTr="009A4177">
        <w:trPr>
          <w:trHeight w:val="907"/>
          <w:tblHeader/>
        </w:trPr>
        <w:tc>
          <w:tcPr>
            <w:tcW w:w="2830" w:type="dxa"/>
            <w:vMerge/>
            <w:tcBorders>
              <w:top w:val="single" w:sz="4" w:space="0" w:color="000000"/>
              <w:bottom w:val="single" w:sz="4" w:space="0" w:color="17365D"/>
            </w:tcBorders>
            <w:shd w:val="clear" w:color="auto" w:fill="B8CCE4" w:themeFill="accent1" w:themeFillTint="66"/>
            <w:vAlign w:val="center"/>
            <w:hideMark/>
          </w:tcPr>
          <w:p w14:paraId="6ECE7233" w14:textId="77777777" w:rsidR="008B42E4" w:rsidRPr="00F72A6E" w:rsidRDefault="008B42E4" w:rsidP="008B42E4">
            <w:pPr>
              <w:spacing w:after="0" w:line="240" w:lineRule="auto"/>
              <w:jc w:val="center"/>
              <w:rPr>
                <w:rFonts w:eastAsia="Arial Unicode MS" w:cs="Times New Roman"/>
                <w:color w:val="17365D"/>
                <w:sz w:val="18"/>
                <w:szCs w:val="18"/>
              </w:rPr>
            </w:pPr>
          </w:p>
        </w:tc>
        <w:tc>
          <w:tcPr>
            <w:tcW w:w="1417" w:type="dxa"/>
            <w:tcBorders>
              <w:bottom w:val="single" w:sz="4" w:space="0" w:color="17365D"/>
            </w:tcBorders>
            <w:shd w:val="clear" w:color="auto" w:fill="B8CCE4" w:themeFill="accent1" w:themeFillTint="66"/>
            <w:vAlign w:val="center"/>
            <w:hideMark/>
          </w:tcPr>
          <w:p w14:paraId="01000D9C" w14:textId="77777777" w:rsidR="008B42E4" w:rsidRPr="00F72A6E" w:rsidRDefault="008B42E4" w:rsidP="008B42E4">
            <w:pPr>
              <w:spacing w:after="0" w:line="240" w:lineRule="auto"/>
              <w:jc w:val="center"/>
              <w:rPr>
                <w:rFonts w:eastAsia="Arial Unicode MS" w:cs="Times New Roman"/>
                <w:color w:val="17365D"/>
                <w:sz w:val="18"/>
                <w:szCs w:val="18"/>
              </w:rPr>
            </w:pPr>
            <w:r w:rsidRPr="008E569C">
              <w:rPr>
                <w:rFonts w:eastAsia="Arial Unicode MS" w:cs="Times New Roman"/>
                <w:b/>
                <w:color w:val="17365D"/>
                <w:sz w:val="18"/>
                <w:szCs w:val="18"/>
              </w:rPr>
              <w:t>atzīts</w:t>
            </w:r>
            <w:r w:rsidRPr="008E569C">
              <w:rPr>
                <w:rFonts w:eastAsia="Arial Unicode MS" w:cs="Times New Roman"/>
                <w:b/>
                <w:color w:val="17365D"/>
                <w:sz w:val="18"/>
                <w:szCs w:val="18"/>
              </w:rPr>
              <w:br/>
              <w:t>ieņēmumos(+)/</w:t>
            </w:r>
            <w:r w:rsidRPr="008E569C">
              <w:rPr>
                <w:rFonts w:eastAsia="Arial Unicode MS" w:cs="Times New Roman"/>
                <w:b/>
                <w:color w:val="17365D"/>
                <w:sz w:val="18"/>
                <w:szCs w:val="18"/>
              </w:rPr>
              <w:br/>
              <w:t>izdevumos (-)</w:t>
            </w:r>
          </w:p>
        </w:tc>
        <w:tc>
          <w:tcPr>
            <w:tcW w:w="850" w:type="dxa"/>
            <w:tcBorders>
              <w:bottom w:val="single" w:sz="4" w:space="0" w:color="17365D"/>
            </w:tcBorders>
            <w:shd w:val="clear" w:color="auto" w:fill="B8CCE4" w:themeFill="accent1" w:themeFillTint="66"/>
            <w:vAlign w:val="center"/>
            <w:hideMark/>
          </w:tcPr>
          <w:p w14:paraId="7A16CF8B" w14:textId="5F0E139B" w:rsidR="008B42E4" w:rsidRPr="00F72A6E" w:rsidRDefault="008B42E4" w:rsidP="008B42E4">
            <w:pPr>
              <w:spacing w:after="0" w:line="240" w:lineRule="auto"/>
              <w:ind w:left="-57" w:right="-57"/>
              <w:jc w:val="center"/>
              <w:rPr>
                <w:rFonts w:eastAsia="Arial Unicode MS" w:cs="Times New Roman"/>
                <w:color w:val="17365D"/>
                <w:sz w:val="18"/>
                <w:szCs w:val="18"/>
              </w:rPr>
            </w:pPr>
            <w:r w:rsidRPr="008E569C">
              <w:rPr>
                <w:rFonts w:eastAsia="Arial Unicode MS" w:cs="Times New Roman"/>
                <w:b/>
                <w:color w:val="17365D"/>
                <w:sz w:val="18"/>
                <w:szCs w:val="18"/>
              </w:rPr>
              <w:t>atzīts rezervēs (+;-)</w:t>
            </w:r>
          </w:p>
        </w:tc>
        <w:tc>
          <w:tcPr>
            <w:tcW w:w="1135" w:type="dxa"/>
            <w:gridSpan w:val="2"/>
            <w:tcBorders>
              <w:bottom w:val="single" w:sz="4" w:space="0" w:color="17365D"/>
            </w:tcBorders>
            <w:shd w:val="clear" w:color="auto" w:fill="B8CCE4" w:themeFill="accent1" w:themeFillTint="66"/>
            <w:vAlign w:val="center"/>
            <w:hideMark/>
          </w:tcPr>
          <w:p w14:paraId="5824F857" w14:textId="77777777" w:rsidR="008B42E4" w:rsidRPr="008E569C" w:rsidRDefault="008B42E4" w:rsidP="008B42E4">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kopā</w:t>
            </w:r>
            <w:r w:rsidRPr="008E569C">
              <w:rPr>
                <w:rFonts w:eastAsia="Arial Unicode MS" w:cs="Times New Roman"/>
                <w:b/>
                <w:color w:val="17365D"/>
                <w:sz w:val="18"/>
                <w:szCs w:val="18"/>
              </w:rPr>
              <w:br/>
              <w:t>(1.+2.)</w:t>
            </w:r>
          </w:p>
        </w:tc>
        <w:tc>
          <w:tcPr>
            <w:tcW w:w="1417" w:type="dxa"/>
            <w:gridSpan w:val="2"/>
            <w:tcBorders>
              <w:bottom w:val="single" w:sz="4" w:space="0" w:color="17365D"/>
            </w:tcBorders>
            <w:shd w:val="clear" w:color="auto" w:fill="B8CCE4" w:themeFill="accent1" w:themeFillTint="66"/>
            <w:vAlign w:val="center"/>
          </w:tcPr>
          <w:p w14:paraId="1D57F5C1" w14:textId="77777777" w:rsidR="008B42E4" w:rsidRPr="008E569C" w:rsidRDefault="008B42E4" w:rsidP="008B42E4">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atzīts</w:t>
            </w:r>
            <w:r w:rsidRPr="008E569C">
              <w:rPr>
                <w:rFonts w:eastAsia="Arial Unicode MS" w:cs="Times New Roman"/>
                <w:b/>
                <w:color w:val="17365D"/>
                <w:sz w:val="18"/>
                <w:szCs w:val="18"/>
              </w:rPr>
              <w:br/>
              <w:t>ieņēmumos(+)/</w:t>
            </w:r>
            <w:r w:rsidRPr="008E569C">
              <w:rPr>
                <w:rFonts w:eastAsia="Arial Unicode MS" w:cs="Times New Roman"/>
                <w:b/>
                <w:color w:val="17365D"/>
                <w:sz w:val="18"/>
                <w:szCs w:val="18"/>
              </w:rPr>
              <w:br/>
              <w:t>izdevumos (-)</w:t>
            </w:r>
          </w:p>
        </w:tc>
        <w:tc>
          <w:tcPr>
            <w:tcW w:w="709" w:type="dxa"/>
            <w:tcBorders>
              <w:bottom w:val="single" w:sz="4" w:space="0" w:color="17365D"/>
            </w:tcBorders>
            <w:shd w:val="clear" w:color="auto" w:fill="B8CCE4" w:themeFill="accent1" w:themeFillTint="66"/>
            <w:vAlign w:val="center"/>
          </w:tcPr>
          <w:p w14:paraId="527B9FEA" w14:textId="77777777" w:rsidR="008B42E4" w:rsidRPr="008E569C" w:rsidRDefault="008B42E4" w:rsidP="008B42E4">
            <w:pPr>
              <w:spacing w:after="0" w:line="240" w:lineRule="auto"/>
              <w:ind w:left="-57" w:right="-113"/>
              <w:jc w:val="center"/>
              <w:rPr>
                <w:rFonts w:eastAsia="Arial Unicode MS" w:cs="Times New Roman"/>
                <w:b/>
                <w:color w:val="17365D"/>
                <w:sz w:val="18"/>
                <w:szCs w:val="18"/>
              </w:rPr>
            </w:pPr>
            <w:r w:rsidRPr="008E569C">
              <w:rPr>
                <w:rFonts w:eastAsia="Arial Unicode MS" w:cs="Times New Roman"/>
                <w:b/>
                <w:color w:val="17365D"/>
                <w:sz w:val="18"/>
                <w:szCs w:val="18"/>
              </w:rPr>
              <w:t>atzīts rezervēs (+;-)</w:t>
            </w:r>
          </w:p>
        </w:tc>
        <w:tc>
          <w:tcPr>
            <w:tcW w:w="1134" w:type="dxa"/>
            <w:tcBorders>
              <w:bottom w:val="single" w:sz="4" w:space="0" w:color="17365D"/>
            </w:tcBorders>
            <w:shd w:val="clear" w:color="auto" w:fill="B8CCE4" w:themeFill="accent1" w:themeFillTint="66"/>
            <w:vAlign w:val="center"/>
          </w:tcPr>
          <w:p w14:paraId="6BB2B3B0" w14:textId="77777777" w:rsidR="008B42E4" w:rsidRPr="008E569C" w:rsidRDefault="008B42E4" w:rsidP="008B42E4">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kopā</w:t>
            </w:r>
            <w:r w:rsidRPr="008E569C">
              <w:rPr>
                <w:rFonts w:eastAsia="Arial Unicode MS" w:cs="Times New Roman"/>
                <w:b/>
                <w:color w:val="17365D"/>
                <w:sz w:val="18"/>
                <w:szCs w:val="18"/>
              </w:rPr>
              <w:br/>
              <w:t>(4.+5.)</w:t>
            </w:r>
          </w:p>
        </w:tc>
      </w:tr>
      <w:tr w:rsidR="008B42E4" w:rsidRPr="005E030D" w14:paraId="7E8E8448" w14:textId="77777777" w:rsidTr="0034710B">
        <w:trPr>
          <w:trHeight w:val="138"/>
          <w:tblHeader/>
        </w:trPr>
        <w:tc>
          <w:tcPr>
            <w:tcW w:w="2830" w:type="dxa"/>
            <w:tcBorders>
              <w:top w:val="single" w:sz="4" w:space="0" w:color="17365D"/>
              <w:bottom w:val="single" w:sz="4" w:space="0" w:color="000000"/>
            </w:tcBorders>
            <w:shd w:val="clear" w:color="auto" w:fill="auto"/>
            <w:vAlign w:val="center"/>
            <w:hideMark/>
          </w:tcPr>
          <w:p w14:paraId="5AD384B9"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A</w:t>
            </w:r>
          </w:p>
        </w:tc>
        <w:tc>
          <w:tcPr>
            <w:tcW w:w="1417" w:type="dxa"/>
            <w:tcBorders>
              <w:top w:val="single" w:sz="4" w:space="0" w:color="17365D"/>
              <w:bottom w:val="single" w:sz="4" w:space="0" w:color="000000"/>
            </w:tcBorders>
            <w:shd w:val="clear" w:color="auto" w:fill="auto"/>
            <w:vAlign w:val="center"/>
            <w:hideMark/>
          </w:tcPr>
          <w:p w14:paraId="7F9798A7"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1</w:t>
            </w:r>
          </w:p>
        </w:tc>
        <w:tc>
          <w:tcPr>
            <w:tcW w:w="850" w:type="dxa"/>
            <w:tcBorders>
              <w:top w:val="single" w:sz="4" w:space="0" w:color="17365D"/>
              <w:bottom w:val="single" w:sz="4" w:space="0" w:color="000000"/>
            </w:tcBorders>
            <w:shd w:val="clear" w:color="auto" w:fill="auto"/>
            <w:vAlign w:val="center"/>
            <w:hideMark/>
          </w:tcPr>
          <w:p w14:paraId="75C82AA3"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2</w:t>
            </w:r>
          </w:p>
        </w:tc>
        <w:tc>
          <w:tcPr>
            <w:tcW w:w="1135" w:type="dxa"/>
            <w:gridSpan w:val="2"/>
            <w:tcBorders>
              <w:top w:val="single" w:sz="4" w:space="0" w:color="17365D"/>
              <w:bottom w:val="single" w:sz="4" w:space="0" w:color="000000"/>
            </w:tcBorders>
            <w:shd w:val="clear" w:color="auto" w:fill="auto"/>
            <w:vAlign w:val="center"/>
            <w:hideMark/>
          </w:tcPr>
          <w:p w14:paraId="1B18A5AE"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3</w:t>
            </w:r>
          </w:p>
        </w:tc>
        <w:tc>
          <w:tcPr>
            <w:tcW w:w="1417" w:type="dxa"/>
            <w:gridSpan w:val="2"/>
            <w:tcBorders>
              <w:top w:val="single" w:sz="4" w:space="0" w:color="17365D"/>
              <w:bottom w:val="single" w:sz="4" w:space="0" w:color="000000"/>
            </w:tcBorders>
            <w:shd w:val="clear" w:color="auto" w:fill="auto"/>
          </w:tcPr>
          <w:p w14:paraId="1B98BE6F"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4</w:t>
            </w:r>
          </w:p>
        </w:tc>
        <w:tc>
          <w:tcPr>
            <w:tcW w:w="709" w:type="dxa"/>
            <w:tcBorders>
              <w:top w:val="single" w:sz="4" w:space="0" w:color="17365D"/>
              <w:bottom w:val="single" w:sz="4" w:space="0" w:color="000000"/>
            </w:tcBorders>
            <w:shd w:val="clear" w:color="auto" w:fill="auto"/>
          </w:tcPr>
          <w:p w14:paraId="4DCE60F8"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5</w:t>
            </w:r>
          </w:p>
        </w:tc>
        <w:tc>
          <w:tcPr>
            <w:tcW w:w="1134" w:type="dxa"/>
            <w:tcBorders>
              <w:top w:val="single" w:sz="4" w:space="0" w:color="17365D"/>
              <w:bottom w:val="single" w:sz="4" w:space="0" w:color="000000"/>
            </w:tcBorders>
            <w:shd w:val="clear" w:color="auto" w:fill="auto"/>
          </w:tcPr>
          <w:p w14:paraId="016AF03A" w14:textId="77777777" w:rsidR="008B42E4" w:rsidRPr="005E030D" w:rsidRDefault="008B42E4" w:rsidP="008B42E4">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6</w:t>
            </w:r>
          </w:p>
        </w:tc>
      </w:tr>
      <w:tr w:rsidR="008B42E4" w:rsidRPr="00F72A6E" w14:paraId="4A89DE48" w14:textId="77777777" w:rsidTr="0034710B">
        <w:trPr>
          <w:trHeight w:val="261"/>
        </w:trPr>
        <w:tc>
          <w:tcPr>
            <w:tcW w:w="2830" w:type="dxa"/>
            <w:tcBorders>
              <w:top w:val="single" w:sz="4" w:space="0" w:color="000000"/>
              <w:bottom w:val="single" w:sz="4" w:space="0" w:color="000000"/>
            </w:tcBorders>
            <w:shd w:val="clear" w:color="auto" w:fill="auto"/>
            <w:vAlign w:val="center"/>
            <w:hideMark/>
          </w:tcPr>
          <w:p w14:paraId="3C75CC99" w14:textId="2508C4FD" w:rsidR="008B42E4" w:rsidRPr="00104640" w:rsidRDefault="008B42E4" w:rsidP="008B42E4">
            <w:pPr>
              <w:spacing w:after="0" w:line="240" w:lineRule="auto"/>
              <w:rPr>
                <w:rFonts w:eastAsia="Arial Unicode MS" w:cs="Times New Roman"/>
                <w:b/>
                <w:bCs/>
                <w:color w:val="17365D"/>
                <w:sz w:val="18"/>
                <w:szCs w:val="18"/>
              </w:rPr>
            </w:pPr>
            <w:r>
              <w:rPr>
                <w:rFonts w:eastAsia="Arial Unicode MS" w:cs="Times New Roman"/>
                <w:b/>
                <w:bCs/>
                <w:color w:val="17365D"/>
                <w:sz w:val="18"/>
                <w:szCs w:val="18"/>
              </w:rPr>
              <w:t>Neto rezultāts</w:t>
            </w:r>
          </w:p>
        </w:tc>
        <w:tc>
          <w:tcPr>
            <w:tcW w:w="1417" w:type="dxa"/>
            <w:tcBorders>
              <w:top w:val="single" w:sz="4" w:space="0" w:color="000000"/>
              <w:bottom w:val="single" w:sz="4" w:space="0" w:color="000000"/>
            </w:tcBorders>
            <w:shd w:val="clear" w:color="auto" w:fill="auto"/>
            <w:vAlign w:val="center"/>
            <w:hideMark/>
          </w:tcPr>
          <w:p w14:paraId="0E36D424" w14:textId="77777777" w:rsidR="008B42E4" w:rsidRPr="00F72A6E" w:rsidRDefault="008B42E4" w:rsidP="008B42E4">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-60 545 889</w:t>
            </w:r>
          </w:p>
        </w:tc>
        <w:tc>
          <w:tcPr>
            <w:tcW w:w="850" w:type="dxa"/>
            <w:tcBorders>
              <w:top w:val="single" w:sz="4" w:space="0" w:color="000000"/>
              <w:bottom w:val="single" w:sz="4" w:space="0" w:color="000000"/>
            </w:tcBorders>
            <w:shd w:val="clear" w:color="auto" w:fill="auto"/>
            <w:vAlign w:val="center"/>
            <w:hideMark/>
          </w:tcPr>
          <w:p w14:paraId="68751249" w14:textId="77777777" w:rsidR="008B42E4" w:rsidRPr="00F72A6E" w:rsidRDefault="008B42E4" w:rsidP="008B42E4">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0</w:t>
            </w:r>
          </w:p>
        </w:tc>
        <w:tc>
          <w:tcPr>
            <w:tcW w:w="1135" w:type="dxa"/>
            <w:gridSpan w:val="2"/>
            <w:tcBorders>
              <w:top w:val="single" w:sz="4" w:space="0" w:color="000000"/>
              <w:bottom w:val="single" w:sz="4" w:space="0" w:color="000000"/>
            </w:tcBorders>
            <w:shd w:val="clear" w:color="auto" w:fill="auto"/>
            <w:vAlign w:val="center"/>
            <w:hideMark/>
          </w:tcPr>
          <w:p w14:paraId="6E4B76F9" w14:textId="77777777" w:rsidR="008B42E4" w:rsidRPr="00F72A6E" w:rsidRDefault="008B42E4" w:rsidP="008B42E4">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-60 545 889</w:t>
            </w:r>
          </w:p>
        </w:tc>
        <w:tc>
          <w:tcPr>
            <w:tcW w:w="1417" w:type="dxa"/>
            <w:gridSpan w:val="2"/>
            <w:tcBorders>
              <w:top w:val="single" w:sz="4" w:space="0" w:color="000000"/>
              <w:bottom w:val="single" w:sz="4" w:space="0" w:color="000000"/>
            </w:tcBorders>
            <w:shd w:val="clear" w:color="auto" w:fill="auto"/>
            <w:vAlign w:val="center"/>
          </w:tcPr>
          <w:p w14:paraId="60202358" w14:textId="77777777" w:rsidR="008B42E4" w:rsidRPr="00F72A6E" w:rsidRDefault="008B42E4" w:rsidP="008B42E4">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12 265 496</w:t>
            </w:r>
          </w:p>
        </w:tc>
        <w:tc>
          <w:tcPr>
            <w:tcW w:w="709" w:type="dxa"/>
            <w:tcBorders>
              <w:top w:val="single" w:sz="4" w:space="0" w:color="000000"/>
              <w:bottom w:val="single" w:sz="4" w:space="0" w:color="000000"/>
            </w:tcBorders>
            <w:shd w:val="clear" w:color="auto" w:fill="auto"/>
            <w:vAlign w:val="center"/>
          </w:tcPr>
          <w:p w14:paraId="4BF8CE98" w14:textId="77777777" w:rsidR="008B42E4" w:rsidRPr="00F72A6E" w:rsidRDefault="008B42E4" w:rsidP="008B42E4">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0</w:t>
            </w:r>
          </w:p>
        </w:tc>
        <w:tc>
          <w:tcPr>
            <w:tcW w:w="1134" w:type="dxa"/>
            <w:tcBorders>
              <w:top w:val="single" w:sz="4" w:space="0" w:color="000000"/>
              <w:bottom w:val="single" w:sz="4" w:space="0" w:color="000000"/>
            </w:tcBorders>
            <w:shd w:val="clear" w:color="auto" w:fill="auto"/>
            <w:vAlign w:val="center"/>
          </w:tcPr>
          <w:p w14:paraId="231A7F14" w14:textId="77777777" w:rsidR="008B42E4" w:rsidRPr="00F72A6E" w:rsidRDefault="008B42E4" w:rsidP="008B42E4">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12 265 496</w:t>
            </w:r>
          </w:p>
        </w:tc>
      </w:tr>
      <w:tr w:rsidR="008B42E4" w:rsidRPr="00F72A6E" w14:paraId="457ED5DE" w14:textId="77777777" w:rsidTr="0034710B">
        <w:trPr>
          <w:trHeight w:val="261"/>
        </w:trPr>
        <w:tc>
          <w:tcPr>
            <w:tcW w:w="2830" w:type="dxa"/>
            <w:tcBorders>
              <w:top w:val="single" w:sz="4" w:space="0" w:color="000000"/>
              <w:bottom w:val="single" w:sz="4" w:space="0" w:color="000000"/>
            </w:tcBorders>
            <w:shd w:val="clear" w:color="auto" w:fill="auto"/>
            <w:vAlign w:val="center"/>
          </w:tcPr>
          <w:p w14:paraId="26215CF4" w14:textId="77777777" w:rsidR="008B42E4" w:rsidRPr="00F72A6E" w:rsidRDefault="008B42E4" w:rsidP="008B42E4">
            <w:pPr>
              <w:spacing w:after="0" w:line="240" w:lineRule="auto"/>
              <w:rPr>
                <w:rFonts w:eastAsia="Arial Unicode MS" w:cs="Times New Roman"/>
                <w:color w:val="17365D"/>
                <w:sz w:val="18"/>
                <w:szCs w:val="18"/>
              </w:rPr>
            </w:pPr>
            <w:r w:rsidRPr="00F72A6E">
              <w:rPr>
                <w:rFonts w:eastAsia="Arial Unicode MS" w:cs="Times New Roman"/>
                <w:color w:val="17365D"/>
                <w:sz w:val="18"/>
                <w:szCs w:val="18"/>
              </w:rPr>
              <w:t>Finanšu aktīvi</w:t>
            </w:r>
          </w:p>
        </w:tc>
        <w:tc>
          <w:tcPr>
            <w:tcW w:w="1417" w:type="dxa"/>
            <w:tcBorders>
              <w:top w:val="single" w:sz="4" w:space="0" w:color="000000"/>
              <w:bottom w:val="single" w:sz="4" w:space="0" w:color="000000"/>
            </w:tcBorders>
            <w:shd w:val="clear" w:color="auto" w:fill="auto"/>
            <w:vAlign w:val="center"/>
          </w:tcPr>
          <w:p w14:paraId="68F7CC96"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28 821 574</w:t>
            </w:r>
          </w:p>
        </w:tc>
        <w:tc>
          <w:tcPr>
            <w:tcW w:w="850" w:type="dxa"/>
            <w:tcBorders>
              <w:top w:val="single" w:sz="4" w:space="0" w:color="000000"/>
              <w:bottom w:val="single" w:sz="4" w:space="0" w:color="000000"/>
            </w:tcBorders>
            <w:shd w:val="clear" w:color="auto" w:fill="auto"/>
            <w:vAlign w:val="center"/>
          </w:tcPr>
          <w:p w14:paraId="05708F6E"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5" w:type="dxa"/>
            <w:gridSpan w:val="2"/>
            <w:tcBorders>
              <w:top w:val="single" w:sz="4" w:space="0" w:color="000000"/>
              <w:bottom w:val="single" w:sz="4" w:space="0" w:color="000000"/>
            </w:tcBorders>
            <w:shd w:val="clear" w:color="auto" w:fill="auto"/>
            <w:vAlign w:val="center"/>
          </w:tcPr>
          <w:p w14:paraId="4A3B28E1"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28 821 574</w:t>
            </w:r>
          </w:p>
        </w:tc>
        <w:tc>
          <w:tcPr>
            <w:tcW w:w="1417" w:type="dxa"/>
            <w:gridSpan w:val="2"/>
            <w:tcBorders>
              <w:top w:val="single" w:sz="4" w:space="0" w:color="000000"/>
              <w:bottom w:val="single" w:sz="4" w:space="0" w:color="000000"/>
            </w:tcBorders>
            <w:shd w:val="clear" w:color="auto" w:fill="auto"/>
            <w:vAlign w:val="center"/>
          </w:tcPr>
          <w:p w14:paraId="5A9C293C"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27 065 753</w:t>
            </w:r>
          </w:p>
        </w:tc>
        <w:tc>
          <w:tcPr>
            <w:tcW w:w="709" w:type="dxa"/>
            <w:tcBorders>
              <w:top w:val="single" w:sz="4" w:space="0" w:color="000000"/>
              <w:bottom w:val="single" w:sz="4" w:space="0" w:color="000000"/>
            </w:tcBorders>
            <w:shd w:val="clear" w:color="auto" w:fill="auto"/>
            <w:vAlign w:val="center"/>
          </w:tcPr>
          <w:p w14:paraId="33E6D969"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3A2F593A"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27 065 753</w:t>
            </w:r>
          </w:p>
        </w:tc>
      </w:tr>
      <w:tr w:rsidR="008B42E4" w:rsidRPr="00F72A6E" w14:paraId="0B6493CB" w14:textId="77777777" w:rsidTr="0034710B">
        <w:trPr>
          <w:trHeight w:val="261"/>
        </w:trPr>
        <w:tc>
          <w:tcPr>
            <w:tcW w:w="2830" w:type="dxa"/>
            <w:tcBorders>
              <w:top w:val="single" w:sz="4" w:space="0" w:color="000000"/>
              <w:bottom w:val="single" w:sz="4" w:space="0" w:color="000000"/>
            </w:tcBorders>
            <w:shd w:val="clear" w:color="auto" w:fill="auto"/>
            <w:vAlign w:val="center"/>
            <w:hideMark/>
          </w:tcPr>
          <w:p w14:paraId="2DDF90A6" w14:textId="512B6E6D" w:rsidR="008B42E4" w:rsidRPr="00F72A6E" w:rsidRDefault="008B42E4" w:rsidP="008B42E4">
            <w:pPr>
              <w:spacing w:after="0" w:line="240" w:lineRule="auto"/>
              <w:rPr>
                <w:rFonts w:eastAsia="Arial Unicode MS" w:cs="Times New Roman"/>
                <w:color w:val="17365D"/>
                <w:sz w:val="18"/>
                <w:szCs w:val="18"/>
              </w:rPr>
            </w:pPr>
            <w:r>
              <w:rPr>
                <w:rFonts w:eastAsia="Arial Unicode MS" w:cs="Times New Roman"/>
                <w:color w:val="17365D"/>
                <w:sz w:val="18"/>
                <w:szCs w:val="18"/>
              </w:rPr>
              <w:t xml:space="preserve">    </w:t>
            </w:r>
            <w:r w:rsidRPr="00F72A6E">
              <w:rPr>
                <w:rFonts w:eastAsia="Arial Unicode MS" w:cs="Times New Roman"/>
                <w:color w:val="17365D"/>
                <w:sz w:val="18"/>
                <w:szCs w:val="18"/>
              </w:rPr>
              <w:t>Patiesajā vērtībā novērtēti finanšu aktīvi</w:t>
            </w:r>
          </w:p>
        </w:tc>
        <w:tc>
          <w:tcPr>
            <w:tcW w:w="1417" w:type="dxa"/>
            <w:tcBorders>
              <w:top w:val="single" w:sz="4" w:space="0" w:color="000000"/>
              <w:bottom w:val="single" w:sz="4" w:space="0" w:color="000000"/>
            </w:tcBorders>
            <w:shd w:val="clear" w:color="auto" w:fill="auto"/>
            <w:vAlign w:val="center"/>
            <w:hideMark/>
          </w:tcPr>
          <w:p w14:paraId="74BCF277"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28 305 347</w:t>
            </w:r>
          </w:p>
        </w:tc>
        <w:tc>
          <w:tcPr>
            <w:tcW w:w="850" w:type="dxa"/>
            <w:tcBorders>
              <w:top w:val="single" w:sz="4" w:space="0" w:color="000000"/>
              <w:bottom w:val="single" w:sz="4" w:space="0" w:color="000000"/>
            </w:tcBorders>
            <w:shd w:val="clear" w:color="auto" w:fill="auto"/>
            <w:vAlign w:val="center"/>
            <w:hideMark/>
          </w:tcPr>
          <w:p w14:paraId="0FAEA7FC"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5" w:type="dxa"/>
            <w:gridSpan w:val="2"/>
            <w:tcBorders>
              <w:top w:val="single" w:sz="4" w:space="0" w:color="000000"/>
              <w:bottom w:val="single" w:sz="4" w:space="0" w:color="000000"/>
            </w:tcBorders>
            <w:shd w:val="clear" w:color="auto" w:fill="auto"/>
            <w:vAlign w:val="center"/>
            <w:hideMark/>
          </w:tcPr>
          <w:p w14:paraId="3A6F1FA0"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28 305 347</w:t>
            </w:r>
          </w:p>
        </w:tc>
        <w:tc>
          <w:tcPr>
            <w:tcW w:w="1417" w:type="dxa"/>
            <w:gridSpan w:val="2"/>
            <w:tcBorders>
              <w:top w:val="single" w:sz="4" w:space="0" w:color="000000"/>
              <w:bottom w:val="single" w:sz="4" w:space="0" w:color="000000"/>
            </w:tcBorders>
            <w:shd w:val="clear" w:color="auto" w:fill="auto"/>
            <w:vAlign w:val="center"/>
          </w:tcPr>
          <w:p w14:paraId="541D15FD"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27 079 011</w:t>
            </w:r>
          </w:p>
        </w:tc>
        <w:tc>
          <w:tcPr>
            <w:tcW w:w="709" w:type="dxa"/>
            <w:tcBorders>
              <w:top w:val="single" w:sz="4" w:space="0" w:color="000000"/>
              <w:bottom w:val="single" w:sz="4" w:space="0" w:color="000000"/>
            </w:tcBorders>
            <w:shd w:val="clear" w:color="auto" w:fill="auto"/>
            <w:vAlign w:val="center"/>
          </w:tcPr>
          <w:p w14:paraId="7AE17515"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36558F3B"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27 079 011</w:t>
            </w:r>
          </w:p>
        </w:tc>
      </w:tr>
      <w:tr w:rsidR="008B42E4" w:rsidRPr="00F72A6E" w14:paraId="05FE7CB6" w14:textId="77777777" w:rsidTr="0034710B">
        <w:trPr>
          <w:trHeight w:val="261"/>
        </w:trPr>
        <w:tc>
          <w:tcPr>
            <w:tcW w:w="2830" w:type="dxa"/>
            <w:tcBorders>
              <w:top w:val="single" w:sz="4" w:space="0" w:color="000000"/>
              <w:bottom w:val="single" w:sz="4" w:space="0" w:color="000000"/>
            </w:tcBorders>
            <w:shd w:val="clear" w:color="auto" w:fill="auto"/>
            <w:vAlign w:val="center"/>
          </w:tcPr>
          <w:p w14:paraId="2C867F8E" w14:textId="1FF947DC" w:rsidR="008B42E4" w:rsidRPr="00F72A6E" w:rsidRDefault="008B42E4" w:rsidP="008B42E4">
            <w:pPr>
              <w:spacing w:after="0" w:line="240" w:lineRule="auto"/>
              <w:rPr>
                <w:rFonts w:eastAsia="Arial Unicode MS" w:cs="Times New Roman"/>
                <w:color w:val="17365D"/>
                <w:sz w:val="18"/>
                <w:szCs w:val="18"/>
              </w:rPr>
            </w:pPr>
            <w:r>
              <w:rPr>
                <w:rFonts w:eastAsia="Arial Unicode MS" w:cs="Times New Roman"/>
                <w:color w:val="17365D"/>
                <w:sz w:val="18"/>
                <w:szCs w:val="18"/>
              </w:rPr>
              <w:t xml:space="preserve">    </w:t>
            </w:r>
            <w:r w:rsidRPr="00F72A6E">
              <w:rPr>
                <w:rFonts w:eastAsia="Arial Unicode MS" w:cs="Times New Roman"/>
                <w:color w:val="17365D"/>
                <w:sz w:val="18"/>
                <w:szCs w:val="18"/>
              </w:rPr>
              <w:t>Aizdevumi un prasības</w:t>
            </w:r>
          </w:p>
        </w:tc>
        <w:tc>
          <w:tcPr>
            <w:tcW w:w="1417" w:type="dxa"/>
            <w:tcBorders>
              <w:top w:val="single" w:sz="4" w:space="0" w:color="000000"/>
              <w:bottom w:val="single" w:sz="4" w:space="0" w:color="000000"/>
            </w:tcBorders>
            <w:shd w:val="clear" w:color="auto" w:fill="auto"/>
            <w:vAlign w:val="center"/>
          </w:tcPr>
          <w:p w14:paraId="3ED835E4"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850" w:type="dxa"/>
            <w:tcBorders>
              <w:top w:val="single" w:sz="4" w:space="0" w:color="000000"/>
              <w:bottom w:val="single" w:sz="4" w:space="0" w:color="000000"/>
            </w:tcBorders>
            <w:shd w:val="clear" w:color="auto" w:fill="auto"/>
            <w:vAlign w:val="center"/>
          </w:tcPr>
          <w:p w14:paraId="0798345D"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5" w:type="dxa"/>
            <w:gridSpan w:val="2"/>
            <w:tcBorders>
              <w:top w:val="single" w:sz="4" w:space="0" w:color="000000"/>
              <w:bottom w:val="single" w:sz="4" w:space="0" w:color="000000"/>
            </w:tcBorders>
            <w:shd w:val="clear" w:color="auto" w:fill="auto"/>
            <w:vAlign w:val="center"/>
          </w:tcPr>
          <w:p w14:paraId="751D80AA"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1417" w:type="dxa"/>
            <w:gridSpan w:val="2"/>
            <w:tcBorders>
              <w:top w:val="single" w:sz="4" w:space="0" w:color="000000"/>
              <w:bottom w:val="single" w:sz="4" w:space="0" w:color="000000"/>
            </w:tcBorders>
            <w:shd w:val="clear" w:color="auto" w:fill="auto"/>
            <w:vAlign w:val="center"/>
          </w:tcPr>
          <w:p w14:paraId="07DDF265"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-13 258</w:t>
            </w:r>
          </w:p>
        </w:tc>
        <w:tc>
          <w:tcPr>
            <w:tcW w:w="709" w:type="dxa"/>
            <w:tcBorders>
              <w:top w:val="single" w:sz="4" w:space="0" w:color="000000"/>
              <w:bottom w:val="single" w:sz="4" w:space="0" w:color="000000"/>
            </w:tcBorders>
            <w:shd w:val="clear" w:color="auto" w:fill="auto"/>
            <w:vAlign w:val="center"/>
          </w:tcPr>
          <w:p w14:paraId="68A8D140"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2F7065CF"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-13 258</w:t>
            </w:r>
          </w:p>
        </w:tc>
      </w:tr>
      <w:tr w:rsidR="008B42E4" w:rsidRPr="00F72A6E" w14:paraId="3BA5150E" w14:textId="77777777" w:rsidTr="0034710B">
        <w:trPr>
          <w:trHeight w:val="261"/>
        </w:trPr>
        <w:tc>
          <w:tcPr>
            <w:tcW w:w="2830" w:type="dxa"/>
            <w:tcBorders>
              <w:top w:val="single" w:sz="4" w:space="0" w:color="000000"/>
              <w:bottom w:val="single" w:sz="4" w:space="0" w:color="000000"/>
            </w:tcBorders>
            <w:shd w:val="clear" w:color="auto" w:fill="auto"/>
            <w:vAlign w:val="center"/>
          </w:tcPr>
          <w:p w14:paraId="0F0302AD" w14:textId="20EA46FD" w:rsidR="008B42E4" w:rsidRPr="00F72A6E" w:rsidRDefault="008B42E4" w:rsidP="008B42E4">
            <w:pPr>
              <w:spacing w:after="0" w:line="240" w:lineRule="auto"/>
              <w:rPr>
                <w:rFonts w:eastAsia="Arial Unicode MS" w:cs="Times New Roman"/>
                <w:color w:val="17365D"/>
                <w:sz w:val="18"/>
                <w:szCs w:val="18"/>
              </w:rPr>
            </w:pPr>
            <w:r>
              <w:rPr>
                <w:rFonts w:eastAsia="Arial Unicode MS" w:cs="Times New Roman"/>
                <w:color w:val="17365D"/>
                <w:sz w:val="18"/>
                <w:szCs w:val="18"/>
              </w:rPr>
              <w:t xml:space="preserve">    Pārdošanai pieejamie finanšu aktīvi</w:t>
            </w:r>
          </w:p>
        </w:tc>
        <w:tc>
          <w:tcPr>
            <w:tcW w:w="1417" w:type="dxa"/>
            <w:tcBorders>
              <w:top w:val="single" w:sz="4" w:space="0" w:color="000000"/>
              <w:bottom w:val="single" w:sz="4" w:space="0" w:color="000000"/>
            </w:tcBorders>
            <w:shd w:val="clear" w:color="auto" w:fill="auto"/>
            <w:vAlign w:val="center"/>
          </w:tcPr>
          <w:p w14:paraId="018A4EF0" w14:textId="77777777" w:rsidR="008B42E4"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516 227</w:t>
            </w:r>
          </w:p>
        </w:tc>
        <w:tc>
          <w:tcPr>
            <w:tcW w:w="850" w:type="dxa"/>
            <w:tcBorders>
              <w:top w:val="single" w:sz="4" w:space="0" w:color="000000"/>
              <w:bottom w:val="single" w:sz="4" w:space="0" w:color="000000"/>
            </w:tcBorders>
            <w:shd w:val="clear" w:color="auto" w:fill="auto"/>
            <w:vAlign w:val="center"/>
          </w:tcPr>
          <w:p w14:paraId="3203077C" w14:textId="77777777" w:rsidR="008B42E4" w:rsidRPr="00F72A6E" w:rsidRDefault="008B42E4" w:rsidP="008B42E4">
            <w:pPr>
              <w:spacing w:after="0" w:line="240" w:lineRule="auto"/>
              <w:jc w:val="right"/>
              <w:rPr>
                <w:rFonts w:eastAsia="Arial Unicode MS" w:cs="Times New Roman"/>
                <w:color w:val="17365D"/>
                <w:sz w:val="18"/>
                <w:szCs w:val="18"/>
              </w:rPr>
            </w:pPr>
          </w:p>
        </w:tc>
        <w:tc>
          <w:tcPr>
            <w:tcW w:w="1135" w:type="dxa"/>
            <w:gridSpan w:val="2"/>
            <w:tcBorders>
              <w:top w:val="single" w:sz="4" w:space="0" w:color="000000"/>
              <w:bottom w:val="single" w:sz="4" w:space="0" w:color="000000"/>
            </w:tcBorders>
            <w:shd w:val="clear" w:color="auto" w:fill="auto"/>
            <w:vAlign w:val="center"/>
          </w:tcPr>
          <w:p w14:paraId="3942DFAA" w14:textId="77777777" w:rsidR="008B42E4"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516 227</w:t>
            </w:r>
          </w:p>
        </w:tc>
        <w:tc>
          <w:tcPr>
            <w:tcW w:w="1417" w:type="dxa"/>
            <w:gridSpan w:val="2"/>
            <w:tcBorders>
              <w:top w:val="single" w:sz="4" w:space="0" w:color="000000"/>
              <w:bottom w:val="single" w:sz="4" w:space="0" w:color="000000"/>
            </w:tcBorders>
            <w:shd w:val="clear" w:color="auto" w:fill="auto"/>
            <w:vAlign w:val="center"/>
          </w:tcPr>
          <w:p w14:paraId="558B43E7"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709" w:type="dxa"/>
            <w:tcBorders>
              <w:top w:val="single" w:sz="4" w:space="0" w:color="000000"/>
              <w:bottom w:val="single" w:sz="4" w:space="0" w:color="000000"/>
            </w:tcBorders>
            <w:shd w:val="clear" w:color="auto" w:fill="auto"/>
            <w:vAlign w:val="center"/>
          </w:tcPr>
          <w:p w14:paraId="5AB8CD7B"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7EAFDC58"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r>
      <w:tr w:rsidR="008B42E4" w:rsidRPr="00F72A6E" w14:paraId="5579554D" w14:textId="77777777" w:rsidTr="0034710B">
        <w:trPr>
          <w:trHeight w:val="261"/>
        </w:trPr>
        <w:tc>
          <w:tcPr>
            <w:tcW w:w="2830" w:type="dxa"/>
            <w:tcBorders>
              <w:top w:val="single" w:sz="4" w:space="0" w:color="000000"/>
              <w:bottom w:val="single" w:sz="4" w:space="0" w:color="000000"/>
            </w:tcBorders>
            <w:shd w:val="clear" w:color="auto" w:fill="auto"/>
            <w:vAlign w:val="center"/>
          </w:tcPr>
          <w:p w14:paraId="472581F1" w14:textId="77777777" w:rsidR="008B42E4" w:rsidRPr="00F72A6E" w:rsidRDefault="008B42E4" w:rsidP="008B42E4">
            <w:pPr>
              <w:spacing w:after="0" w:line="240" w:lineRule="auto"/>
              <w:rPr>
                <w:rFonts w:eastAsia="Arial Unicode MS" w:cs="Times New Roman"/>
                <w:color w:val="17365D"/>
                <w:sz w:val="18"/>
                <w:szCs w:val="18"/>
              </w:rPr>
            </w:pPr>
            <w:r w:rsidRPr="00F72A6E">
              <w:rPr>
                <w:rFonts w:eastAsia="Arial Unicode MS" w:cs="Times New Roman"/>
                <w:color w:val="17365D"/>
                <w:sz w:val="18"/>
                <w:szCs w:val="18"/>
              </w:rPr>
              <w:t>Finanšu saistības</w:t>
            </w:r>
          </w:p>
        </w:tc>
        <w:tc>
          <w:tcPr>
            <w:tcW w:w="1417" w:type="dxa"/>
            <w:tcBorders>
              <w:top w:val="single" w:sz="4" w:space="0" w:color="000000"/>
              <w:bottom w:val="single" w:sz="4" w:space="0" w:color="000000"/>
            </w:tcBorders>
            <w:shd w:val="clear" w:color="auto" w:fill="auto"/>
            <w:vAlign w:val="center"/>
          </w:tcPr>
          <w:p w14:paraId="04F6DBD0"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-89 367 463</w:t>
            </w:r>
          </w:p>
        </w:tc>
        <w:tc>
          <w:tcPr>
            <w:tcW w:w="850" w:type="dxa"/>
            <w:tcBorders>
              <w:top w:val="single" w:sz="4" w:space="0" w:color="000000"/>
              <w:bottom w:val="single" w:sz="4" w:space="0" w:color="000000"/>
            </w:tcBorders>
            <w:shd w:val="clear" w:color="auto" w:fill="auto"/>
            <w:vAlign w:val="center"/>
          </w:tcPr>
          <w:p w14:paraId="0D5B6533"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5" w:type="dxa"/>
            <w:gridSpan w:val="2"/>
            <w:tcBorders>
              <w:top w:val="single" w:sz="4" w:space="0" w:color="000000"/>
              <w:bottom w:val="single" w:sz="4" w:space="0" w:color="000000"/>
            </w:tcBorders>
            <w:shd w:val="clear" w:color="auto" w:fill="auto"/>
            <w:vAlign w:val="center"/>
          </w:tcPr>
          <w:p w14:paraId="06461692"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w:t>
            </w:r>
            <w:r>
              <w:rPr>
                <w:rFonts w:eastAsia="Arial Unicode MS" w:cs="Times New Roman"/>
                <w:color w:val="17365D"/>
                <w:sz w:val="18"/>
                <w:szCs w:val="18"/>
              </w:rPr>
              <w:t>89 367 463</w:t>
            </w:r>
          </w:p>
        </w:tc>
        <w:tc>
          <w:tcPr>
            <w:tcW w:w="1417" w:type="dxa"/>
            <w:gridSpan w:val="2"/>
            <w:tcBorders>
              <w:top w:val="single" w:sz="4" w:space="0" w:color="000000"/>
              <w:bottom w:val="single" w:sz="4" w:space="0" w:color="000000"/>
            </w:tcBorders>
            <w:shd w:val="clear" w:color="auto" w:fill="auto"/>
            <w:vAlign w:val="center"/>
          </w:tcPr>
          <w:p w14:paraId="49DC85A0"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-14 800 257</w:t>
            </w:r>
          </w:p>
        </w:tc>
        <w:tc>
          <w:tcPr>
            <w:tcW w:w="709" w:type="dxa"/>
            <w:tcBorders>
              <w:top w:val="single" w:sz="4" w:space="0" w:color="000000"/>
              <w:bottom w:val="single" w:sz="4" w:space="0" w:color="000000"/>
            </w:tcBorders>
            <w:shd w:val="clear" w:color="auto" w:fill="auto"/>
            <w:vAlign w:val="center"/>
          </w:tcPr>
          <w:p w14:paraId="2BFF39DF"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795BE551"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-14 800 257</w:t>
            </w:r>
          </w:p>
        </w:tc>
      </w:tr>
      <w:tr w:rsidR="008B42E4" w:rsidRPr="00F72A6E" w14:paraId="434453C0" w14:textId="77777777" w:rsidTr="0034710B">
        <w:trPr>
          <w:trHeight w:val="261"/>
        </w:trPr>
        <w:tc>
          <w:tcPr>
            <w:tcW w:w="2830" w:type="dxa"/>
            <w:tcBorders>
              <w:top w:val="single" w:sz="4" w:space="0" w:color="000000"/>
              <w:bottom w:val="single" w:sz="4" w:space="0" w:color="000000"/>
            </w:tcBorders>
            <w:shd w:val="clear" w:color="auto" w:fill="auto"/>
            <w:vAlign w:val="center"/>
            <w:hideMark/>
          </w:tcPr>
          <w:p w14:paraId="2ACA54FF" w14:textId="135BEB52" w:rsidR="008B42E4" w:rsidRPr="00F72A6E" w:rsidRDefault="008B42E4" w:rsidP="008B42E4">
            <w:pPr>
              <w:spacing w:after="0" w:line="240" w:lineRule="auto"/>
              <w:rPr>
                <w:rFonts w:eastAsia="Arial Unicode MS" w:cs="Times New Roman"/>
                <w:color w:val="17365D"/>
                <w:sz w:val="18"/>
                <w:szCs w:val="18"/>
              </w:rPr>
            </w:pPr>
            <w:r>
              <w:rPr>
                <w:rFonts w:eastAsia="Arial Unicode MS" w:cs="Times New Roman"/>
                <w:color w:val="17365D"/>
                <w:sz w:val="18"/>
                <w:szCs w:val="18"/>
              </w:rPr>
              <w:t xml:space="preserve">    </w:t>
            </w:r>
            <w:r w:rsidRPr="00F72A6E">
              <w:rPr>
                <w:rFonts w:eastAsia="Arial Unicode MS" w:cs="Times New Roman"/>
                <w:color w:val="17365D"/>
                <w:sz w:val="18"/>
                <w:szCs w:val="18"/>
              </w:rPr>
              <w:t>Patiesajā vērtībā novērtētas finanšu saistības</w:t>
            </w:r>
          </w:p>
        </w:tc>
        <w:tc>
          <w:tcPr>
            <w:tcW w:w="1417" w:type="dxa"/>
            <w:tcBorders>
              <w:top w:val="single" w:sz="4" w:space="0" w:color="000000"/>
              <w:bottom w:val="single" w:sz="4" w:space="0" w:color="000000"/>
            </w:tcBorders>
            <w:shd w:val="clear" w:color="auto" w:fill="auto"/>
            <w:vAlign w:val="center"/>
            <w:hideMark/>
          </w:tcPr>
          <w:p w14:paraId="2F2B954D"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-89 367 463</w:t>
            </w:r>
          </w:p>
        </w:tc>
        <w:tc>
          <w:tcPr>
            <w:tcW w:w="850" w:type="dxa"/>
            <w:tcBorders>
              <w:top w:val="single" w:sz="4" w:space="0" w:color="000000"/>
              <w:bottom w:val="single" w:sz="4" w:space="0" w:color="000000"/>
            </w:tcBorders>
            <w:shd w:val="clear" w:color="auto" w:fill="auto"/>
            <w:vAlign w:val="center"/>
            <w:hideMark/>
          </w:tcPr>
          <w:p w14:paraId="360B7C92"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5" w:type="dxa"/>
            <w:gridSpan w:val="2"/>
            <w:tcBorders>
              <w:top w:val="single" w:sz="4" w:space="0" w:color="000000"/>
              <w:bottom w:val="single" w:sz="4" w:space="0" w:color="000000"/>
            </w:tcBorders>
            <w:shd w:val="clear" w:color="auto" w:fill="auto"/>
            <w:vAlign w:val="center"/>
            <w:hideMark/>
          </w:tcPr>
          <w:p w14:paraId="71B6BF75"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-89 367 463</w:t>
            </w:r>
          </w:p>
        </w:tc>
        <w:tc>
          <w:tcPr>
            <w:tcW w:w="1417" w:type="dxa"/>
            <w:gridSpan w:val="2"/>
            <w:tcBorders>
              <w:top w:val="single" w:sz="4" w:space="0" w:color="000000"/>
              <w:bottom w:val="single" w:sz="4" w:space="0" w:color="000000"/>
            </w:tcBorders>
            <w:shd w:val="clear" w:color="auto" w:fill="auto"/>
            <w:vAlign w:val="center"/>
          </w:tcPr>
          <w:p w14:paraId="0ADBE438"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-14 800 013</w:t>
            </w:r>
          </w:p>
        </w:tc>
        <w:tc>
          <w:tcPr>
            <w:tcW w:w="709" w:type="dxa"/>
            <w:tcBorders>
              <w:top w:val="single" w:sz="4" w:space="0" w:color="000000"/>
              <w:bottom w:val="single" w:sz="4" w:space="0" w:color="000000"/>
            </w:tcBorders>
            <w:shd w:val="clear" w:color="auto" w:fill="auto"/>
            <w:vAlign w:val="center"/>
          </w:tcPr>
          <w:p w14:paraId="30CEDD6F"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0B11C1CC"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-14 800 013</w:t>
            </w:r>
          </w:p>
        </w:tc>
      </w:tr>
      <w:tr w:rsidR="008B42E4" w:rsidRPr="00F72A6E" w14:paraId="078A78AA" w14:textId="77777777" w:rsidTr="0034710B">
        <w:trPr>
          <w:trHeight w:val="261"/>
        </w:trPr>
        <w:tc>
          <w:tcPr>
            <w:tcW w:w="2830" w:type="dxa"/>
            <w:tcBorders>
              <w:top w:val="single" w:sz="4" w:space="0" w:color="000000"/>
              <w:bottom w:val="single" w:sz="4" w:space="0" w:color="17365D"/>
            </w:tcBorders>
            <w:shd w:val="clear" w:color="auto" w:fill="auto"/>
            <w:vAlign w:val="center"/>
            <w:hideMark/>
          </w:tcPr>
          <w:p w14:paraId="2F4DBFC6" w14:textId="32309BFD" w:rsidR="008B42E4" w:rsidRPr="00F72A6E" w:rsidRDefault="008B42E4" w:rsidP="008B42E4">
            <w:pPr>
              <w:spacing w:after="0" w:line="240" w:lineRule="auto"/>
              <w:rPr>
                <w:rFonts w:eastAsia="Arial Unicode MS" w:cs="Times New Roman"/>
                <w:color w:val="17365D"/>
                <w:sz w:val="18"/>
                <w:szCs w:val="18"/>
              </w:rPr>
            </w:pPr>
            <w:r>
              <w:rPr>
                <w:rFonts w:eastAsia="Arial Unicode MS" w:cs="Times New Roman"/>
                <w:color w:val="17365D"/>
                <w:sz w:val="18"/>
                <w:szCs w:val="18"/>
              </w:rPr>
              <w:t xml:space="preserve">    </w:t>
            </w:r>
            <w:r w:rsidRPr="00F72A6E">
              <w:rPr>
                <w:rFonts w:eastAsia="Arial Unicode MS" w:cs="Times New Roman"/>
                <w:color w:val="17365D"/>
                <w:sz w:val="18"/>
                <w:szCs w:val="18"/>
              </w:rPr>
              <w:t>Pārējās finanšu saistības</w:t>
            </w:r>
          </w:p>
        </w:tc>
        <w:tc>
          <w:tcPr>
            <w:tcW w:w="1417" w:type="dxa"/>
            <w:tcBorders>
              <w:top w:val="single" w:sz="4" w:space="0" w:color="000000"/>
              <w:bottom w:val="single" w:sz="4" w:space="0" w:color="17365D"/>
            </w:tcBorders>
            <w:shd w:val="clear" w:color="auto" w:fill="auto"/>
            <w:vAlign w:val="center"/>
            <w:hideMark/>
          </w:tcPr>
          <w:p w14:paraId="54C2CC4C"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850" w:type="dxa"/>
            <w:tcBorders>
              <w:top w:val="single" w:sz="4" w:space="0" w:color="000000"/>
              <w:bottom w:val="single" w:sz="4" w:space="0" w:color="17365D"/>
            </w:tcBorders>
            <w:shd w:val="clear" w:color="auto" w:fill="auto"/>
            <w:vAlign w:val="center"/>
            <w:hideMark/>
          </w:tcPr>
          <w:p w14:paraId="50245062"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5" w:type="dxa"/>
            <w:gridSpan w:val="2"/>
            <w:tcBorders>
              <w:top w:val="single" w:sz="4" w:space="0" w:color="000000"/>
              <w:bottom w:val="single" w:sz="4" w:space="0" w:color="17365D"/>
            </w:tcBorders>
            <w:shd w:val="clear" w:color="auto" w:fill="auto"/>
            <w:vAlign w:val="center"/>
            <w:hideMark/>
          </w:tcPr>
          <w:p w14:paraId="1C2C921A" w14:textId="77777777" w:rsidR="008B42E4" w:rsidRPr="00F72A6E" w:rsidRDefault="008B42E4" w:rsidP="008B42E4">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p>
        </w:tc>
        <w:tc>
          <w:tcPr>
            <w:tcW w:w="1417" w:type="dxa"/>
            <w:gridSpan w:val="2"/>
            <w:tcBorders>
              <w:top w:val="single" w:sz="4" w:space="0" w:color="000000"/>
              <w:bottom w:val="single" w:sz="4" w:space="0" w:color="17365D"/>
            </w:tcBorders>
            <w:shd w:val="clear" w:color="auto" w:fill="auto"/>
            <w:vAlign w:val="center"/>
          </w:tcPr>
          <w:p w14:paraId="74EDA265"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-244</w:t>
            </w:r>
          </w:p>
        </w:tc>
        <w:tc>
          <w:tcPr>
            <w:tcW w:w="709" w:type="dxa"/>
            <w:tcBorders>
              <w:top w:val="single" w:sz="4" w:space="0" w:color="000000"/>
              <w:bottom w:val="single" w:sz="4" w:space="0" w:color="17365D"/>
            </w:tcBorders>
            <w:shd w:val="clear" w:color="auto" w:fill="auto"/>
            <w:vAlign w:val="center"/>
          </w:tcPr>
          <w:p w14:paraId="5B7BEA4F"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17365D"/>
            </w:tcBorders>
            <w:shd w:val="clear" w:color="auto" w:fill="auto"/>
            <w:vAlign w:val="center"/>
          </w:tcPr>
          <w:p w14:paraId="3BD8CF03" w14:textId="77777777" w:rsidR="008B42E4" w:rsidRPr="00F72A6E" w:rsidRDefault="008B42E4" w:rsidP="008B42E4">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-244</w:t>
            </w:r>
          </w:p>
        </w:tc>
      </w:tr>
      <w:tr w:rsidR="008B42E4" w:rsidRPr="00F72A6E" w14:paraId="18A10255" w14:textId="77777777" w:rsidTr="0034710B">
        <w:trPr>
          <w:trHeight w:val="214"/>
        </w:trPr>
        <w:tc>
          <w:tcPr>
            <w:tcW w:w="2830" w:type="dxa"/>
            <w:tcBorders>
              <w:top w:val="single" w:sz="4" w:space="0" w:color="17365D"/>
            </w:tcBorders>
            <w:shd w:val="clear" w:color="auto" w:fill="B8CCE4" w:themeFill="accent1" w:themeFillTint="66"/>
            <w:vAlign w:val="center"/>
          </w:tcPr>
          <w:p w14:paraId="6643CBAD" w14:textId="77777777" w:rsidR="008B42E4" w:rsidRPr="00A27896" w:rsidRDefault="008B42E4" w:rsidP="008B42E4">
            <w:pPr>
              <w:spacing w:after="0" w:line="240" w:lineRule="auto"/>
              <w:rPr>
                <w:rFonts w:eastAsia="Arial Unicode MS" w:cs="Times New Roman"/>
                <w:color w:val="17365D"/>
                <w:sz w:val="18"/>
                <w:szCs w:val="18"/>
              </w:rPr>
            </w:pPr>
          </w:p>
        </w:tc>
        <w:tc>
          <w:tcPr>
            <w:tcW w:w="1417" w:type="dxa"/>
            <w:tcBorders>
              <w:top w:val="single" w:sz="4" w:space="0" w:color="17365D"/>
            </w:tcBorders>
            <w:shd w:val="clear" w:color="auto" w:fill="B8CCE4" w:themeFill="accent1" w:themeFillTint="66"/>
            <w:vAlign w:val="center"/>
          </w:tcPr>
          <w:p w14:paraId="51E99559" w14:textId="77777777" w:rsidR="008B42E4" w:rsidRPr="00A27896" w:rsidRDefault="008B42E4" w:rsidP="008B42E4">
            <w:pPr>
              <w:spacing w:after="0" w:line="240" w:lineRule="auto"/>
              <w:jc w:val="right"/>
              <w:rPr>
                <w:rFonts w:eastAsia="Arial Unicode MS" w:cs="Times New Roman"/>
                <w:color w:val="17365D"/>
                <w:sz w:val="18"/>
                <w:szCs w:val="18"/>
              </w:rPr>
            </w:pPr>
          </w:p>
        </w:tc>
        <w:tc>
          <w:tcPr>
            <w:tcW w:w="850" w:type="dxa"/>
            <w:tcBorders>
              <w:top w:val="single" w:sz="4" w:space="0" w:color="17365D"/>
            </w:tcBorders>
            <w:shd w:val="clear" w:color="auto" w:fill="B8CCE4" w:themeFill="accent1" w:themeFillTint="66"/>
            <w:vAlign w:val="center"/>
          </w:tcPr>
          <w:p w14:paraId="09134795" w14:textId="77777777" w:rsidR="008B42E4" w:rsidRPr="00A27896" w:rsidRDefault="008B42E4" w:rsidP="008B42E4">
            <w:pPr>
              <w:spacing w:after="0" w:line="240" w:lineRule="auto"/>
              <w:jc w:val="right"/>
              <w:rPr>
                <w:rFonts w:eastAsia="Arial Unicode MS" w:cs="Times New Roman"/>
                <w:color w:val="17365D"/>
                <w:sz w:val="18"/>
                <w:szCs w:val="18"/>
              </w:rPr>
            </w:pPr>
          </w:p>
        </w:tc>
        <w:tc>
          <w:tcPr>
            <w:tcW w:w="1135" w:type="dxa"/>
            <w:gridSpan w:val="2"/>
            <w:tcBorders>
              <w:top w:val="single" w:sz="4" w:space="0" w:color="17365D"/>
            </w:tcBorders>
            <w:shd w:val="clear" w:color="auto" w:fill="B8CCE4" w:themeFill="accent1" w:themeFillTint="66"/>
            <w:vAlign w:val="center"/>
          </w:tcPr>
          <w:p w14:paraId="43ADE736" w14:textId="77777777" w:rsidR="008B42E4" w:rsidRPr="00A27896" w:rsidRDefault="008B42E4" w:rsidP="008B42E4">
            <w:pPr>
              <w:spacing w:after="0" w:line="240" w:lineRule="auto"/>
              <w:jc w:val="right"/>
              <w:rPr>
                <w:rFonts w:eastAsia="Arial Unicode MS" w:cs="Times New Roman"/>
                <w:color w:val="17365D"/>
                <w:sz w:val="18"/>
                <w:szCs w:val="18"/>
              </w:rPr>
            </w:pPr>
          </w:p>
        </w:tc>
        <w:tc>
          <w:tcPr>
            <w:tcW w:w="1417" w:type="dxa"/>
            <w:gridSpan w:val="2"/>
            <w:tcBorders>
              <w:top w:val="single" w:sz="4" w:space="0" w:color="17365D"/>
            </w:tcBorders>
            <w:shd w:val="clear" w:color="auto" w:fill="B8CCE4" w:themeFill="accent1" w:themeFillTint="66"/>
          </w:tcPr>
          <w:p w14:paraId="018BD26C" w14:textId="77777777" w:rsidR="008B42E4" w:rsidRPr="00A27896" w:rsidRDefault="008B42E4" w:rsidP="008B42E4">
            <w:pPr>
              <w:spacing w:after="0" w:line="240" w:lineRule="auto"/>
              <w:jc w:val="right"/>
              <w:rPr>
                <w:rFonts w:eastAsia="Arial Unicode MS" w:cs="Times New Roman"/>
                <w:color w:val="17365D"/>
                <w:sz w:val="18"/>
                <w:szCs w:val="18"/>
              </w:rPr>
            </w:pPr>
          </w:p>
        </w:tc>
        <w:tc>
          <w:tcPr>
            <w:tcW w:w="709" w:type="dxa"/>
            <w:tcBorders>
              <w:top w:val="single" w:sz="4" w:space="0" w:color="17365D"/>
            </w:tcBorders>
            <w:shd w:val="clear" w:color="auto" w:fill="B8CCE4" w:themeFill="accent1" w:themeFillTint="66"/>
          </w:tcPr>
          <w:p w14:paraId="6C141781" w14:textId="77777777" w:rsidR="008B42E4" w:rsidRPr="00A27896" w:rsidRDefault="008B42E4" w:rsidP="008B42E4">
            <w:pPr>
              <w:spacing w:after="0" w:line="240" w:lineRule="auto"/>
              <w:jc w:val="right"/>
              <w:rPr>
                <w:rFonts w:eastAsia="Arial Unicode MS" w:cs="Times New Roman"/>
                <w:color w:val="17365D"/>
                <w:sz w:val="18"/>
                <w:szCs w:val="18"/>
              </w:rPr>
            </w:pPr>
          </w:p>
        </w:tc>
        <w:tc>
          <w:tcPr>
            <w:tcW w:w="1134" w:type="dxa"/>
            <w:tcBorders>
              <w:top w:val="single" w:sz="4" w:space="0" w:color="17365D"/>
            </w:tcBorders>
            <w:shd w:val="clear" w:color="auto" w:fill="B8CCE4" w:themeFill="accent1" w:themeFillTint="66"/>
          </w:tcPr>
          <w:p w14:paraId="59D69863" w14:textId="77777777" w:rsidR="008B42E4" w:rsidRPr="00A27896" w:rsidRDefault="008B42E4" w:rsidP="008B42E4">
            <w:pPr>
              <w:spacing w:after="0" w:line="240" w:lineRule="auto"/>
              <w:jc w:val="right"/>
              <w:rPr>
                <w:rFonts w:eastAsia="Arial Unicode MS" w:cs="Times New Roman"/>
                <w:color w:val="17365D"/>
                <w:sz w:val="18"/>
                <w:szCs w:val="18"/>
              </w:rPr>
            </w:pPr>
          </w:p>
        </w:tc>
      </w:tr>
    </w:tbl>
    <w:p w14:paraId="4FB8BE7D" w14:textId="77777777" w:rsidR="00024628" w:rsidRPr="00024628" w:rsidRDefault="00024628" w:rsidP="00845526">
      <w:pPr>
        <w:pStyle w:val="Pamatteksts1"/>
        <w:rPr>
          <w:noProof/>
          <w:sz w:val="10"/>
          <w:szCs w:val="8"/>
          <w:lang w:eastAsia="lv-LV"/>
        </w:rPr>
      </w:pPr>
    </w:p>
    <w:p w14:paraId="4CBB9A7A" w14:textId="4D1C3F64" w:rsidR="00B1750B" w:rsidRDefault="00B1750B" w:rsidP="00845526">
      <w:pPr>
        <w:pStyle w:val="Pamatteksts1"/>
        <w:rPr>
          <w:noProof/>
          <w:lang w:eastAsia="lv-LV"/>
        </w:rPr>
      </w:pPr>
      <w:r w:rsidRPr="00365902">
        <w:rPr>
          <w:noProof/>
          <w:lang w:eastAsia="lv-LV"/>
        </w:rPr>
        <w:t>202</w:t>
      </w:r>
      <w:r>
        <w:rPr>
          <w:noProof/>
          <w:lang w:eastAsia="lv-LV"/>
        </w:rPr>
        <w:t>4</w:t>
      </w:r>
      <w:r w:rsidRPr="00365902">
        <w:rPr>
          <w:noProof/>
          <w:lang w:eastAsia="lv-LV"/>
        </w:rPr>
        <w:t>. gad</w:t>
      </w:r>
      <w:r>
        <w:rPr>
          <w:noProof/>
          <w:lang w:eastAsia="lv-LV"/>
        </w:rPr>
        <w:t>ā</w:t>
      </w:r>
      <w:r w:rsidRPr="00365902">
        <w:rPr>
          <w:noProof/>
          <w:lang w:eastAsia="lv-LV"/>
        </w:rPr>
        <w:t xml:space="preserve"> </w:t>
      </w:r>
      <w:r>
        <w:rPr>
          <w:noProof/>
          <w:lang w:eastAsia="lv-LV"/>
        </w:rPr>
        <w:t>p</w:t>
      </w:r>
      <w:r w:rsidRPr="00B75C9E">
        <w:rPr>
          <w:noProof/>
          <w:lang w:eastAsia="lv-LV"/>
        </w:rPr>
        <w:t>rocentu ieņēmumi par finanšu instrumentiem, kuriem atzīts vērtības samazinājums</w:t>
      </w:r>
      <w:r>
        <w:rPr>
          <w:noProof/>
          <w:lang w:eastAsia="lv-LV"/>
        </w:rPr>
        <w:t>, uzrādīti finanšu instrumentu kategorijai “</w:t>
      </w:r>
      <w:r w:rsidRPr="00B75C9E">
        <w:rPr>
          <w:noProof/>
          <w:lang w:eastAsia="lv-LV"/>
        </w:rPr>
        <w:t>Aizdevumi un prasības</w:t>
      </w:r>
      <w:r>
        <w:rPr>
          <w:noProof/>
          <w:lang w:eastAsia="lv-LV"/>
        </w:rPr>
        <w:t xml:space="preserve">” 0,1 </w:t>
      </w:r>
      <w:r w:rsidRPr="00E03367">
        <w:rPr>
          <w:lang w:eastAsia="lv-LV"/>
        </w:rPr>
        <w:t>milj.</w:t>
      </w:r>
      <w:r>
        <w:t> </w:t>
      </w:r>
      <w:r w:rsidRPr="007F093C">
        <w:rPr>
          <w:i/>
          <w:noProof/>
          <w:lang w:eastAsia="lv-LV"/>
        </w:rPr>
        <w:t>euro</w:t>
      </w:r>
      <w:r w:rsidRPr="007F093C">
        <w:rPr>
          <w:noProof/>
          <w:lang w:eastAsia="lv-LV"/>
        </w:rPr>
        <w:t xml:space="preserve"> vērtībā</w:t>
      </w:r>
      <w:r w:rsidRPr="00B75C9E">
        <w:rPr>
          <w:noProof/>
          <w:lang w:eastAsia="lv-LV"/>
        </w:rPr>
        <w:t>.</w:t>
      </w:r>
      <w:r>
        <w:rPr>
          <w:noProof/>
          <w:lang w:eastAsia="lv-LV"/>
        </w:rPr>
        <w:t xml:space="preserve"> </w:t>
      </w:r>
      <w:r w:rsidRPr="00F53A58">
        <w:rPr>
          <w:noProof/>
          <w:lang w:eastAsia="lv-LV"/>
        </w:rPr>
        <w:t xml:space="preserve">Darījumu izmaksas, kas nav iekļautas procentu likmes noteikšanā, pa finanšu instrumentu kategorijām uzrādītas tikai finanšu instrumentu kategorijā “Pārējās finanšu saistības” </w:t>
      </w:r>
      <w:r>
        <w:rPr>
          <w:noProof/>
          <w:lang w:eastAsia="lv-LV"/>
        </w:rPr>
        <w:t xml:space="preserve">0,9 </w:t>
      </w:r>
      <w:r w:rsidRPr="00E03367">
        <w:rPr>
          <w:lang w:eastAsia="lv-LV"/>
        </w:rPr>
        <w:t>milj.</w:t>
      </w:r>
      <w:r w:rsidRPr="00F53A58">
        <w:rPr>
          <w:noProof/>
          <w:lang w:eastAsia="lv-LV"/>
        </w:rPr>
        <w:t xml:space="preserve"> </w:t>
      </w:r>
      <w:r w:rsidRPr="00F53A58">
        <w:rPr>
          <w:i/>
          <w:noProof/>
          <w:lang w:eastAsia="lv-LV"/>
        </w:rPr>
        <w:t>euro</w:t>
      </w:r>
      <w:r w:rsidRPr="00F53A58">
        <w:rPr>
          <w:noProof/>
          <w:lang w:eastAsia="lv-LV"/>
        </w:rPr>
        <w:t xml:space="preserve"> vērtībā.</w:t>
      </w:r>
    </w:p>
    <w:p w14:paraId="027F7BF0" w14:textId="689609A5" w:rsidR="0057580F" w:rsidRDefault="0057580F" w:rsidP="0057580F">
      <w:pPr>
        <w:spacing w:before="120" w:after="120" w:line="240" w:lineRule="auto"/>
        <w:ind w:firstLine="284"/>
        <w:jc w:val="both"/>
        <w:rPr>
          <w:rFonts w:eastAsia="Arial Unicode MS" w:cs="Times New Roman"/>
          <w:color w:val="17365D"/>
          <w:szCs w:val="24"/>
        </w:rPr>
      </w:pPr>
      <w:r w:rsidRPr="00CF0813">
        <w:rPr>
          <w:rFonts w:eastAsia="Arial Unicode MS" w:cs="Times New Roman"/>
          <w:color w:val="17365D"/>
          <w:szCs w:val="24"/>
        </w:rPr>
        <w:t xml:space="preserve">Informācija par </w:t>
      </w:r>
      <w:r>
        <w:rPr>
          <w:rFonts w:eastAsia="Arial Unicode MS" w:cs="Times New Roman"/>
          <w:color w:val="17365D"/>
          <w:szCs w:val="24"/>
        </w:rPr>
        <w:t>finanšu instrument</w:t>
      </w:r>
      <w:r w:rsidR="00A3678F">
        <w:rPr>
          <w:rFonts w:eastAsia="Arial Unicode MS" w:cs="Times New Roman"/>
          <w:color w:val="17365D"/>
          <w:szCs w:val="24"/>
        </w:rPr>
        <w:t>u</w:t>
      </w:r>
      <w:r>
        <w:rPr>
          <w:rFonts w:eastAsia="Arial Unicode MS" w:cs="Times New Roman"/>
          <w:color w:val="17365D"/>
          <w:szCs w:val="24"/>
        </w:rPr>
        <w:t>, kam piemērota naudas plūsmas riska ierobežošanas uzskaite</w:t>
      </w:r>
      <w:r w:rsidR="00104640">
        <w:rPr>
          <w:rFonts w:eastAsia="Arial Unicode MS" w:cs="Times New Roman"/>
          <w:color w:val="17365D"/>
          <w:szCs w:val="24"/>
        </w:rPr>
        <w:t>,</w:t>
      </w:r>
      <w:r>
        <w:rPr>
          <w:rFonts w:eastAsia="Arial Unicode MS" w:cs="Times New Roman"/>
          <w:color w:val="17365D"/>
          <w:szCs w:val="24"/>
        </w:rPr>
        <w:t xml:space="preserve"> </w:t>
      </w:r>
      <w:r w:rsidR="00A3678F">
        <w:rPr>
          <w:rFonts w:eastAsia="Arial Unicode MS" w:cs="Times New Roman"/>
          <w:color w:val="17365D"/>
          <w:szCs w:val="24"/>
        </w:rPr>
        <w:t xml:space="preserve">neto rezultātu </w:t>
      </w:r>
      <w:r>
        <w:rPr>
          <w:rFonts w:eastAsia="Arial Unicode MS" w:cs="Times New Roman"/>
          <w:color w:val="17365D"/>
          <w:szCs w:val="24"/>
        </w:rPr>
        <w:t xml:space="preserve">uzrādīta </w:t>
      </w:r>
      <w:r w:rsidRPr="00587C02">
        <w:rPr>
          <w:rFonts w:eastAsia="Arial Unicode MS" w:cs="Times New Roman"/>
          <w:color w:val="17365D"/>
          <w:szCs w:val="24"/>
        </w:rPr>
        <w:t>2.</w:t>
      </w:r>
      <w:r>
        <w:rPr>
          <w:rFonts w:eastAsia="Arial Unicode MS" w:cs="Times New Roman"/>
          <w:color w:val="17365D"/>
          <w:szCs w:val="24"/>
        </w:rPr>
        <w:t>12</w:t>
      </w:r>
      <w:r w:rsidRPr="00587C02">
        <w:rPr>
          <w:rFonts w:eastAsia="Times New Roman" w:cs="Times New Roman"/>
          <w:noProof/>
          <w:color w:val="17365D"/>
          <w:szCs w:val="24"/>
          <w:lang w:eastAsia="lv-LV"/>
        </w:rPr>
        <w:t>. tabulā</w:t>
      </w:r>
      <w:r w:rsidRPr="00587C02">
        <w:rPr>
          <w:rFonts w:eastAsia="Arial Unicode MS" w:cs="Times New Roman"/>
          <w:color w:val="17365D"/>
          <w:szCs w:val="24"/>
        </w:rPr>
        <w:t>.</w:t>
      </w:r>
    </w:p>
    <w:p w14:paraId="6FC24EB9" w14:textId="480CF9B4" w:rsidR="0057580F" w:rsidRPr="00161C5B" w:rsidRDefault="0057580F" w:rsidP="0057580F">
      <w:pPr>
        <w:pStyle w:val="Tabulasnosaukums1"/>
        <w:spacing w:before="0" w:line="240" w:lineRule="auto"/>
        <w:rPr>
          <w:rFonts w:eastAsia="Arial Unicode MS" w:cs="Times New Roman"/>
          <w:i/>
          <w:color w:val="17365D"/>
        </w:rPr>
      </w:pPr>
      <w:r w:rsidRPr="00161C5B">
        <w:rPr>
          <w:rFonts w:eastAsia="Arial Unicode MS" w:cs="Times New Roman"/>
          <w:i/>
          <w:color w:val="17365D"/>
        </w:rPr>
        <w:t>2.1</w:t>
      </w:r>
      <w:r>
        <w:rPr>
          <w:rFonts w:eastAsia="Arial Unicode MS" w:cs="Times New Roman"/>
          <w:i/>
          <w:color w:val="17365D"/>
        </w:rPr>
        <w:t>2</w:t>
      </w:r>
      <w:r w:rsidRPr="00161C5B">
        <w:rPr>
          <w:rFonts w:eastAsia="Arial Unicode MS" w:cs="Times New Roman"/>
          <w:i/>
          <w:color w:val="17365D"/>
        </w:rPr>
        <w:t>. tabula. Finanšu instrument</w:t>
      </w:r>
      <w:r w:rsidR="00093D5A">
        <w:rPr>
          <w:rFonts w:eastAsia="Arial Unicode MS" w:cs="Times New Roman"/>
          <w:i/>
          <w:color w:val="17365D"/>
        </w:rPr>
        <w:t>i, kam piemērota naudas plūsmas riska ierobežošanas uzskaite</w:t>
      </w:r>
      <w:r w:rsidRPr="00161C5B">
        <w:rPr>
          <w:rFonts w:eastAsia="Arial Unicode MS" w:cs="Times New Roman"/>
          <w:i/>
          <w:color w:val="17365D"/>
        </w:rPr>
        <w:t xml:space="preserve"> (euro)</w:t>
      </w:r>
    </w:p>
    <w:tbl>
      <w:tblPr>
        <w:tblW w:w="9649" w:type="dxa"/>
        <w:tblInd w:w="-142" w:type="dxa"/>
        <w:tblLayout w:type="fixed"/>
        <w:tblLook w:val="04A0" w:firstRow="1" w:lastRow="0" w:firstColumn="1" w:lastColumn="0" w:noHBand="0" w:noVBand="1"/>
      </w:tblPr>
      <w:tblGrid>
        <w:gridCol w:w="1702"/>
        <w:gridCol w:w="1134"/>
        <w:gridCol w:w="1091"/>
        <w:gridCol w:w="610"/>
        <w:gridCol w:w="850"/>
        <w:gridCol w:w="191"/>
        <w:gridCol w:w="93"/>
        <w:gridCol w:w="948"/>
        <w:gridCol w:w="1017"/>
        <w:gridCol w:w="1009"/>
        <w:gridCol w:w="1004"/>
      </w:tblGrid>
      <w:tr w:rsidR="0034710B" w:rsidRPr="00F72A6E" w14:paraId="53A770F2" w14:textId="77777777" w:rsidTr="00116C61">
        <w:trPr>
          <w:trHeight w:val="263"/>
          <w:tblHeader/>
        </w:trPr>
        <w:tc>
          <w:tcPr>
            <w:tcW w:w="1702" w:type="dxa"/>
            <w:vMerge w:val="restart"/>
            <w:tcBorders>
              <w:top w:val="nil"/>
              <w:bottom w:val="single" w:sz="4" w:space="0" w:color="000000"/>
            </w:tcBorders>
            <w:shd w:val="clear" w:color="auto" w:fill="B8CCE4" w:themeFill="accent1" w:themeFillTint="66"/>
            <w:vAlign w:val="center"/>
            <w:hideMark/>
          </w:tcPr>
          <w:p w14:paraId="0C52F351" w14:textId="77777777" w:rsidR="0034710B" w:rsidRPr="008E569C" w:rsidRDefault="0034710B" w:rsidP="00577AA2">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Finanšu instrumenta kategorijas nosaukums</w:t>
            </w:r>
          </w:p>
        </w:tc>
        <w:tc>
          <w:tcPr>
            <w:tcW w:w="7947" w:type="dxa"/>
            <w:gridSpan w:val="10"/>
            <w:tcBorders>
              <w:top w:val="nil"/>
              <w:bottom w:val="single" w:sz="4" w:space="0" w:color="17365D"/>
            </w:tcBorders>
            <w:shd w:val="clear" w:color="auto" w:fill="B8CCE4" w:themeFill="accent1" w:themeFillTint="66"/>
          </w:tcPr>
          <w:p w14:paraId="572C2580" w14:textId="54E7DAAC" w:rsidR="0034710B" w:rsidRPr="008E569C" w:rsidRDefault="0034710B"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Patiesās vērtības izmaiņas</w:t>
            </w:r>
            <w:r w:rsidRPr="008E569C">
              <w:rPr>
                <w:rFonts w:eastAsia="Arial Unicode MS" w:cs="Times New Roman"/>
                <w:b/>
                <w:color w:val="17365D"/>
                <w:sz w:val="18"/>
                <w:szCs w:val="18"/>
              </w:rPr>
              <w:t xml:space="preserve"> </w:t>
            </w:r>
          </w:p>
        </w:tc>
      </w:tr>
      <w:tr w:rsidR="003F2BCF" w:rsidRPr="00F72A6E" w14:paraId="6EE66050" w14:textId="77777777" w:rsidTr="00116C61">
        <w:trPr>
          <w:trHeight w:val="263"/>
          <w:tblHeader/>
        </w:trPr>
        <w:tc>
          <w:tcPr>
            <w:tcW w:w="1702" w:type="dxa"/>
            <w:vMerge/>
            <w:tcBorders>
              <w:top w:val="nil"/>
              <w:bottom w:val="single" w:sz="4" w:space="0" w:color="000000"/>
            </w:tcBorders>
            <w:shd w:val="clear" w:color="auto" w:fill="B8CCE4" w:themeFill="accent1" w:themeFillTint="66"/>
            <w:vAlign w:val="center"/>
          </w:tcPr>
          <w:p w14:paraId="59A4DEC3" w14:textId="77777777" w:rsidR="003F2BCF" w:rsidRPr="008E569C" w:rsidRDefault="003F2BCF" w:rsidP="00577AA2">
            <w:pPr>
              <w:spacing w:after="0" w:line="240" w:lineRule="auto"/>
              <w:jc w:val="center"/>
              <w:rPr>
                <w:rFonts w:eastAsia="Arial Unicode MS" w:cs="Times New Roman"/>
                <w:b/>
                <w:color w:val="17365D"/>
                <w:sz w:val="18"/>
                <w:szCs w:val="18"/>
              </w:rPr>
            </w:pPr>
          </w:p>
        </w:tc>
        <w:tc>
          <w:tcPr>
            <w:tcW w:w="3685" w:type="dxa"/>
            <w:gridSpan w:val="4"/>
            <w:tcBorders>
              <w:top w:val="single" w:sz="4" w:space="0" w:color="17365D"/>
              <w:bottom w:val="single" w:sz="4" w:space="0" w:color="000000"/>
            </w:tcBorders>
            <w:shd w:val="clear" w:color="auto" w:fill="B8CCE4" w:themeFill="accent1" w:themeFillTint="66"/>
          </w:tcPr>
          <w:p w14:paraId="74907B96" w14:textId="015E33C1" w:rsidR="003F2BCF" w:rsidRPr="008E569C" w:rsidRDefault="00BC42E6"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p</w:t>
            </w:r>
            <w:r w:rsidR="003F2BCF" w:rsidRPr="008E569C">
              <w:rPr>
                <w:rFonts w:eastAsia="Arial Unicode MS" w:cs="Times New Roman"/>
                <w:b/>
                <w:color w:val="17365D"/>
                <w:sz w:val="18"/>
                <w:szCs w:val="18"/>
              </w:rPr>
              <w:t>ārskata periodā</w:t>
            </w:r>
          </w:p>
        </w:tc>
        <w:tc>
          <w:tcPr>
            <w:tcW w:w="284" w:type="dxa"/>
            <w:gridSpan w:val="2"/>
            <w:tcBorders>
              <w:top w:val="single" w:sz="4" w:space="0" w:color="17365D"/>
            </w:tcBorders>
            <w:shd w:val="clear" w:color="auto" w:fill="B8CCE4" w:themeFill="accent1" w:themeFillTint="66"/>
          </w:tcPr>
          <w:p w14:paraId="78EAA2B3" w14:textId="78DD6548" w:rsidR="003F2BCF" w:rsidRPr="00116C61" w:rsidRDefault="003F2BCF" w:rsidP="00577AA2">
            <w:pPr>
              <w:spacing w:after="0" w:line="240" w:lineRule="auto"/>
              <w:jc w:val="center"/>
              <w:rPr>
                <w:rFonts w:eastAsia="Arial Unicode MS" w:cs="Times New Roman"/>
                <w:b/>
                <w:color w:val="17365D"/>
                <w:sz w:val="18"/>
                <w:szCs w:val="18"/>
                <w:highlight w:val="yellow"/>
              </w:rPr>
            </w:pPr>
          </w:p>
        </w:tc>
        <w:tc>
          <w:tcPr>
            <w:tcW w:w="3978" w:type="dxa"/>
            <w:gridSpan w:val="4"/>
            <w:tcBorders>
              <w:top w:val="single" w:sz="4" w:space="0" w:color="17365D"/>
            </w:tcBorders>
            <w:shd w:val="clear" w:color="auto" w:fill="B8CCE4" w:themeFill="accent1" w:themeFillTint="66"/>
          </w:tcPr>
          <w:p w14:paraId="2FE7E91A" w14:textId="4FB0609A" w:rsidR="003F2BCF" w:rsidRPr="008E569C" w:rsidRDefault="00BC42E6"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i</w:t>
            </w:r>
            <w:r w:rsidR="003F2BCF" w:rsidRPr="008E569C">
              <w:rPr>
                <w:rFonts w:eastAsia="Arial Unicode MS" w:cs="Times New Roman"/>
                <w:b/>
                <w:color w:val="17365D"/>
                <w:sz w:val="18"/>
                <w:szCs w:val="18"/>
              </w:rPr>
              <w:t>epriekšējā pārskata periodā</w:t>
            </w:r>
          </w:p>
        </w:tc>
      </w:tr>
      <w:tr w:rsidR="0057580F" w:rsidRPr="00F72A6E" w14:paraId="5367A77D" w14:textId="77777777" w:rsidTr="009A4177">
        <w:trPr>
          <w:trHeight w:val="680"/>
          <w:tblHeader/>
        </w:trPr>
        <w:tc>
          <w:tcPr>
            <w:tcW w:w="1702" w:type="dxa"/>
            <w:vMerge/>
            <w:tcBorders>
              <w:bottom w:val="single" w:sz="4" w:space="0" w:color="17365D"/>
            </w:tcBorders>
            <w:shd w:val="clear" w:color="auto" w:fill="B8CCE4" w:themeFill="accent1" w:themeFillTint="66"/>
            <w:vAlign w:val="center"/>
            <w:hideMark/>
          </w:tcPr>
          <w:p w14:paraId="1709BD0C" w14:textId="77777777" w:rsidR="0057580F" w:rsidRPr="00F72A6E" w:rsidRDefault="0057580F" w:rsidP="00577AA2">
            <w:pPr>
              <w:spacing w:after="0" w:line="240" w:lineRule="auto"/>
              <w:jc w:val="center"/>
              <w:rPr>
                <w:rFonts w:eastAsia="Arial Unicode MS" w:cs="Times New Roman"/>
                <w:color w:val="17365D"/>
                <w:sz w:val="18"/>
                <w:szCs w:val="18"/>
              </w:rPr>
            </w:pPr>
          </w:p>
        </w:tc>
        <w:tc>
          <w:tcPr>
            <w:tcW w:w="1134" w:type="dxa"/>
            <w:tcBorders>
              <w:bottom w:val="single" w:sz="4" w:space="0" w:color="17365D"/>
            </w:tcBorders>
            <w:shd w:val="clear" w:color="auto" w:fill="B8CCE4" w:themeFill="accent1" w:themeFillTint="66"/>
            <w:vAlign w:val="center"/>
            <w:hideMark/>
          </w:tcPr>
          <w:p w14:paraId="6BA6430F" w14:textId="274F076A" w:rsidR="0057580F" w:rsidRPr="00903A68" w:rsidRDefault="00024628" w:rsidP="00577AA2">
            <w:pPr>
              <w:spacing w:after="0" w:line="240" w:lineRule="auto"/>
              <w:ind w:right="-57"/>
              <w:jc w:val="center"/>
              <w:rPr>
                <w:rFonts w:eastAsia="Arial Unicode MS" w:cs="Times New Roman"/>
                <w:b/>
                <w:color w:val="17365D"/>
                <w:sz w:val="18"/>
                <w:szCs w:val="18"/>
              </w:rPr>
            </w:pPr>
            <w:r>
              <w:rPr>
                <w:rFonts w:eastAsia="Arial Unicode MS" w:cs="Times New Roman"/>
                <w:b/>
                <w:color w:val="17365D"/>
                <w:sz w:val="18"/>
                <w:szCs w:val="18"/>
              </w:rPr>
              <w:t>i</w:t>
            </w:r>
            <w:r w:rsidR="0057580F">
              <w:rPr>
                <w:rFonts w:eastAsia="Arial Unicode MS" w:cs="Times New Roman"/>
                <w:b/>
                <w:color w:val="17365D"/>
                <w:sz w:val="18"/>
                <w:szCs w:val="18"/>
              </w:rPr>
              <w:t>eņēmumi</w:t>
            </w:r>
            <w:r w:rsidR="0057580F" w:rsidRPr="008E569C">
              <w:rPr>
                <w:rFonts w:eastAsia="Arial Unicode MS" w:cs="Times New Roman"/>
                <w:b/>
                <w:color w:val="17365D"/>
                <w:sz w:val="18"/>
                <w:szCs w:val="18"/>
              </w:rPr>
              <w:t xml:space="preserve"> (</w:t>
            </w:r>
            <w:r w:rsidR="0057580F">
              <w:rPr>
                <w:rFonts w:eastAsia="Arial Unicode MS" w:cs="Times New Roman"/>
                <w:b/>
                <w:color w:val="17365D"/>
                <w:sz w:val="18"/>
                <w:szCs w:val="18"/>
              </w:rPr>
              <w:t>+</w:t>
            </w:r>
            <w:r w:rsidR="0057580F" w:rsidRPr="008E569C">
              <w:rPr>
                <w:rFonts w:eastAsia="Arial Unicode MS" w:cs="Times New Roman"/>
                <w:b/>
                <w:color w:val="17365D"/>
                <w:sz w:val="18"/>
                <w:szCs w:val="18"/>
              </w:rPr>
              <w:t>)</w:t>
            </w:r>
          </w:p>
        </w:tc>
        <w:tc>
          <w:tcPr>
            <w:tcW w:w="1091" w:type="dxa"/>
            <w:tcBorders>
              <w:bottom w:val="single" w:sz="4" w:space="0" w:color="17365D"/>
            </w:tcBorders>
            <w:shd w:val="clear" w:color="auto" w:fill="B8CCE4" w:themeFill="accent1" w:themeFillTint="66"/>
            <w:vAlign w:val="center"/>
          </w:tcPr>
          <w:p w14:paraId="64677E26" w14:textId="24EC670D" w:rsidR="0057580F" w:rsidRPr="008E569C" w:rsidRDefault="00024628" w:rsidP="00577AA2">
            <w:pPr>
              <w:spacing w:after="0" w:line="240" w:lineRule="auto"/>
              <w:ind w:left="-57" w:right="-57"/>
              <w:jc w:val="center"/>
              <w:rPr>
                <w:rFonts w:eastAsia="Arial Unicode MS" w:cs="Times New Roman"/>
                <w:b/>
                <w:color w:val="17365D"/>
                <w:sz w:val="18"/>
                <w:szCs w:val="18"/>
              </w:rPr>
            </w:pPr>
            <w:r>
              <w:rPr>
                <w:rFonts w:eastAsia="Arial Unicode MS" w:cs="Times New Roman"/>
                <w:b/>
                <w:color w:val="17365D"/>
                <w:sz w:val="18"/>
                <w:szCs w:val="18"/>
              </w:rPr>
              <w:t>i</w:t>
            </w:r>
            <w:r w:rsidR="0057580F" w:rsidRPr="008E569C">
              <w:rPr>
                <w:rFonts w:eastAsia="Arial Unicode MS" w:cs="Times New Roman"/>
                <w:b/>
                <w:color w:val="17365D"/>
                <w:sz w:val="18"/>
                <w:szCs w:val="18"/>
              </w:rPr>
              <w:t>zdevum</w:t>
            </w:r>
            <w:r w:rsidR="0057580F">
              <w:rPr>
                <w:rFonts w:eastAsia="Arial Unicode MS" w:cs="Times New Roman"/>
                <w:b/>
                <w:color w:val="17365D"/>
                <w:sz w:val="18"/>
                <w:szCs w:val="18"/>
              </w:rPr>
              <w:t>i</w:t>
            </w:r>
            <w:r w:rsidR="0057580F" w:rsidRPr="008E569C">
              <w:rPr>
                <w:rFonts w:eastAsia="Arial Unicode MS" w:cs="Times New Roman"/>
                <w:b/>
                <w:color w:val="17365D"/>
                <w:sz w:val="18"/>
                <w:szCs w:val="18"/>
              </w:rPr>
              <w:t xml:space="preserve"> (-)</w:t>
            </w:r>
          </w:p>
        </w:tc>
        <w:tc>
          <w:tcPr>
            <w:tcW w:w="610" w:type="dxa"/>
            <w:tcBorders>
              <w:bottom w:val="single" w:sz="4" w:space="0" w:color="17365D"/>
            </w:tcBorders>
            <w:shd w:val="clear" w:color="auto" w:fill="B8CCE4" w:themeFill="accent1" w:themeFillTint="66"/>
            <w:vAlign w:val="center"/>
            <w:hideMark/>
          </w:tcPr>
          <w:p w14:paraId="715F60A0" w14:textId="71C225E5" w:rsidR="0057580F" w:rsidRPr="00F72A6E" w:rsidRDefault="0057580F" w:rsidP="00577AA2">
            <w:pPr>
              <w:spacing w:after="0" w:line="240" w:lineRule="auto"/>
              <w:ind w:left="-57" w:right="-57"/>
              <w:jc w:val="center"/>
              <w:rPr>
                <w:rFonts w:eastAsia="Arial Unicode MS" w:cs="Times New Roman"/>
                <w:color w:val="17365D"/>
                <w:sz w:val="18"/>
                <w:szCs w:val="18"/>
              </w:rPr>
            </w:pPr>
            <w:r w:rsidRPr="008E569C">
              <w:rPr>
                <w:rFonts w:eastAsia="Arial Unicode MS" w:cs="Times New Roman"/>
                <w:b/>
                <w:color w:val="17365D"/>
                <w:sz w:val="18"/>
                <w:szCs w:val="18"/>
              </w:rPr>
              <w:t xml:space="preserve"> </w:t>
            </w:r>
            <w:proofErr w:type="spellStart"/>
            <w:r w:rsidR="00877D70">
              <w:rPr>
                <w:rFonts w:eastAsia="Arial Unicode MS" w:cs="Times New Roman"/>
                <w:b/>
                <w:color w:val="17365D"/>
                <w:sz w:val="18"/>
                <w:szCs w:val="18"/>
              </w:rPr>
              <w:t>r</w:t>
            </w:r>
            <w:r w:rsidRPr="008E569C">
              <w:rPr>
                <w:rFonts w:eastAsia="Arial Unicode MS" w:cs="Times New Roman"/>
                <w:b/>
                <w:color w:val="17365D"/>
                <w:sz w:val="18"/>
                <w:szCs w:val="18"/>
              </w:rPr>
              <w:t>ezer</w:t>
            </w:r>
            <w:proofErr w:type="spellEnd"/>
            <w:r w:rsidR="00877D70">
              <w:rPr>
                <w:rFonts w:eastAsia="Arial Unicode MS" w:cs="Times New Roman"/>
                <w:b/>
                <w:color w:val="17365D"/>
                <w:sz w:val="18"/>
                <w:szCs w:val="18"/>
              </w:rPr>
              <w:t>-</w:t>
            </w:r>
            <w:r w:rsidRPr="008E569C">
              <w:rPr>
                <w:rFonts w:eastAsia="Arial Unicode MS" w:cs="Times New Roman"/>
                <w:b/>
                <w:color w:val="17365D"/>
                <w:sz w:val="18"/>
                <w:szCs w:val="18"/>
              </w:rPr>
              <w:t>v</w:t>
            </w:r>
            <w:r>
              <w:rPr>
                <w:rFonts w:eastAsia="Arial Unicode MS" w:cs="Times New Roman"/>
                <w:b/>
                <w:color w:val="17365D"/>
                <w:sz w:val="18"/>
                <w:szCs w:val="18"/>
              </w:rPr>
              <w:t>e</w:t>
            </w:r>
            <w:r w:rsidRPr="008E569C">
              <w:rPr>
                <w:rFonts w:eastAsia="Arial Unicode MS" w:cs="Times New Roman"/>
                <w:b/>
                <w:color w:val="17365D"/>
                <w:sz w:val="18"/>
                <w:szCs w:val="18"/>
              </w:rPr>
              <w:t>s (+;-)</w:t>
            </w:r>
          </w:p>
        </w:tc>
        <w:tc>
          <w:tcPr>
            <w:tcW w:w="1041" w:type="dxa"/>
            <w:gridSpan w:val="2"/>
            <w:tcBorders>
              <w:bottom w:val="single" w:sz="4" w:space="0" w:color="17365D"/>
            </w:tcBorders>
            <w:shd w:val="clear" w:color="auto" w:fill="B8CCE4" w:themeFill="accent1" w:themeFillTint="66"/>
            <w:vAlign w:val="center"/>
            <w:hideMark/>
          </w:tcPr>
          <w:p w14:paraId="730ADEBF" w14:textId="0842DBE8" w:rsidR="0057580F" w:rsidRPr="008E569C" w:rsidRDefault="00024628"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k</w:t>
            </w:r>
            <w:r w:rsidR="0057580F" w:rsidRPr="008E569C">
              <w:rPr>
                <w:rFonts w:eastAsia="Arial Unicode MS" w:cs="Times New Roman"/>
                <w:b/>
                <w:color w:val="17365D"/>
                <w:sz w:val="18"/>
                <w:szCs w:val="18"/>
              </w:rPr>
              <w:t>opā</w:t>
            </w:r>
            <w:r w:rsidR="0057580F" w:rsidRPr="008E569C">
              <w:rPr>
                <w:rFonts w:eastAsia="Arial Unicode MS" w:cs="Times New Roman"/>
                <w:b/>
                <w:color w:val="17365D"/>
                <w:sz w:val="18"/>
                <w:szCs w:val="18"/>
              </w:rPr>
              <w:br/>
              <w:t>(1.+2.</w:t>
            </w:r>
            <w:r w:rsidR="0057580F">
              <w:rPr>
                <w:rFonts w:eastAsia="Arial Unicode MS" w:cs="Times New Roman"/>
                <w:b/>
                <w:color w:val="17365D"/>
                <w:sz w:val="18"/>
                <w:szCs w:val="18"/>
              </w:rPr>
              <w:t>+3.</w:t>
            </w:r>
            <w:r w:rsidR="0057580F" w:rsidRPr="008E569C">
              <w:rPr>
                <w:rFonts w:eastAsia="Arial Unicode MS" w:cs="Times New Roman"/>
                <w:b/>
                <w:color w:val="17365D"/>
                <w:sz w:val="18"/>
                <w:szCs w:val="18"/>
              </w:rPr>
              <w:t>)</w:t>
            </w:r>
          </w:p>
        </w:tc>
        <w:tc>
          <w:tcPr>
            <w:tcW w:w="1041" w:type="dxa"/>
            <w:gridSpan w:val="2"/>
            <w:tcBorders>
              <w:top w:val="single" w:sz="4" w:space="0" w:color="000000"/>
              <w:bottom w:val="single" w:sz="4" w:space="0" w:color="17365D"/>
            </w:tcBorders>
            <w:shd w:val="clear" w:color="auto" w:fill="B8CCE4" w:themeFill="accent1" w:themeFillTint="66"/>
            <w:vAlign w:val="center"/>
          </w:tcPr>
          <w:p w14:paraId="031032B6" w14:textId="4208CBA0" w:rsidR="0057580F" w:rsidRPr="008E569C" w:rsidRDefault="00024628"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i</w:t>
            </w:r>
            <w:r w:rsidR="0057580F">
              <w:rPr>
                <w:rFonts w:eastAsia="Arial Unicode MS" w:cs="Times New Roman"/>
                <w:b/>
                <w:color w:val="17365D"/>
                <w:sz w:val="18"/>
                <w:szCs w:val="18"/>
              </w:rPr>
              <w:t>eņēmumi</w:t>
            </w:r>
            <w:r w:rsidR="0057580F" w:rsidRPr="008E569C">
              <w:rPr>
                <w:rFonts w:eastAsia="Arial Unicode MS" w:cs="Times New Roman"/>
                <w:b/>
                <w:color w:val="17365D"/>
                <w:sz w:val="18"/>
                <w:szCs w:val="18"/>
              </w:rPr>
              <w:t xml:space="preserve"> (</w:t>
            </w:r>
            <w:r w:rsidR="0057580F">
              <w:rPr>
                <w:rFonts w:eastAsia="Arial Unicode MS" w:cs="Times New Roman"/>
                <w:b/>
                <w:color w:val="17365D"/>
                <w:sz w:val="18"/>
                <w:szCs w:val="18"/>
              </w:rPr>
              <w:t>+</w:t>
            </w:r>
            <w:r w:rsidR="0057580F" w:rsidRPr="008E569C">
              <w:rPr>
                <w:rFonts w:eastAsia="Arial Unicode MS" w:cs="Times New Roman"/>
                <w:b/>
                <w:color w:val="17365D"/>
                <w:sz w:val="18"/>
                <w:szCs w:val="18"/>
              </w:rPr>
              <w:t>)</w:t>
            </w:r>
          </w:p>
        </w:tc>
        <w:tc>
          <w:tcPr>
            <w:tcW w:w="1017" w:type="dxa"/>
            <w:tcBorders>
              <w:top w:val="single" w:sz="4" w:space="0" w:color="000000"/>
              <w:bottom w:val="single" w:sz="4" w:space="0" w:color="17365D"/>
            </w:tcBorders>
            <w:shd w:val="clear" w:color="auto" w:fill="B8CCE4" w:themeFill="accent1" w:themeFillTint="66"/>
            <w:vAlign w:val="center"/>
          </w:tcPr>
          <w:p w14:paraId="1F762432" w14:textId="3B883572" w:rsidR="0057580F" w:rsidRPr="008E569C" w:rsidRDefault="00024628" w:rsidP="00577AA2">
            <w:pPr>
              <w:spacing w:after="0" w:line="240" w:lineRule="auto"/>
              <w:ind w:left="-57" w:right="-113"/>
              <w:jc w:val="center"/>
              <w:rPr>
                <w:rFonts w:eastAsia="Arial Unicode MS" w:cs="Times New Roman"/>
                <w:b/>
                <w:color w:val="17365D"/>
                <w:sz w:val="18"/>
                <w:szCs w:val="18"/>
              </w:rPr>
            </w:pPr>
            <w:r>
              <w:rPr>
                <w:rFonts w:eastAsia="Arial Unicode MS" w:cs="Times New Roman"/>
                <w:b/>
                <w:color w:val="17365D"/>
                <w:sz w:val="18"/>
                <w:szCs w:val="18"/>
              </w:rPr>
              <w:t>i</w:t>
            </w:r>
            <w:r w:rsidR="0057580F" w:rsidRPr="008E569C">
              <w:rPr>
                <w:rFonts w:eastAsia="Arial Unicode MS" w:cs="Times New Roman"/>
                <w:b/>
                <w:color w:val="17365D"/>
                <w:sz w:val="18"/>
                <w:szCs w:val="18"/>
              </w:rPr>
              <w:t>zdevum</w:t>
            </w:r>
            <w:r w:rsidR="0057580F">
              <w:rPr>
                <w:rFonts w:eastAsia="Arial Unicode MS" w:cs="Times New Roman"/>
                <w:b/>
                <w:color w:val="17365D"/>
                <w:sz w:val="18"/>
                <w:szCs w:val="18"/>
              </w:rPr>
              <w:t>i</w:t>
            </w:r>
            <w:r w:rsidR="0057580F" w:rsidRPr="008E569C">
              <w:rPr>
                <w:rFonts w:eastAsia="Arial Unicode MS" w:cs="Times New Roman"/>
                <w:b/>
                <w:color w:val="17365D"/>
                <w:sz w:val="18"/>
                <w:szCs w:val="18"/>
              </w:rPr>
              <w:t xml:space="preserve"> (-)</w:t>
            </w:r>
          </w:p>
        </w:tc>
        <w:tc>
          <w:tcPr>
            <w:tcW w:w="1009" w:type="dxa"/>
            <w:tcBorders>
              <w:top w:val="single" w:sz="4" w:space="0" w:color="000000"/>
              <w:bottom w:val="single" w:sz="4" w:space="0" w:color="17365D"/>
            </w:tcBorders>
            <w:shd w:val="clear" w:color="auto" w:fill="B8CCE4" w:themeFill="accent1" w:themeFillTint="66"/>
            <w:vAlign w:val="center"/>
          </w:tcPr>
          <w:p w14:paraId="12574EDD" w14:textId="3CE2320A" w:rsidR="0057580F" w:rsidRPr="008E569C" w:rsidRDefault="00024628" w:rsidP="00577AA2">
            <w:pPr>
              <w:spacing w:after="0" w:line="240" w:lineRule="auto"/>
              <w:ind w:left="-57" w:right="-113"/>
              <w:jc w:val="center"/>
              <w:rPr>
                <w:rFonts w:eastAsia="Arial Unicode MS" w:cs="Times New Roman"/>
                <w:b/>
                <w:color w:val="17365D"/>
                <w:sz w:val="18"/>
                <w:szCs w:val="18"/>
              </w:rPr>
            </w:pPr>
            <w:r>
              <w:rPr>
                <w:rFonts w:eastAsia="Arial Unicode MS" w:cs="Times New Roman"/>
                <w:b/>
                <w:color w:val="17365D"/>
                <w:sz w:val="18"/>
                <w:szCs w:val="18"/>
              </w:rPr>
              <w:t>r</w:t>
            </w:r>
            <w:r w:rsidR="0057580F" w:rsidRPr="008E569C">
              <w:rPr>
                <w:rFonts w:eastAsia="Arial Unicode MS" w:cs="Times New Roman"/>
                <w:b/>
                <w:color w:val="17365D"/>
                <w:sz w:val="18"/>
                <w:szCs w:val="18"/>
              </w:rPr>
              <w:t>ezerv</w:t>
            </w:r>
            <w:r w:rsidR="0057580F">
              <w:rPr>
                <w:rFonts w:eastAsia="Arial Unicode MS" w:cs="Times New Roman"/>
                <w:b/>
                <w:color w:val="17365D"/>
                <w:sz w:val="18"/>
                <w:szCs w:val="18"/>
              </w:rPr>
              <w:t>e</w:t>
            </w:r>
            <w:r w:rsidR="0057580F" w:rsidRPr="008E569C">
              <w:rPr>
                <w:rFonts w:eastAsia="Arial Unicode MS" w:cs="Times New Roman"/>
                <w:b/>
                <w:color w:val="17365D"/>
                <w:sz w:val="18"/>
                <w:szCs w:val="18"/>
              </w:rPr>
              <w:t>s (+;-)</w:t>
            </w:r>
          </w:p>
        </w:tc>
        <w:tc>
          <w:tcPr>
            <w:tcW w:w="1004" w:type="dxa"/>
            <w:tcBorders>
              <w:top w:val="single" w:sz="4" w:space="0" w:color="000000"/>
              <w:bottom w:val="single" w:sz="4" w:space="0" w:color="17365D"/>
            </w:tcBorders>
            <w:shd w:val="clear" w:color="auto" w:fill="B8CCE4" w:themeFill="accent1" w:themeFillTint="66"/>
            <w:vAlign w:val="center"/>
          </w:tcPr>
          <w:p w14:paraId="3A791D59" w14:textId="77777777" w:rsidR="0057580F" w:rsidRPr="008E569C" w:rsidRDefault="0057580F" w:rsidP="00577AA2">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kopā</w:t>
            </w:r>
            <w:r w:rsidRPr="008E569C">
              <w:rPr>
                <w:rFonts w:eastAsia="Arial Unicode MS" w:cs="Times New Roman"/>
                <w:b/>
                <w:color w:val="17365D"/>
                <w:sz w:val="18"/>
                <w:szCs w:val="18"/>
              </w:rPr>
              <w:br/>
              <w:t>(</w:t>
            </w:r>
            <w:r>
              <w:rPr>
                <w:rFonts w:eastAsia="Arial Unicode MS" w:cs="Times New Roman"/>
                <w:b/>
                <w:color w:val="17365D"/>
                <w:sz w:val="18"/>
                <w:szCs w:val="18"/>
              </w:rPr>
              <w:t>5</w:t>
            </w:r>
            <w:r w:rsidRPr="008E569C">
              <w:rPr>
                <w:rFonts w:eastAsia="Arial Unicode MS" w:cs="Times New Roman"/>
                <w:b/>
                <w:color w:val="17365D"/>
                <w:sz w:val="18"/>
                <w:szCs w:val="18"/>
              </w:rPr>
              <w:t>.+</w:t>
            </w:r>
            <w:r>
              <w:rPr>
                <w:rFonts w:eastAsia="Arial Unicode MS" w:cs="Times New Roman"/>
                <w:b/>
                <w:color w:val="17365D"/>
                <w:sz w:val="18"/>
                <w:szCs w:val="18"/>
              </w:rPr>
              <w:t>6</w:t>
            </w:r>
            <w:r w:rsidRPr="008E569C">
              <w:rPr>
                <w:rFonts w:eastAsia="Arial Unicode MS" w:cs="Times New Roman"/>
                <w:b/>
                <w:color w:val="17365D"/>
                <w:sz w:val="18"/>
                <w:szCs w:val="18"/>
              </w:rPr>
              <w:t>.</w:t>
            </w:r>
            <w:r>
              <w:rPr>
                <w:rFonts w:eastAsia="Arial Unicode MS" w:cs="Times New Roman"/>
                <w:b/>
                <w:color w:val="17365D"/>
                <w:sz w:val="18"/>
                <w:szCs w:val="18"/>
              </w:rPr>
              <w:t>+7.</w:t>
            </w:r>
            <w:r w:rsidRPr="008E569C">
              <w:rPr>
                <w:rFonts w:eastAsia="Arial Unicode MS" w:cs="Times New Roman"/>
                <w:b/>
                <w:color w:val="17365D"/>
                <w:sz w:val="18"/>
                <w:szCs w:val="18"/>
              </w:rPr>
              <w:t>)</w:t>
            </w:r>
          </w:p>
        </w:tc>
      </w:tr>
      <w:tr w:rsidR="0057580F" w:rsidRPr="005E030D" w14:paraId="49BCF46F" w14:textId="77777777" w:rsidTr="00877D70">
        <w:trPr>
          <w:trHeight w:val="138"/>
          <w:tblHeader/>
        </w:trPr>
        <w:tc>
          <w:tcPr>
            <w:tcW w:w="1702" w:type="dxa"/>
            <w:tcBorders>
              <w:top w:val="single" w:sz="4" w:space="0" w:color="17365D"/>
              <w:bottom w:val="single" w:sz="4" w:space="0" w:color="000000"/>
            </w:tcBorders>
            <w:shd w:val="clear" w:color="auto" w:fill="auto"/>
            <w:vAlign w:val="center"/>
            <w:hideMark/>
          </w:tcPr>
          <w:p w14:paraId="4A913D2D"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A</w:t>
            </w:r>
          </w:p>
        </w:tc>
        <w:tc>
          <w:tcPr>
            <w:tcW w:w="1134" w:type="dxa"/>
            <w:tcBorders>
              <w:top w:val="single" w:sz="4" w:space="0" w:color="17365D"/>
              <w:bottom w:val="single" w:sz="4" w:space="0" w:color="000000"/>
            </w:tcBorders>
            <w:shd w:val="clear" w:color="auto" w:fill="auto"/>
            <w:vAlign w:val="center"/>
            <w:hideMark/>
          </w:tcPr>
          <w:p w14:paraId="40E4CE39" w14:textId="77777777" w:rsidR="0057580F" w:rsidRPr="005E030D" w:rsidRDefault="0057580F" w:rsidP="00577AA2">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1</w:t>
            </w:r>
          </w:p>
        </w:tc>
        <w:tc>
          <w:tcPr>
            <w:tcW w:w="1091" w:type="dxa"/>
            <w:tcBorders>
              <w:top w:val="single" w:sz="4" w:space="0" w:color="17365D"/>
              <w:bottom w:val="single" w:sz="4" w:space="0" w:color="000000"/>
            </w:tcBorders>
            <w:vAlign w:val="center"/>
          </w:tcPr>
          <w:p w14:paraId="24C8499C"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2</w:t>
            </w:r>
          </w:p>
        </w:tc>
        <w:tc>
          <w:tcPr>
            <w:tcW w:w="610" w:type="dxa"/>
            <w:tcBorders>
              <w:top w:val="single" w:sz="4" w:space="0" w:color="17365D"/>
              <w:bottom w:val="single" w:sz="4" w:space="0" w:color="000000"/>
            </w:tcBorders>
            <w:shd w:val="clear" w:color="auto" w:fill="auto"/>
            <w:vAlign w:val="center"/>
            <w:hideMark/>
          </w:tcPr>
          <w:p w14:paraId="32BCA48A"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3</w:t>
            </w:r>
          </w:p>
        </w:tc>
        <w:tc>
          <w:tcPr>
            <w:tcW w:w="1041" w:type="dxa"/>
            <w:gridSpan w:val="2"/>
            <w:tcBorders>
              <w:top w:val="single" w:sz="4" w:space="0" w:color="17365D"/>
              <w:bottom w:val="single" w:sz="4" w:space="0" w:color="000000"/>
            </w:tcBorders>
            <w:shd w:val="clear" w:color="auto" w:fill="auto"/>
            <w:vAlign w:val="center"/>
            <w:hideMark/>
          </w:tcPr>
          <w:p w14:paraId="0A0104D3"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4</w:t>
            </w:r>
          </w:p>
        </w:tc>
        <w:tc>
          <w:tcPr>
            <w:tcW w:w="1041" w:type="dxa"/>
            <w:gridSpan w:val="2"/>
            <w:tcBorders>
              <w:top w:val="single" w:sz="4" w:space="0" w:color="17365D"/>
              <w:bottom w:val="single" w:sz="4" w:space="0" w:color="000000"/>
            </w:tcBorders>
            <w:shd w:val="clear" w:color="auto" w:fill="auto"/>
            <w:vAlign w:val="center"/>
          </w:tcPr>
          <w:p w14:paraId="6422B917"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5</w:t>
            </w:r>
          </w:p>
        </w:tc>
        <w:tc>
          <w:tcPr>
            <w:tcW w:w="1017" w:type="dxa"/>
            <w:tcBorders>
              <w:top w:val="single" w:sz="4" w:space="0" w:color="17365D"/>
              <w:bottom w:val="single" w:sz="4" w:space="0" w:color="000000"/>
            </w:tcBorders>
            <w:vAlign w:val="center"/>
          </w:tcPr>
          <w:p w14:paraId="2323882A"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6</w:t>
            </w:r>
          </w:p>
        </w:tc>
        <w:tc>
          <w:tcPr>
            <w:tcW w:w="1009" w:type="dxa"/>
            <w:tcBorders>
              <w:top w:val="single" w:sz="4" w:space="0" w:color="17365D"/>
              <w:bottom w:val="single" w:sz="4" w:space="0" w:color="000000"/>
            </w:tcBorders>
            <w:shd w:val="clear" w:color="auto" w:fill="auto"/>
            <w:vAlign w:val="center"/>
          </w:tcPr>
          <w:p w14:paraId="252B80D0"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7</w:t>
            </w:r>
          </w:p>
        </w:tc>
        <w:tc>
          <w:tcPr>
            <w:tcW w:w="1004" w:type="dxa"/>
            <w:tcBorders>
              <w:top w:val="single" w:sz="4" w:space="0" w:color="17365D"/>
              <w:bottom w:val="single" w:sz="4" w:space="0" w:color="000000"/>
            </w:tcBorders>
            <w:shd w:val="clear" w:color="auto" w:fill="auto"/>
            <w:vAlign w:val="center"/>
          </w:tcPr>
          <w:p w14:paraId="10F95EF7" w14:textId="77777777" w:rsidR="0057580F" w:rsidRPr="005E030D" w:rsidRDefault="0057580F" w:rsidP="00577AA2">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8</w:t>
            </w:r>
          </w:p>
        </w:tc>
      </w:tr>
      <w:tr w:rsidR="0057580F" w:rsidRPr="00F72A6E" w14:paraId="5EC8C966" w14:textId="77777777" w:rsidTr="00877D70">
        <w:trPr>
          <w:trHeight w:val="255"/>
        </w:trPr>
        <w:tc>
          <w:tcPr>
            <w:tcW w:w="1702" w:type="dxa"/>
            <w:tcBorders>
              <w:top w:val="single" w:sz="4" w:space="0" w:color="000000"/>
              <w:bottom w:val="single" w:sz="4" w:space="0" w:color="000000"/>
            </w:tcBorders>
            <w:shd w:val="clear" w:color="auto" w:fill="auto"/>
            <w:vAlign w:val="center"/>
            <w:hideMark/>
          </w:tcPr>
          <w:p w14:paraId="02E8534E" w14:textId="77777777" w:rsidR="00941F23" w:rsidRDefault="0057580F" w:rsidP="00577AA2">
            <w:pPr>
              <w:spacing w:after="0" w:line="240" w:lineRule="auto"/>
              <w:rPr>
                <w:rFonts w:eastAsia="Arial Unicode MS" w:cs="Times New Roman"/>
                <w:color w:val="17365D"/>
                <w:sz w:val="18"/>
                <w:szCs w:val="18"/>
              </w:rPr>
            </w:pPr>
            <w:r w:rsidRPr="00F72A6E">
              <w:rPr>
                <w:rFonts w:eastAsia="Arial Unicode MS" w:cs="Times New Roman"/>
                <w:color w:val="17365D"/>
                <w:sz w:val="18"/>
                <w:szCs w:val="18"/>
              </w:rPr>
              <w:t>Finan</w:t>
            </w:r>
            <w:r>
              <w:rPr>
                <w:rFonts w:eastAsia="Arial Unicode MS" w:cs="Times New Roman"/>
                <w:color w:val="17365D"/>
                <w:sz w:val="18"/>
                <w:szCs w:val="18"/>
              </w:rPr>
              <w:t>šu aktīvi/</w:t>
            </w:r>
          </w:p>
          <w:p w14:paraId="70FA23D5" w14:textId="65658691" w:rsidR="0057580F" w:rsidRPr="00F72A6E" w:rsidRDefault="0057580F" w:rsidP="00577AA2">
            <w:pPr>
              <w:spacing w:after="0" w:line="240" w:lineRule="auto"/>
              <w:rPr>
                <w:rFonts w:eastAsia="Arial Unicode MS" w:cs="Times New Roman"/>
                <w:color w:val="17365D"/>
                <w:sz w:val="18"/>
                <w:szCs w:val="18"/>
              </w:rPr>
            </w:pPr>
            <w:r>
              <w:rPr>
                <w:rFonts w:eastAsia="Arial Unicode MS" w:cs="Times New Roman"/>
                <w:color w:val="17365D"/>
                <w:sz w:val="18"/>
                <w:szCs w:val="18"/>
              </w:rPr>
              <w:t>Atvasinātie finanšu instrumenti, kas noteikti kā riska ierobežošanas instrumenti</w:t>
            </w:r>
          </w:p>
        </w:tc>
        <w:tc>
          <w:tcPr>
            <w:tcW w:w="1134" w:type="dxa"/>
            <w:tcBorders>
              <w:top w:val="single" w:sz="4" w:space="0" w:color="000000"/>
              <w:bottom w:val="single" w:sz="4" w:space="0" w:color="000000"/>
            </w:tcBorders>
            <w:shd w:val="clear" w:color="auto" w:fill="auto"/>
            <w:vAlign w:val="center"/>
            <w:hideMark/>
          </w:tcPr>
          <w:p w14:paraId="473D9698" w14:textId="77777777" w:rsidR="0057580F" w:rsidRPr="00090B97" w:rsidRDefault="0057580F" w:rsidP="00577AA2">
            <w:pPr>
              <w:spacing w:after="0" w:line="240" w:lineRule="auto"/>
              <w:jc w:val="right"/>
              <w:rPr>
                <w:rFonts w:eastAsia="Arial Unicode MS" w:cs="Times New Roman"/>
                <w:bCs/>
                <w:color w:val="17365D"/>
                <w:sz w:val="18"/>
                <w:szCs w:val="18"/>
              </w:rPr>
            </w:pPr>
            <w:r w:rsidRPr="00090B97">
              <w:rPr>
                <w:rFonts w:eastAsia="Arial Unicode MS" w:cs="Times New Roman"/>
                <w:bCs/>
                <w:color w:val="17365D"/>
                <w:sz w:val="18"/>
                <w:szCs w:val="18"/>
              </w:rPr>
              <w:t>43 503 564</w:t>
            </w:r>
          </w:p>
        </w:tc>
        <w:tc>
          <w:tcPr>
            <w:tcW w:w="1091" w:type="dxa"/>
            <w:tcBorders>
              <w:top w:val="single" w:sz="4" w:space="0" w:color="000000"/>
              <w:bottom w:val="single" w:sz="4" w:space="0" w:color="000000"/>
            </w:tcBorders>
            <w:vAlign w:val="center"/>
          </w:tcPr>
          <w:p w14:paraId="20C71492" w14:textId="77777777" w:rsidR="0057580F" w:rsidRPr="00090B97" w:rsidRDefault="0057580F" w:rsidP="00577AA2">
            <w:pPr>
              <w:spacing w:after="0" w:line="240" w:lineRule="auto"/>
              <w:jc w:val="right"/>
              <w:rPr>
                <w:rFonts w:eastAsia="Arial Unicode MS" w:cs="Times New Roman"/>
                <w:bCs/>
                <w:color w:val="17365D"/>
                <w:sz w:val="18"/>
                <w:szCs w:val="18"/>
              </w:rPr>
            </w:pPr>
            <w:r w:rsidRPr="00090B97">
              <w:rPr>
                <w:rFonts w:eastAsia="Arial Unicode MS" w:cs="Times New Roman"/>
                <w:bCs/>
                <w:color w:val="17365D"/>
                <w:sz w:val="18"/>
                <w:szCs w:val="18"/>
              </w:rPr>
              <w:t>-18 511 252</w:t>
            </w:r>
          </w:p>
        </w:tc>
        <w:tc>
          <w:tcPr>
            <w:tcW w:w="610" w:type="dxa"/>
            <w:tcBorders>
              <w:top w:val="single" w:sz="4" w:space="0" w:color="000000"/>
              <w:bottom w:val="single" w:sz="4" w:space="0" w:color="000000"/>
            </w:tcBorders>
            <w:shd w:val="clear" w:color="auto" w:fill="auto"/>
            <w:vAlign w:val="center"/>
            <w:hideMark/>
          </w:tcPr>
          <w:p w14:paraId="106CE63B" w14:textId="77777777" w:rsidR="0057580F" w:rsidRPr="00090B97" w:rsidRDefault="0057580F" w:rsidP="00577AA2">
            <w:pPr>
              <w:spacing w:after="0" w:line="240" w:lineRule="auto"/>
              <w:jc w:val="right"/>
              <w:rPr>
                <w:rFonts w:eastAsia="Arial Unicode MS" w:cs="Times New Roman"/>
                <w:bCs/>
                <w:color w:val="17365D"/>
                <w:sz w:val="18"/>
                <w:szCs w:val="18"/>
              </w:rPr>
            </w:pPr>
            <w:r w:rsidRPr="00090B97">
              <w:rPr>
                <w:rFonts w:eastAsia="Arial Unicode MS" w:cs="Times New Roman"/>
                <w:bCs/>
                <w:color w:val="17365D"/>
                <w:sz w:val="18"/>
                <w:szCs w:val="18"/>
              </w:rPr>
              <w:t>0</w:t>
            </w:r>
          </w:p>
        </w:tc>
        <w:tc>
          <w:tcPr>
            <w:tcW w:w="1041" w:type="dxa"/>
            <w:gridSpan w:val="2"/>
            <w:tcBorders>
              <w:top w:val="single" w:sz="4" w:space="0" w:color="000000"/>
              <w:bottom w:val="single" w:sz="4" w:space="0" w:color="000000"/>
            </w:tcBorders>
            <w:shd w:val="clear" w:color="auto" w:fill="auto"/>
            <w:vAlign w:val="center"/>
            <w:hideMark/>
          </w:tcPr>
          <w:p w14:paraId="3CC919F5" w14:textId="77777777" w:rsidR="0057580F" w:rsidRPr="00090B97" w:rsidRDefault="0057580F" w:rsidP="00577AA2">
            <w:pPr>
              <w:spacing w:after="0" w:line="240" w:lineRule="auto"/>
              <w:jc w:val="right"/>
              <w:rPr>
                <w:rFonts w:eastAsia="Arial Unicode MS" w:cs="Times New Roman"/>
                <w:bCs/>
                <w:color w:val="17365D"/>
                <w:sz w:val="18"/>
                <w:szCs w:val="18"/>
              </w:rPr>
            </w:pPr>
            <w:r>
              <w:rPr>
                <w:rFonts w:eastAsia="Arial Unicode MS" w:cs="Times New Roman"/>
                <w:bCs/>
                <w:color w:val="17365D"/>
                <w:sz w:val="18"/>
                <w:szCs w:val="18"/>
              </w:rPr>
              <w:t>24 992 312</w:t>
            </w:r>
          </w:p>
        </w:tc>
        <w:tc>
          <w:tcPr>
            <w:tcW w:w="1041" w:type="dxa"/>
            <w:gridSpan w:val="2"/>
            <w:tcBorders>
              <w:top w:val="single" w:sz="4" w:space="0" w:color="000000"/>
              <w:bottom w:val="single" w:sz="4" w:space="0" w:color="000000"/>
            </w:tcBorders>
            <w:shd w:val="clear" w:color="auto" w:fill="auto"/>
            <w:vAlign w:val="center"/>
          </w:tcPr>
          <w:p w14:paraId="09F5B282" w14:textId="77777777" w:rsidR="0057580F" w:rsidRPr="00090B97" w:rsidRDefault="0057580F" w:rsidP="00577AA2">
            <w:pPr>
              <w:spacing w:after="0" w:line="240" w:lineRule="auto"/>
              <w:jc w:val="right"/>
              <w:rPr>
                <w:rFonts w:eastAsia="Arial Unicode MS" w:cs="Times New Roman"/>
                <w:bCs/>
                <w:color w:val="17365D"/>
                <w:sz w:val="18"/>
                <w:szCs w:val="18"/>
              </w:rPr>
            </w:pPr>
            <w:r>
              <w:rPr>
                <w:rFonts w:eastAsia="Arial Unicode MS" w:cs="Times New Roman"/>
                <w:bCs/>
                <w:color w:val="17365D"/>
                <w:sz w:val="18"/>
                <w:szCs w:val="18"/>
              </w:rPr>
              <w:t>977 529</w:t>
            </w:r>
          </w:p>
        </w:tc>
        <w:tc>
          <w:tcPr>
            <w:tcW w:w="1017" w:type="dxa"/>
            <w:tcBorders>
              <w:top w:val="single" w:sz="4" w:space="0" w:color="000000"/>
              <w:bottom w:val="single" w:sz="4" w:space="0" w:color="000000"/>
            </w:tcBorders>
            <w:vAlign w:val="center"/>
          </w:tcPr>
          <w:p w14:paraId="31CDEB49" w14:textId="77777777" w:rsidR="0057580F" w:rsidRPr="00090B97" w:rsidRDefault="0057580F" w:rsidP="00577AA2">
            <w:pPr>
              <w:spacing w:after="0" w:line="240" w:lineRule="auto"/>
              <w:jc w:val="right"/>
              <w:rPr>
                <w:rFonts w:eastAsia="Arial Unicode MS" w:cs="Times New Roman"/>
                <w:bCs/>
                <w:color w:val="17365D"/>
                <w:sz w:val="18"/>
                <w:szCs w:val="18"/>
              </w:rPr>
            </w:pPr>
            <w:r>
              <w:rPr>
                <w:rFonts w:eastAsia="Arial Unicode MS" w:cs="Times New Roman"/>
                <w:bCs/>
                <w:color w:val="17365D"/>
                <w:sz w:val="18"/>
                <w:szCs w:val="18"/>
              </w:rPr>
              <w:t>-1 156 793</w:t>
            </w:r>
          </w:p>
        </w:tc>
        <w:tc>
          <w:tcPr>
            <w:tcW w:w="1009" w:type="dxa"/>
            <w:tcBorders>
              <w:top w:val="single" w:sz="4" w:space="0" w:color="000000"/>
              <w:bottom w:val="single" w:sz="4" w:space="0" w:color="000000"/>
            </w:tcBorders>
            <w:shd w:val="clear" w:color="auto" w:fill="auto"/>
            <w:vAlign w:val="center"/>
          </w:tcPr>
          <w:p w14:paraId="43C822FD" w14:textId="77777777" w:rsidR="0057580F" w:rsidRPr="00090B97" w:rsidRDefault="0057580F" w:rsidP="00577AA2">
            <w:pPr>
              <w:spacing w:after="0" w:line="240" w:lineRule="auto"/>
              <w:jc w:val="right"/>
              <w:rPr>
                <w:rFonts w:eastAsia="Arial Unicode MS" w:cs="Times New Roman"/>
                <w:bCs/>
                <w:color w:val="17365D"/>
                <w:sz w:val="18"/>
                <w:szCs w:val="18"/>
              </w:rPr>
            </w:pPr>
            <w:r>
              <w:rPr>
                <w:rFonts w:eastAsia="Arial Unicode MS" w:cs="Times New Roman"/>
                <w:bCs/>
                <w:color w:val="17365D"/>
                <w:sz w:val="18"/>
                <w:szCs w:val="18"/>
              </w:rPr>
              <w:t>-1 047 707</w:t>
            </w:r>
          </w:p>
        </w:tc>
        <w:tc>
          <w:tcPr>
            <w:tcW w:w="1004" w:type="dxa"/>
            <w:tcBorders>
              <w:top w:val="single" w:sz="4" w:space="0" w:color="000000"/>
              <w:bottom w:val="single" w:sz="4" w:space="0" w:color="000000"/>
            </w:tcBorders>
            <w:shd w:val="clear" w:color="auto" w:fill="auto"/>
            <w:vAlign w:val="center"/>
          </w:tcPr>
          <w:p w14:paraId="6FF32B15" w14:textId="77777777" w:rsidR="0057580F" w:rsidRPr="00090B97" w:rsidRDefault="0057580F" w:rsidP="00577AA2">
            <w:pPr>
              <w:spacing w:after="0" w:line="240" w:lineRule="auto"/>
              <w:jc w:val="right"/>
              <w:rPr>
                <w:rFonts w:eastAsia="Arial Unicode MS" w:cs="Times New Roman"/>
                <w:bCs/>
                <w:color w:val="17365D"/>
                <w:sz w:val="18"/>
                <w:szCs w:val="18"/>
              </w:rPr>
            </w:pPr>
            <w:r>
              <w:rPr>
                <w:rFonts w:eastAsia="Arial Unicode MS" w:cs="Times New Roman"/>
                <w:bCs/>
                <w:color w:val="17365D"/>
                <w:sz w:val="18"/>
                <w:szCs w:val="18"/>
              </w:rPr>
              <w:t>-1 226 971</w:t>
            </w:r>
          </w:p>
        </w:tc>
      </w:tr>
      <w:tr w:rsidR="002A38C1" w:rsidRPr="00F72A6E" w14:paraId="48866AA6" w14:textId="77777777" w:rsidTr="003F2BCF">
        <w:trPr>
          <w:trHeight w:val="214"/>
        </w:trPr>
        <w:tc>
          <w:tcPr>
            <w:tcW w:w="9649" w:type="dxa"/>
            <w:gridSpan w:val="11"/>
            <w:tcBorders>
              <w:top w:val="single" w:sz="4" w:space="0" w:color="17365D"/>
            </w:tcBorders>
            <w:shd w:val="clear" w:color="auto" w:fill="B8CCE4" w:themeFill="accent1" w:themeFillTint="66"/>
            <w:vAlign w:val="center"/>
          </w:tcPr>
          <w:p w14:paraId="384BA1AE" w14:textId="77777777" w:rsidR="002A38C1" w:rsidRPr="00A27896" w:rsidRDefault="002A38C1" w:rsidP="00577AA2">
            <w:pPr>
              <w:spacing w:after="0" w:line="240" w:lineRule="auto"/>
              <w:jc w:val="right"/>
              <w:rPr>
                <w:rFonts w:eastAsia="Arial Unicode MS" w:cs="Times New Roman"/>
                <w:color w:val="17365D"/>
                <w:sz w:val="18"/>
                <w:szCs w:val="18"/>
              </w:rPr>
            </w:pPr>
          </w:p>
        </w:tc>
      </w:tr>
    </w:tbl>
    <w:p w14:paraId="54222072" w14:textId="7768EBA7" w:rsidR="00B1750B" w:rsidRDefault="00B1750B" w:rsidP="00B1750B">
      <w:pPr>
        <w:pStyle w:val="Heading3"/>
      </w:pPr>
      <w:r w:rsidRPr="00FF3D75">
        <w:lastRenderedPageBreak/>
        <w:t xml:space="preserve">Skaidrojumi finansiālās darbības pārskata posteņu </w:t>
      </w:r>
      <w:r w:rsidR="003A2813">
        <w:t xml:space="preserve">korekcijai, </w:t>
      </w:r>
      <w:r w:rsidRPr="00FF3D75">
        <w:t>konsolidācijai</w:t>
      </w:r>
      <w:r w:rsidR="003A2813">
        <w:t xml:space="preserve"> un salīdzinošās informācijas maiņai</w:t>
      </w:r>
    </w:p>
    <w:p w14:paraId="3B23482D" w14:textId="666BEE73" w:rsidR="0057580F" w:rsidRDefault="0057580F" w:rsidP="002A2F6E">
      <w:pPr>
        <w:pStyle w:val="Pamatteksts1"/>
        <w:rPr>
          <w:noProof/>
          <w:lang w:eastAsia="lv-LV"/>
        </w:rPr>
      </w:pPr>
      <w:r w:rsidRPr="00587EA8">
        <w:rPr>
          <w:lang w:eastAsia="lv-LV"/>
        </w:rPr>
        <w:t>Konsolidētā pārskata</w:t>
      </w:r>
      <w:r w:rsidRPr="00587EA8" w:rsidDel="00550C21">
        <w:rPr>
          <w:iCs/>
        </w:rPr>
        <w:t xml:space="preserve"> </w:t>
      </w:r>
      <w:r w:rsidRPr="00587EA8" w:rsidDel="00550C21">
        <w:rPr>
          <w:iCs/>
          <w:lang w:eastAsia="lv-LV"/>
        </w:rPr>
        <w:t>par darbības finansiālajiem rezultātiem</w:t>
      </w:r>
      <w:r w:rsidRPr="00587EA8">
        <w:rPr>
          <w:noProof/>
          <w:lang w:eastAsia="lv-LV"/>
        </w:rPr>
        <w:t xml:space="preserve"> </w:t>
      </w:r>
      <w:r>
        <w:rPr>
          <w:noProof/>
          <w:lang w:eastAsia="lv-LV"/>
        </w:rPr>
        <w:t>ieņēmumu posteņu korekcija</w:t>
      </w:r>
      <w:r w:rsidR="003A2813">
        <w:rPr>
          <w:noProof/>
          <w:lang w:eastAsia="lv-LV"/>
        </w:rPr>
        <w:t>, konsolidācija</w:t>
      </w:r>
      <w:r>
        <w:rPr>
          <w:noProof/>
          <w:lang w:eastAsia="lv-LV"/>
        </w:rPr>
        <w:t xml:space="preserve"> un salīdzinošās informācijas maiņa </w:t>
      </w:r>
      <w:r w:rsidRPr="00587EA8">
        <w:rPr>
          <w:noProof/>
          <w:lang w:eastAsia="lv-LV"/>
        </w:rPr>
        <w:t xml:space="preserve">uzrādītas </w:t>
      </w:r>
      <w:r>
        <w:rPr>
          <w:noProof/>
          <w:lang w:eastAsia="lv-LV"/>
        </w:rPr>
        <w:t>2.13</w:t>
      </w:r>
      <w:r w:rsidRPr="009C6F0C">
        <w:rPr>
          <w:noProof/>
          <w:lang w:eastAsia="lv-LV"/>
        </w:rPr>
        <w:t>. tabulā.</w:t>
      </w:r>
    </w:p>
    <w:p w14:paraId="3C43A55C" w14:textId="6CC4D350" w:rsidR="00B1750B" w:rsidRPr="00F10EFD" w:rsidRDefault="00B1750B" w:rsidP="00A3678F">
      <w:pPr>
        <w:spacing w:after="0" w:line="240" w:lineRule="auto"/>
        <w:ind w:firstLine="2977"/>
        <w:jc w:val="right"/>
        <w:rPr>
          <w:rFonts w:eastAsia="Arial Unicode MS" w:cs="Times New Roman"/>
          <w:i/>
          <w:color w:val="17365D"/>
          <w:sz w:val="20"/>
          <w:szCs w:val="24"/>
        </w:rPr>
      </w:pPr>
      <w:r>
        <w:rPr>
          <w:rFonts w:eastAsia="Arial Unicode MS" w:cs="Times New Roman"/>
          <w:i/>
          <w:color w:val="17365D"/>
          <w:sz w:val="20"/>
          <w:szCs w:val="24"/>
        </w:rPr>
        <w:t>2.1</w:t>
      </w:r>
      <w:r w:rsidR="0057580F">
        <w:rPr>
          <w:rFonts w:eastAsia="Arial Unicode MS" w:cs="Times New Roman"/>
          <w:i/>
          <w:color w:val="17365D"/>
          <w:sz w:val="20"/>
          <w:szCs w:val="24"/>
        </w:rPr>
        <w:t>3</w:t>
      </w:r>
      <w:r w:rsidRPr="00587EA8">
        <w:rPr>
          <w:rFonts w:eastAsia="Arial Unicode MS" w:cs="Times New Roman"/>
          <w:i/>
          <w:color w:val="17365D"/>
          <w:sz w:val="20"/>
          <w:szCs w:val="24"/>
        </w:rPr>
        <w:t xml:space="preserve">. tabula. </w:t>
      </w:r>
      <w:bookmarkStart w:id="71" w:name="_Hlk197939425"/>
      <w:r w:rsidR="00980C37" w:rsidRPr="00980C37">
        <w:rPr>
          <w:rFonts w:eastAsia="Arial Unicode MS" w:cs="Times New Roman"/>
          <w:i/>
          <w:color w:val="17365D"/>
          <w:sz w:val="20"/>
          <w:szCs w:val="24"/>
        </w:rPr>
        <w:t>Konsolidētā pārskata par darbības finansiālajiem rezultātiem ieņēmumu posteņu korekcija</w:t>
      </w:r>
      <w:r w:rsidR="003A2813">
        <w:rPr>
          <w:rFonts w:eastAsia="Arial Unicode MS" w:cs="Times New Roman"/>
          <w:i/>
          <w:color w:val="17365D"/>
          <w:sz w:val="20"/>
          <w:szCs w:val="24"/>
        </w:rPr>
        <w:t>, konsolidācija</w:t>
      </w:r>
      <w:r w:rsidR="00980C37" w:rsidRPr="00980C37">
        <w:rPr>
          <w:rFonts w:eastAsia="Arial Unicode MS" w:cs="Times New Roman"/>
          <w:i/>
          <w:color w:val="17365D"/>
          <w:sz w:val="20"/>
          <w:szCs w:val="24"/>
        </w:rPr>
        <w:t xml:space="preserve"> un salīdzinošās informācijas maiņa</w:t>
      </w:r>
      <w:bookmarkEnd w:id="71"/>
      <w:r w:rsidR="00980C37">
        <w:rPr>
          <w:rFonts w:eastAsia="Arial Unicode MS" w:cs="Times New Roman"/>
          <w:i/>
          <w:color w:val="17365D"/>
          <w:sz w:val="20"/>
          <w:szCs w:val="24"/>
        </w:rPr>
        <w:t xml:space="preserve"> (euro)</w:t>
      </w:r>
    </w:p>
    <w:tbl>
      <w:tblPr>
        <w:tblW w:w="9509" w:type="dxa"/>
        <w:tblInd w:w="-5" w:type="dxa"/>
        <w:tblLayout w:type="fixed"/>
        <w:tblLook w:val="04A0" w:firstRow="1" w:lastRow="0" w:firstColumn="1" w:lastColumn="0" w:noHBand="0" w:noVBand="1"/>
      </w:tblPr>
      <w:tblGrid>
        <w:gridCol w:w="98"/>
        <w:gridCol w:w="2459"/>
        <w:gridCol w:w="1282"/>
        <w:gridCol w:w="136"/>
        <w:gridCol w:w="266"/>
        <w:gridCol w:w="1151"/>
        <w:gridCol w:w="142"/>
        <w:gridCol w:w="283"/>
        <w:gridCol w:w="857"/>
        <w:gridCol w:w="277"/>
        <w:gridCol w:w="71"/>
        <w:gridCol w:w="1347"/>
        <w:gridCol w:w="1134"/>
        <w:gridCol w:w="6"/>
      </w:tblGrid>
      <w:tr w:rsidR="00116C61" w:rsidRPr="005A0A54" w14:paraId="12206995" w14:textId="77777777" w:rsidTr="00116C61">
        <w:trPr>
          <w:gridBefore w:val="1"/>
          <w:gridAfter w:val="1"/>
          <w:wBefore w:w="98" w:type="dxa"/>
          <w:wAfter w:w="6" w:type="dxa"/>
          <w:trHeight w:val="105"/>
          <w:tblHeader/>
        </w:trPr>
        <w:tc>
          <w:tcPr>
            <w:tcW w:w="2459" w:type="dxa"/>
            <w:vMerge w:val="restart"/>
            <w:shd w:val="clear" w:color="auto" w:fill="B9CDE5"/>
            <w:vAlign w:val="center"/>
            <w:hideMark/>
          </w:tcPr>
          <w:p w14:paraId="0A2B7C23" w14:textId="77777777" w:rsidR="00116C61" w:rsidRPr="005A0A54" w:rsidRDefault="00116C61"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2835" w:type="dxa"/>
            <w:gridSpan w:val="4"/>
            <w:tcBorders>
              <w:bottom w:val="single" w:sz="4" w:space="0" w:color="17365D"/>
            </w:tcBorders>
            <w:shd w:val="clear" w:color="auto" w:fill="B9CDE5"/>
            <w:vAlign w:val="center"/>
          </w:tcPr>
          <w:p w14:paraId="414609A8" w14:textId="77777777" w:rsidR="00116C61" w:rsidRPr="005A0A54" w:rsidRDefault="00116C61"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Korekcija</w:t>
            </w:r>
          </w:p>
        </w:tc>
        <w:tc>
          <w:tcPr>
            <w:tcW w:w="425" w:type="dxa"/>
            <w:gridSpan w:val="2"/>
            <w:shd w:val="clear" w:color="auto" w:fill="B9CDE5"/>
            <w:vAlign w:val="center"/>
          </w:tcPr>
          <w:p w14:paraId="5A4251B5" w14:textId="353990D4" w:rsidR="00116C61" w:rsidRPr="005A0A54" w:rsidRDefault="00116C61" w:rsidP="009A09DF">
            <w:pPr>
              <w:spacing w:after="0" w:line="240" w:lineRule="auto"/>
              <w:ind w:left="-107" w:right="-109"/>
              <w:jc w:val="center"/>
              <w:rPr>
                <w:rFonts w:eastAsia="Times New Roman" w:cs="Times New Roman"/>
                <w:b/>
                <w:color w:val="17365D"/>
                <w:sz w:val="18"/>
                <w:szCs w:val="18"/>
                <w:lang w:eastAsia="lv-LV"/>
              </w:rPr>
            </w:pPr>
          </w:p>
        </w:tc>
        <w:tc>
          <w:tcPr>
            <w:tcW w:w="2552" w:type="dxa"/>
            <w:gridSpan w:val="4"/>
            <w:shd w:val="clear" w:color="auto" w:fill="B9CDE5"/>
            <w:vAlign w:val="center"/>
          </w:tcPr>
          <w:p w14:paraId="36ED3BB0" w14:textId="3D3F01EC" w:rsidR="00116C61" w:rsidRPr="005A0A54" w:rsidRDefault="00116C61" w:rsidP="009A09DF">
            <w:pPr>
              <w:spacing w:after="0" w:line="240" w:lineRule="auto"/>
              <w:ind w:left="-107" w:right="-109"/>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Konsolidācija</w:t>
            </w:r>
          </w:p>
        </w:tc>
        <w:tc>
          <w:tcPr>
            <w:tcW w:w="1134" w:type="dxa"/>
            <w:vMerge w:val="restart"/>
            <w:shd w:val="clear" w:color="auto" w:fill="B9CDE5"/>
            <w:vAlign w:val="center"/>
          </w:tcPr>
          <w:p w14:paraId="4617979E" w14:textId="4EEB7810" w:rsidR="00116C61" w:rsidRPr="005A0A54" w:rsidRDefault="00116C61" w:rsidP="00A01C3B">
            <w:pPr>
              <w:spacing w:after="0" w:line="240" w:lineRule="auto"/>
              <w:ind w:right="-109"/>
              <w:jc w:val="center"/>
              <w:rPr>
                <w:rFonts w:eastAsia="Times New Roman" w:cs="Times New Roman"/>
                <w:b/>
                <w:color w:val="17365D"/>
                <w:sz w:val="16"/>
                <w:szCs w:val="16"/>
                <w:lang w:eastAsia="lv-LV"/>
              </w:rPr>
            </w:pPr>
            <w:r>
              <w:rPr>
                <w:rFonts w:eastAsia="Times New Roman" w:cs="Times New Roman"/>
                <w:b/>
                <w:color w:val="17365D"/>
                <w:sz w:val="18"/>
                <w:szCs w:val="18"/>
                <w:lang w:eastAsia="lv-LV"/>
              </w:rPr>
              <w:t>Salīdzinošās informācijas maiņa</w:t>
            </w:r>
          </w:p>
        </w:tc>
      </w:tr>
      <w:tr w:rsidR="00B1750B" w:rsidRPr="005A0A54" w14:paraId="2EAB590A" w14:textId="77777777" w:rsidTr="009A4177">
        <w:trPr>
          <w:gridBefore w:val="1"/>
          <w:gridAfter w:val="1"/>
          <w:wBefore w:w="98" w:type="dxa"/>
          <w:wAfter w:w="6" w:type="dxa"/>
          <w:trHeight w:val="105"/>
          <w:tblHeader/>
        </w:trPr>
        <w:tc>
          <w:tcPr>
            <w:tcW w:w="2459" w:type="dxa"/>
            <w:vMerge/>
            <w:tcBorders>
              <w:bottom w:val="single" w:sz="4" w:space="0" w:color="012169"/>
            </w:tcBorders>
            <w:shd w:val="clear" w:color="auto" w:fill="B9CDE5"/>
            <w:vAlign w:val="center"/>
          </w:tcPr>
          <w:p w14:paraId="007F432A" w14:textId="77777777" w:rsidR="00B1750B" w:rsidRDefault="00B1750B" w:rsidP="009A09DF">
            <w:pPr>
              <w:spacing w:after="0" w:line="240" w:lineRule="auto"/>
              <w:jc w:val="center"/>
              <w:rPr>
                <w:rFonts w:eastAsia="Times New Roman" w:cs="Times New Roman"/>
                <w:b/>
                <w:color w:val="17365D"/>
                <w:sz w:val="18"/>
                <w:szCs w:val="18"/>
                <w:lang w:eastAsia="lv-LV"/>
              </w:rPr>
            </w:pPr>
          </w:p>
        </w:tc>
        <w:tc>
          <w:tcPr>
            <w:tcW w:w="1684" w:type="dxa"/>
            <w:gridSpan w:val="3"/>
            <w:tcBorders>
              <w:bottom w:val="single" w:sz="4" w:space="0" w:color="012169"/>
            </w:tcBorders>
            <w:shd w:val="clear" w:color="auto" w:fill="B9CDE5"/>
            <w:vAlign w:val="center"/>
          </w:tcPr>
          <w:p w14:paraId="2D40410E" w14:textId="34587E73" w:rsidR="00B1750B" w:rsidRPr="00597DB1" w:rsidRDefault="00BC42E6" w:rsidP="009A09DF">
            <w:pPr>
              <w:pStyle w:val="Tabgalva"/>
            </w:pPr>
            <w:r>
              <w:t>p</w:t>
            </w:r>
            <w:r w:rsidR="00B1750B" w:rsidRPr="005A0A54">
              <w:t>ārskata periods</w:t>
            </w:r>
          </w:p>
        </w:tc>
        <w:tc>
          <w:tcPr>
            <w:tcW w:w="1293" w:type="dxa"/>
            <w:gridSpan w:val="2"/>
            <w:tcBorders>
              <w:bottom w:val="single" w:sz="4" w:space="0" w:color="012169"/>
            </w:tcBorders>
            <w:shd w:val="clear" w:color="auto" w:fill="B9CDE5"/>
            <w:vAlign w:val="center"/>
          </w:tcPr>
          <w:p w14:paraId="150C82AB" w14:textId="5CB10E12" w:rsidR="00B1750B" w:rsidRPr="00597DB1" w:rsidRDefault="00BC42E6" w:rsidP="009A09DF">
            <w:pPr>
              <w:pStyle w:val="Tabgalva"/>
            </w:pPr>
            <w:r>
              <w:t>i</w:t>
            </w:r>
            <w:r w:rsidR="00B1750B" w:rsidRPr="005A0A54">
              <w:t>epriekšējais pārskata periods</w:t>
            </w:r>
          </w:p>
        </w:tc>
        <w:tc>
          <w:tcPr>
            <w:tcW w:w="1488" w:type="dxa"/>
            <w:gridSpan w:val="4"/>
            <w:tcBorders>
              <w:top w:val="single" w:sz="4" w:space="0" w:color="auto"/>
              <w:bottom w:val="single" w:sz="4" w:space="0" w:color="012169"/>
            </w:tcBorders>
            <w:shd w:val="clear" w:color="auto" w:fill="B9CDE5"/>
            <w:vAlign w:val="center"/>
          </w:tcPr>
          <w:p w14:paraId="1BFD8B2A" w14:textId="2ED1F5B0" w:rsidR="00B1750B" w:rsidRPr="005A0A54" w:rsidRDefault="00BC42E6" w:rsidP="009A09DF">
            <w:pPr>
              <w:spacing w:after="0" w:line="240" w:lineRule="auto"/>
              <w:ind w:left="-107" w:right="-109"/>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w:t>
            </w:r>
            <w:r w:rsidR="00B1750B" w:rsidRPr="005A0A54">
              <w:rPr>
                <w:rFonts w:eastAsia="Times New Roman" w:cs="Times New Roman"/>
                <w:b/>
                <w:color w:val="17365D"/>
                <w:sz w:val="18"/>
                <w:szCs w:val="18"/>
                <w:lang w:eastAsia="lv-LV"/>
              </w:rPr>
              <w:t>ārskata periods</w:t>
            </w:r>
          </w:p>
        </w:tc>
        <w:tc>
          <w:tcPr>
            <w:tcW w:w="1347" w:type="dxa"/>
            <w:tcBorders>
              <w:top w:val="single" w:sz="4" w:space="0" w:color="auto"/>
              <w:bottom w:val="single" w:sz="4" w:space="0" w:color="012169"/>
            </w:tcBorders>
            <w:shd w:val="clear" w:color="auto" w:fill="B9CDE5"/>
            <w:vAlign w:val="center"/>
          </w:tcPr>
          <w:p w14:paraId="68D08C74" w14:textId="587E4E47" w:rsidR="00B1750B" w:rsidRPr="005A0A54" w:rsidRDefault="00BC42E6" w:rsidP="009A09DF">
            <w:pPr>
              <w:spacing w:after="0" w:line="240" w:lineRule="auto"/>
              <w:ind w:left="-107" w:right="-109"/>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i</w:t>
            </w:r>
            <w:r w:rsidR="00B1750B" w:rsidRPr="005A0A54">
              <w:rPr>
                <w:rFonts w:eastAsia="Times New Roman" w:cs="Times New Roman"/>
                <w:b/>
                <w:color w:val="17365D"/>
                <w:sz w:val="18"/>
                <w:szCs w:val="18"/>
                <w:lang w:eastAsia="lv-LV"/>
              </w:rPr>
              <w:t>epriekšējais pārskata periods</w:t>
            </w:r>
          </w:p>
        </w:tc>
        <w:tc>
          <w:tcPr>
            <w:tcW w:w="1134" w:type="dxa"/>
            <w:vMerge/>
            <w:tcBorders>
              <w:bottom w:val="single" w:sz="4" w:space="0" w:color="012169"/>
            </w:tcBorders>
            <w:shd w:val="clear" w:color="auto" w:fill="B9CDE5"/>
            <w:vAlign w:val="center"/>
          </w:tcPr>
          <w:p w14:paraId="23A93D8F" w14:textId="77777777" w:rsidR="00B1750B" w:rsidRPr="005A0A54" w:rsidRDefault="00B1750B" w:rsidP="009A09DF">
            <w:pPr>
              <w:spacing w:after="0" w:line="240" w:lineRule="auto"/>
              <w:ind w:left="-107" w:right="-109"/>
              <w:jc w:val="center"/>
              <w:rPr>
                <w:rFonts w:eastAsia="Times New Roman" w:cs="Times New Roman"/>
                <w:b/>
                <w:color w:val="17365D"/>
                <w:sz w:val="18"/>
                <w:szCs w:val="18"/>
                <w:lang w:eastAsia="lv-LV"/>
              </w:rPr>
            </w:pPr>
          </w:p>
        </w:tc>
      </w:tr>
      <w:tr w:rsidR="00B1750B" w:rsidRPr="005A0A54" w14:paraId="62688339" w14:textId="77777777" w:rsidTr="009A4177">
        <w:trPr>
          <w:gridBefore w:val="1"/>
          <w:gridAfter w:val="1"/>
          <w:wBefore w:w="98" w:type="dxa"/>
          <w:wAfter w:w="6" w:type="dxa"/>
          <w:trHeight w:val="97"/>
          <w:tblHeader/>
        </w:trPr>
        <w:tc>
          <w:tcPr>
            <w:tcW w:w="2459" w:type="dxa"/>
            <w:tcBorders>
              <w:top w:val="single" w:sz="4" w:space="0" w:color="012169"/>
              <w:bottom w:val="single" w:sz="4" w:space="0" w:color="012169"/>
            </w:tcBorders>
            <w:shd w:val="clear" w:color="auto" w:fill="auto"/>
            <w:vAlign w:val="center"/>
            <w:hideMark/>
          </w:tcPr>
          <w:p w14:paraId="7E83900C"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A</w:t>
            </w:r>
          </w:p>
        </w:tc>
        <w:tc>
          <w:tcPr>
            <w:tcW w:w="1418" w:type="dxa"/>
            <w:gridSpan w:val="2"/>
            <w:tcBorders>
              <w:top w:val="single" w:sz="4" w:space="0" w:color="012169"/>
              <w:bottom w:val="single" w:sz="4" w:space="0" w:color="012169"/>
            </w:tcBorders>
            <w:shd w:val="clear" w:color="auto" w:fill="auto"/>
            <w:vAlign w:val="center"/>
            <w:hideMark/>
          </w:tcPr>
          <w:p w14:paraId="183A1E23"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1</w:t>
            </w:r>
          </w:p>
        </w:tc>
        <w:tc>
          <w:tcPr>
            <w:tcW w:w="1559" w:type="dxa"/>
            <w:gridSpan w:val="3"/>
            <w:tcBorders>
              <w:top w:val="single" w:sz="4" w:space="0" w:color="012169"/>
              <w:bottom w:val="single" w:sz="4" w:space="0" w:color="012169"/>
            </w:tcBorders>
            <w:shd w:val="clear" w:color="auto" w:fill="auto"/>
            <w:vAlign w:val="center"/>
            <w:hideMark/>
          </w:tcPr>
          <w:p w14:paraId="08A2EF46"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2</w:t>
            </w:r>
          </w:p>
        </w:tc>
        <w:tc>
          <w:tcPr>
            <w:tcW w:w="1417" w:type="dxa"/>
            <w:gridSpan w:val="3"/>
            <w:tcBorders>
              <w:top w:val="single" w:sz="4" w:space="0" w:color="012169"/>
              <w:bottom w:val="single" w:sz="4" w:space="0" w:color="012169"/>
            </w:tcBorders>
            <w:shd w:val="clear" w:color="auto" w:fill="auto"/>
            <w:vAlign w:val="center"/>
            <w:hideMark/>
          </w:tcPr>
          <w:p w14:paraId="6DC1F9A3"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3</w:t>
            </w:r>
          </w:p>
        </w:tc>
        <w:tc>
          <w:tcPr>
            <w:tcW w:w="1418" w:type="dxa"/>
            <w:gridSpan w:val="2"/>
            <w:tcBorders>
              <w:top w:val="single" w:sz="4" w:space="0" w:color="012169"/>
              <w:bottom w:val="single" w:sz="4" w:space="0" w:color="012169"/>
            </w:tcBorders>
            <w:shd w:val="clear" w:color="auto" w:fill="auto"/>
            <w:vAlign w:val="center"/>
            <w:hideMark/>
          </w:tcPr>
          <w:p w14:paraId="4592DEAC"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4</w:t>
            </w:r>
          </w:p>
        </w:tc>
        <w:tc>
          <w:tcPr>
            <w:tcW w:w="1134" w:type="dxa"/>
            <w:tcBorders>
              <w:top w:val="single" w:sz="4" w:space="0" w:color="012169"/>
              <w:bottom w:val="single" w:sz="4" w:space="0" w:color="012169"/>
            </w:tcBorders>
            <w:shd w:val="clear" w:color="auto" w:fill="auto"/>
            <w:vAlign w:val="center"/>
            <w:hideMark/>
          </w:tcPr>
          <w:p w14:paraId="2E753B16" w14:textId="77777777" w:rsidR="00B1750B" w:rsidRPr="005A0A54" w:rsidRDefault="00B1750B" w:rsidP="009A09DF">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5</w:t>
            </w:r>
          </w:p>
        </w:tc>
      </w:tr>
      <w:tr w:rsidR="00B1750B" w:rsidRPr="005A0A54" w14:paraId="529140D2"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hideMark/>
          </w:tcPr>
          <w:p w14:paraId="5E7EFF71" w14:textId="77777777" w:rsidR="00B1750B" w:rsidRPr="005A0A54" w:rsidRDefault="00B1750B" w:rsidP="009A09DF">
            <w:pPr>
              <w:spacing w:after="0" w:line="240" w:lineRule="auto"/>
              <w:rPr>
                <w:rFonts w:eastAsia="Times New Roman" w:cs="Times New Roman"/>
                <w:color w:val="17365D"/>
                <w:sz w:val="18"/>
                <w:szCs w:val="18"/>
                <w:lang w:eastAsia="lv-LV"/>
              </w:rPr>
            </w:pPr>
            <w:r>
              <w:rPr>
                <w:b/>
                <w:bCs/>
                <w:color w:val="17365D"/>
                <w:sz w:val="18"/>
                <w:szCs w:val="18"/>
              </w:rPr>
              <w:t>Ieņēmumi</w:t>
            </w:r>
          </w:p>
        </w:tc>
        <w:tc>
          <w:tcPr>
            <w:tcW w:w="1418" w:type="dxa"/>
            <w:gridSpan w:val="2"/>
            <w:tcBorders>
              <w:top w:val="single" w:sz="4" w:space="0" w:color="012169"/>
              <w:bottom w:val="single" w:sz="4" w:space="0" w:color="012169"/>
            </w:tcBorders>
            <w:shd w:val="clear" w:color="auto" w:fill="auto"/>
            <w:noWrap/>
            <w:vAlign w:val="center"/>
            <w:hideMark/>
          </w:tcPr>
          <w:p w14:paraId="491A74CE" w14:textId="77777777" w:rsidR="00B1750B" w:rsidRPr="009E4B02" w:rsidRDefault="00B1750B" w:rsidP="009A09DF">
            <w:pPr>
              <w:spacing w:after="0" w:line="240" w:lineRule="auto"/>
              <w:jc w:val="right"/>
              <w:rPr>
                <w:rFonts w:eastAsia="Arial Unicode MS" w:cs="Times New Roman"/>
                <w:b/>
                <w:color w:val="17365D"/>
                <w:sz w:val="18"/>
                <w:szCs w:val="18"/>
              </w:rPr>
            </w:pPr>
            <w:r w:rsidRPr="009E4B02">
              <w:rPr>
                <w:rFonts w:eastAsia="Arial Unicode MS" w:cs="Times New Roman"/>
                <w:b/>
                <w:color w:val="17365D"/>
                <w:sz w:val="18"/>
                <w:szCs w:val="18"/>
              </w:rPr>
              <w:t>-10 294 171 949</w:t>
            </w:r>
          </w:p>
        </w:tc>
        <w:tc>
          <w:tcPr>
            <w:tcW w:w="1559" w:type="dxa"/>
            <w:gridSpan w:val="3"/>
            <w:tcBorders>
              <w:top w:val="single" w:sz="4" w:space="0" w:color="012169"/>
              <w:bottom w:val="single" w:sz="4" w:space="0" w:color="012169"/>
            </w:tcBorders>
            <w:shd w:val="clear" w:color="F2F2F2" w:fill="FFFFFF"/>
            <w:noWrap/>
            <w:vAlign w:val="center"/>
          </w:tcPr>
          <w:p w14:paraId="16FFEC1D" w14:textId="77777777" w:rsidR="00B1750B" w:rsidRPr="009E4B02" w:rsidRDefault="00B1750B" w:rsidP="009A09DF">
            <w:pPr>
              <w:spacing w:after="0" w:line="240" w:lineRule="auto"/>
              <w:jc w:val="right"/>
              <w:rPr>
                <w:rFonts w:eastAsia="Arial Unicode MS" w:cs="Times New Roman"/>
                <w:b/>
                <w:color w:val="17365D"/>
                <w:sz w:val="18"/>
                <w:szCs w:val="18"/>
              </w:rPr>
            </w:pPr>
            <w:r w:rsidRPr="009E4B02">
              <w:rPr>
                <w:rFonts w:eastAsia="Arial Unicode MS" w:cs="Times New Roman"/>
                <w:b/>
                <w:color w:val="17365D"/>
                <w:sz w:val="18"/>
                <w:szCs w:val="18"/>
              </w:rPr>
              <w:t>-9 920 044 008</w:t>
            </w:r>
          </w:p>
        </w:tc>
        <w:tc>
          <w:tcPr>
            <w:tcW w:w="1417" w:type="dxa"/>
            <w:gridSpan w:val="3"/>
            <w:tcBorders>
              <w:top w:val="single" w:sz="4" w:space="0" w:color="012169"/>
              <w:bottom w:val="single" w:sz="4" w:space="0" w:color="012169"/>
            </w:tcBorders>
            <w:shd w:val="clear" w:color="F2F2F2" w:fill="FFFFFF"/>
            <w:noWrap/>
            <w:vAlign w:val="center"/>
          </w:tcPr>
          <w:p w14:paraId="7311CFE0" w14:textId="77777777" w:rsidR="00B1750B" w:rsidRPr="009E4B02" w:rsidRDefault="00B1750B" w:rsidP="009A09DF">
            <w:pPr>
              <w:spacing w:after="0" w:line="240" w:lineRule="auto"/>
              <w:jc w:val="right"/>
              <w:rPr>
                <w:rFonts w:eastAsia="Arial Unicode MS" w:cs="Times New Roman"/>
                <w:b/>
                <w:color w:val="17365D"/>
                <w:sz w:val="18"/>
                <w:szCs w:val="18"/>
              </w:rPr>
            </w:pPr>
            <w:r w:rsidRPr="009E4B02">
              <w:rPr>
                <w:rFonts w:eastAsia="Arial Unicode MS" w:cs="Times New Roman"/>
                <w:b/>
                <w:color w:val="17365D"/>
                <w:sz w:val="18"/>
                <w:szCs w:val="18"/>
              </w:rPr>
              <w:t>-9 164 438 829</w:t>
            </w:r>
          </w:p>
        </w:tc>
        <w:tc>
          <w:tcPr>
            <w:tcW w:w="1418" w:type="dxa"/>
            <w:gridSpan w:val="2"/>
            <w:tcBorders>
              <w:top w:val="single" w:sz="4" w:space="0" w:color="012169"/>
              <w:bottom w:val="single" w:sz="4" w:space="0" w:color="012169"/>
            </w:tcBorders>
            <w:shd w:val="clear" w:color="auto" w:fill="auto"/>
            <w:noWrap/>
            <w:vAlign w:val="center"/>
          </w:tcPr>
          <w:p w14:paraId="0D60BF30" w14:textId="77777777" w:rsidR="00B1750B" w:rsidRPr="009E4B02" w:rsidRDefault="00B1750B" w:rsidP="009A09DF">
            <w:pPr>
              <w:spacing w:after="0" w:line="240" w:lineRule="auto"/>
              <w:jc w:val="right"/>
              <w:rPr>
                <w:rFonts w:eastAsia="Arial Unicode MS" w:cs="Times New Roman"/>
                <w:b/>
                <w:color w:val="17365D"/>
                <w:sz w:val="18"/>
                <w:szCs w:val="18"/>
              </w:rPr>
            </w:pPr>
            <w:r w:rsidRPr="009E4B02">
              <w:rPr>
                <w:rFonts w:eastAsia="Arial Unicode MS" w:cs="Times New Roman"/>
                <w:b/>
                <w:color w:val="17365D"/>
                <w:sz w:val="18"/>
                <w:szCs w:val="18"/>
              </w:rPr>
              <w:t>-9 495 689 562</w:t>
            </w:r>
          </w:p>
        </w:tc>
        <w:tc>
          <w:tcPr>
            <w:tcW w:w="1134" w:type="dxa"/>
            <w:tcBorders>
              <w:top w:val="single" w:sz="4" w:space="0" w:color="012169"/>
              <w:bottom w:val="single" w:sz="4" w:space="0" w:color="012169"/>
            </w:tcBorders>
            <w:shd w:val="clear" w:color="auto" w:fill="auto"/>
            <w:vAlign w:val="center"/>
          </w:tcPr>
          <w:p w14:paraId="53933CD3" w14:textId="77777777" w:rsidR="00B1750B" w:rsidRPr="009E4B02" w:rsidRDefault="00B1750B" w:rsidP="009A09DF">
            <w:pPr>
              <w:spacing w:after="0" w:line="240" w:lineRule="auto"/>
              <w:jc w:val="right"/>
              <w:rPr>
                <w:rFonts w:eastAsia="Arial Unicode MS" w:cs="Times New Roman"/>
                <w:b/>
                <w:color w:val="17365D"/>
                <w:sz w:val="18"/>
                <w:szCs w:val="18"/>
              </w:rPr>
            </w:pPr>
            <w:r w:rsidRPr="009E4B02">
              <w:rPr>
                <w:rFonts w:eastAsia="Arial Unicode MS" w:cs="Times New Roman"/>
                <w:b/>
                <w:color w:val="17365D"/>
                <w:sz w:val="18"/>
                <w:szCs w:val="18"/>
              </w:rPr>
              <w:t>7 813 413</w:t>
            </w:r>
          </w:p>
        </w:tc>
      </w:tr>
      <w:tr w:rsidR="00B1750B" w:rsidRPr="005A0A54" w14:paraId="084EF758"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55372B92" w14:textId="119745D4" w:rsidR="00B1750B" w:rsidRPr="009E4B02" w:rsidRDefault="00B1750B" w:rsidP="009A09DF">
            <w:pPr>
              <w:spacing w:after="0" w:line="240" w:lineRule="auto"/>
              <w:rPr>
                <w:rFonts w:eastAsia="Arial Unicode MS" w:cs="Times New Roman"/>
                <w:color w:val="17365D"/>
                <w:sz w:val="18"/>
                <w:szCs w:val="18"/>
              </w:rPr>
            </w:pPr>
            <w:proofErr w:type="spellStart"/>
            <w:r w:rsidRPr="009E4B02">
              <w:rPr>
                <w:rFonts w:eastAsia="Arial Unicode MS" w:cs="Times New Roman"/>
                <w:color w:val="17365D"/>
                <w:sz w:val="18"/>
                <w:szCs w:val="18"/>
              </w:rPr>
              <w:t>Nenodokļu</w:t>
            </w:r>
            <w:proofErr w:type="spellEnd"/>
            <w:r w:rsidRPr="009E4B02">
              <w:rPr>
                <w:rFonts w:eastAsia="Arial Unicode MS" w:cs="Times New Roman"/>
                <w:color w:val="17365D"/>
                <w:sz w:val="18"/>
                <w:szCs w:val="18"/>
              </w:rPr>
              <w:t xml:space="preserve"> ieņēmumi</w:t>
            </w:r>
          </w:p>
        </w:tc>
        <w:tc>
          <w:tcPr>
            <w:tcW w:w="1418" w:type="dxa"/>
            <w:gridSpan w:val="2"/>
            <w:tcBorders>
              <w:top w:val="single" w:sz="4" w:space="0" w:color="012169"/>
              <w:bottom w:val="single" w:sz="4" w:space="0" w:color="012169"/>
            </w:tcBorders>
            <w:shd w:val="clear" w:color="auto" w:fill="auto"/>
            <w:noWrap/>
            <w:vAlign w:val="center"/>
          </w:tcPr>
          <w:p w14:paraId="408F72E8"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559" w:type="dxa"/>
            <w:gridSpan w:val="3"/>
            <w:tcBorders>
              <w:top w:val="single" w:sz="4" w:space="0" w:color="012169"/>
              <w:bottom w:val="single" w:sz="4" w:space="0" w:color="012169"/>
            </w:tcBorders>
            <w:shd w:val="clear" w:color="F2F2F2" w:fill="FFFFFF"/>
            <w:noWrap/>
            <w:vAlign w:val="center"/>
          </w:tcPr>
          <w:p w14:paraId="5A380A38"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7" w:type="dxa"/>
            <w:gridSpan w:val="3"/>
            <w:tcBorders>
              <w:top w:val="single" w:sz="4" w:space="0" w:color="012169"/>
              <w:bottom w:val="single" w:sz="4" w:space="0" w:color="012169"/>
            </w:tcBorders>
            <w:shd w:val="clear" w:color="F2F2F2" w:fill="FFFFFF"/>
            <w:noWrap/>
            <w:vAlign w:val="center"/>
          </w:tcPr>
          <w:p w14:paraId="32ECDB50"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-66 971 699</w:t>
            </w:r>
          </w:p>
        </w:tc>
        <w:tc>
          <w:tcPr>
            <w:tcW w:w="1418" w:type="dxa"/>
            <w:gridSpan w:val="2"/>
            <w:tcBorders>
              <w:top w:val="single" w:sz="4" w:space="0" w:color="012169"/>
              <w:bottom w:val="single" w:sz="4" w:space="0" w:color="012169"/>
            </w:tcBorders>
            <w:shd w:val="clear" w:color="auto" w:fill="auto"/>
            <w:noWrap/>
            <w:vAlign w:val="center"/>
          </w:tcPr>
          <w:p w14:paraId="43A66527"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-49 066 810</w:t>
            </w:r>
          </w:p>
        </w:tc>
        <w:tc>
          <w:tcPr>
            <w:tcW w:w="1134" w:type="dxa"/>
            <w:tcBorders>
              <w:top w:val="single" w:sz="4" w:space="0" w:color="012169"/>
              <w:bottom w:val="single" w:sz="4" w:space="0" w:color="012169"/>
            </w:tcBorders>
            <w:shd w:val="clear" w:color="auto" w:fill="auto"/>
            <w:vAlign w:val="center"/>
          </w:tcPr>
          <w:p w14:paraId="618361E2"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2 658 011</w:t>
            </w:r>
          </w:p>
        </w:tc>
      </w:tr>
      <w:tr w:rsidR="00B1750B" w:rsidRPr="005A0A54" w14:paraId="597641B7"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58738F15" w14:textId="77777777" w:rsidR="00B1750B" w:rsidRPr="009E4B02" w:rsidRDefault="00B1750B" w:rsidP="009A09DF">
            <w:pPr>
              <w:spacing w:after="0" w:line="240" w:lineRule="auto"/>
              <w:rPr>
                <w:rFonts w:eastAsia="Arial Unicode MS" w:cs="Times New Roman"/>
                <w:color w:val="17365D"/>
                <w:sz w:val="18"/>
                <w:szCs w:val="18"/>
              </w:rPr>
            </w:pPr>
            <w:r w:rsidRPr="009E4B02">
              <w:rPr>
                <w:rFonts w:eastAsia="Arial Unicode MS" w:cs="Times New Roman"/>
                <w:color w:val="17365D"/>
                <w:sz w:val="18"/>
                <w:szCs w:val="18"/>
              </w:rPr>
              <w:t>Maksas pakalpojumi un citi pašu ieņēmumi</w:t>
            </w:r>
          </w:p>
        </w:tc>
        <w:tc>
          <w:tcPr>
            <w:tcW w:w="1418" w:type="dxa"/>
            <w:gridSpan w:val="2"/>
            <w:tcBorders>
              <w:top w:val="single" w:sz="4" w:space="0" w:color="012169"/>
              <w:bottom w:val="single" w:sz="4" w:space="0" w:color="012169"/>
            </w:tcBorders>
            <w:shd w:val="clear" w:color="auto" w:fill="auto"/>
            <w:noWrap/>
            <w:vAlign w:val="center"/>
          </w:tcPr>
          <w:p w14:paraId="64450799"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559" w:type="dxa"/>
            <w:gridSpan w:val="3"/>
            <w:tcBorders>
              <w:top w:val="single" w:sz="4" w:space="0" w:color="012169"/>
              <w:bottom w:val="single" w:sz="4" w:space="0" w:color="012169"/>
            </w:tcBorders>
            <w:shd w:val="clear" w:color="F2F2F2" w:fill="FFFFFF"/>
            <w:noWrap/>
            <w:vAlign w:val="center"/>
          </w:tcPr>
          <w:p w14:paraId="474152CC"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7" w:type="dxa"/>
            <w:gridSpan w:val="3"/>
            <w:tcBorders>
              <w:top w:val="single" w:sz="4" w:space="0" w:color="012169"/>
              <w:bottom w:val="single" w:sz="4" w:space="0" w:color="012169"/>
            </w:tcBorders>
            <w:shd w:val="clear" w:color="F2F2F2" w:fill="FFFFFF"/>
            <w:noWrap/>
            <w:vAlign w:val="center"/>
          </w:tcPr>
          <w:p w14:paraId="30122A43"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-23 057 198</w:t>
            </w:r>
          </w:p>
        </w:tc>
        <w:tc>
          <w:tcPr>
            <w:tcW w:w="1418" w:type="dxa"/>
            <w:gridSpan w:val="2"/>
            <w:tcBorders>
              <w:top w:val="single" w:sz="4" w:space="0" w:color="012169"/>
              <w:bottom w:val="single" w:sz="4" w:space="0" w:color="012169"/>
            </w:tcBorders>
            <w:shd w:val="clear" w:color="auto" w:fill="auto"/>
            <w:noWrap/>
            <w:vAlign w:val="center"/>
          </w:tcPr>
          <w:p w14:paraId="43EC1120"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-14 829 859</w:t>
            </w:r>
          </w:p>
        </w:tc>
        <w:tc>
          <w:tcPr>
            <w:tcW w:w="1134" w:type="dxa"/>
            <w:tcBorders>
              <w:top w:val="single" w:sz="4" w:space="0" w:color="012169"/>
              <w:bottom w:val="single" w:sz="4" w:space="0" w:color="012169"/>
            </w:tcBorders>
            <w:shd w:val="clear" w:color="auto" w:fill="auto"/>
            <w:vAlign w:val="center"/>
          </w:tcPr>
          <w:p w14:paraId="5259C8B9"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12 426</w:t>
            </w:r>
          </w:p>
        </w:tc>
      </w:tr>
      <w:tr w:rsidR="00B1750B" w:rsidRPr="005A0A54" w14:paraId="3A9B27C0"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28C3E186" w14:textId="77777777" w:rsidR="00B1750B" w:rsidRPr="009E4B02" w:rsidRDefault="00B1750B" w:rsidP="009A09DF">
            <w:pPr>
              <w:spacing w:after="0" w:line="240" w:lineRule="auto"/>
              <w:rPr>
                <w:rFonts w:eastAsia="Arial Unicode MS" w:cs="Times New Roman"/>
                <w:color w:val="17365D"/>
                <w:sz w:val="18"/>
                <w:szCs w:val="18"/>
              </w:rPr>
            </w:pPr>
            <w:r w:rsidRPr="009E4B02">
              <w:rPr>
                <w:rFonts w:eastAsia="Arial Unicode MS" w:cs="Times New Roman"/>
                <w:color w:val="17365D"/>
                <w:sz w:val="18"/>
                <w:szCs w:val="18"/>
              </w:rPr>
              <w:t>Ārvalstu finanšu palīdzība</w:t>
            </w:r>
          </w:p>
        </w:tc>
        <w:tc>
          <w:tcPr>
            <w:tcW w:w="1418" w:type="dxa"/>
            <w:gridSpan w:val="2"/>
            <w:tcBorders>
              <w:top w:val="single" w:sz="4" w:space="0" w:color="012169"/>
              <w:bottom w:val="single" w:sz="4" w:space="0" w:color="012169"/>
            </w:tcBorders>
            <w:shd w:val="clear" w:color="auto" w:fill="auto"/>
            <w:noWrap/>
            <w:vAlign w:val="center"/>
          </w:tcPr>
          <w:p w14:paraId="7DAF9590"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-2 877 333</w:t>
            </w:r>
          </w:p>
        </w:tc>
        <w:tc>
          <w:tcPr>
            <w:tcW w:w="1559" w:type="dxa"/>
            <w:gridSpan w:val="3"/>
            <w:tcBorders>
              <w:top w:val="single" w:sz="4" w:space="0" w:color="012169"/>
              <w:bottom w:val="single" w:sz="4" w:space="0" w:color="012169"/>
            </w:tcBorders>
            <w:shd w:val="clear" w:color="F2F2F2" w:fill="FFFFFF"/>
            <w:noWrap/>
            <w:vAlign w:val="center"/>
          </w:tcPr>
          <w:p w14:paraId="5409A4E1"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7" w:type="dxa"/>
            <w:gridSpan w:val="3"/>
            <w:tcBorders>
              <w:top w:val="single" w:sz="4" w:space="0" w:color="012169"/>
              <w:bottom w:val="single" w:sz="4" w:space="0" w:color="012169"/>
            </w:tcBorders>
            <w:shd w:val="clear" w:color="F2F2F2" w:fill="FFFFFF"/>
            <w:noWrap/>
            <w:vAlign w:val="center"/>
          </w:tcPr>
          <w:p w14:paraId="1107376A"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8" w:type="dxa"/>
            <w:gridSpan w:val="2"/>
            <w:tcBorders>
              <w:top w:val="single" w:sz="4" w:space="0" w:color="012169"/>
              <w:bottom w:val="single" w:sz="4" w:space="0" w:color="012169"/>
            </w:tcBorders>
            <w:shd w:val="clear" w:color="auto" w:fill="auto"/>
            <w:noWrap/>
            <w:vAlign w:val="center"/>
          </w:tcPr>
          <w:p w14:paraId="5CE591A8"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134" w:type="dxa"/>
            <w:tcBorders>
              <w:top w:val="single" w:sz="4" w:space="0" w:color="012169"/>
              <w:bottom w:val="single" w:sz="4" w:space="0" w:color="012169"/>
            </w:tcBorders>
            <w:shd w:val="clear" w:color="auto" w:fill="auto"/>
            <w:vAlign w:val="center"/>
          </w:tcPr>
          <w:p w14:paraId="6E11C40D"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34 299</w:t>
            </w:r>
          </w:p>
        </w:tc>
      </w:tr>
      <w:tr w:rsidR="00B1750B" w:rsidRPr="005A0A54" w14:paraId="32451F0D"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6D50C27F" w14:textId="77777777" w:rsidR="00B1750B" w:rsidRPr="009E4B02" w:rsidRDefault="00B1750B" w:rsidP="009A09DF">
            <w:pPr>
              <w:spacing w:after="0" w:line="240" w:lineRule="auto"/>
              <w:rPr>
                <w:rFonts w:eastAsia="Arial Unicode MS" w:cs="Times New Roman"/>
                <w:color w:val="17365D"/>
                <w:sz w:val="18"/>
                <w:szCs w:val="18"/>
              </w:rPr>
            </w:pPr>
            <w:proofErr w:type="spellStart"/>
            <w:r w:rsidRPr="009E4B02">
              <w:rPr>
                <w:rFonts w:eastAsia="Arial Unicode MS" w:cs="Times New Roman"/>
                <w:color w:val="17365D"/>
                <w:sz w:val="18"/>
                <w:szCs w:val="18"/>
              </w:rPr>
              <w:t>Transferti</w:t>
            </w:r>
            <w:proofErr w:type="spellEnd"/>
          </w:p>
        </w:tc>
        <w:tc>
          <w:tcPr>
            <w:tcW w:w="1418" w:type="dxa"/>
            <w:gridSpan w:val="2"/>
            <w:tcBorders>
              <w:top w:val="single" w:sz="4" w:space="0" w:color="012169"/>
              <w:bottom w:val="single" w:sz="4" w:space="0" w:color="012169"/>
            </w:tcBorders>
            <w:shd w:val="clear" w:color="auto" w:fill="auto"/>
            <w:noWrap/>
            <w:vAlign w:val="center"/>
          </w:tcPr>
          <w:p w14:paraId="4E42627E"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2 877 333</w:t>
            </w:r>
          </w:p>
        </w:tc>
        <w:tc>
          <w:tcPr>
            <w:tcW w:w="1559" w:type="dxa"/>
            <w:gridSpan w:val="3"/>
            <w:tcBorders>
              <w:top w:val="single" w:sz="4" w:space="0" w:color="012169"/>
              <w:bottom w:val="single" w:sz="4" w:space="0" w:color="012169"/>
            </w:tcBorders>
            <w:shd w:val="clear" w:color="F2F2F2" w:fill="FFFFFF"/>
            <w:noWrap/>
            <w:vAlign w:val="center"/>
          </w:tcPr>
          <w:p w14:paraId="63C96C64"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213 726</w:t>
            </w:r>
          </w:p>
        </w:tc>
        <w:tc>
          <w:tcPr>
            <w:tcW w:w="1417" w:type="dxa"/>
            <w:gridSpan w:val="3"/>
            <w:tcBorders>
              <w:top w:val="single" w:sz="4" w:space="0" w:color="012169"/>
              <w:bottom w:val="single" w:sz="4" w:space="0" w:color="012169"/>
            </w:tcBorders>
            <w:shd w:val="clear" w:color="F2F2F2" w:fill="FFFFFF"/>
            <w:noWrap/>
            <w:vAlign w:val="center"/>
          </w:tcPr>
          <w:p w14:paraId="41501264"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-1 655 223 987</w:t>
            </w:r>
          </w:p>
        </w:tc>
        <w:tc>
          <w:tcPr>
            <w:tcW w:w="1418" w:type="dxa"/>
            <w:gridSpan w:val="2"/>
            <w:tcBorders>
              <w:top w:val="single" w:sz="4" w:space="0" w:color="012169"/>
              <w:bottom w:val="single" w:sz="4" w:space="0" w:color="012169"/>
            </w:tcBorders>
            <w:shd w:val="clear" w:color="auto" w:fill="auto"/>
            <w:noWrap/>
            <w:vAlign w:val="center"/>
          </w:tcPr>
          <w:p w14:paraId="37DE6CE8"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-2 525 452 721</w:t>
            </w:r>
          </w:p>
        </w:tc>
        <w:tc>
          <w:tcPr>
            <w:tcW w:w="1134" w:type="dxa"/>
            <w:tcBorders>
              <w:top w:val="single" w:sz="4" w:space="0" w:color="012169"/>
              <w:bottom w:val="single" w:sz="4" w:space="0" w:color="012169"/>
            </w:tcBorders>
            <w:shd w:val="clear" w:color="auto" w:fill="auto"/>
            <w:vAlign w:val="center"/>
          </w:tcPr>
          <w:p w14:paraId="6B04CD4E"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368 910</w:t>
            </w:r>
          </w:p>
        </w:tc>
      </w:tr>
      <w:tr w:rsidR="00B1750B" w:rsidRPr="005A0A54" w14:paraId="1EF05AA6"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20C4F6FD" w14:textId="77777777" w:rsidR="00B1750B" w:rsidRPr="009E4B02" w:rsidRDefault="00B1750B" w:rsidP="009A09DF">
            <w:pPr>
              <w:spacing w:after="0" w:line="240" w:lineRule="auto"/>
              <w:rPr>
                <w:rFonts w:eastAsia="Arial Unicode MS" w:cs="Times New Roman"/>
                <w:color w:val="17365D"/>
                <w:sz w:val="18"/>
                <w:szCs w:val="18"/>
              </w:rPr>
            </w:pPr>
            <w:r w:rsidRPr="009E4B02">
              <w:rPr>
                <w:rFonts w:eastAsia="Arial Unicode MS" w:cs="Times New Roman"/>
                <w:color w:val="17365D"/>
                <w:sz w:val="18"/>
                <w:szCs w:val="18"/>
              </w:rPr>
              <w:t>Ziedojumi un dāvinājumi</w:t>
            </w:r>
          </w:p>
        </w:tc>
        <w:tc>
          <w:tcPr>
            <w:tcW w:w="1418" w:type="dxa"/>
            <w:gridSpan w:val="2"/>
            <w:tcBorders>
              <w:top w:val="single" w:sz="4" w:space="0" w:color="012169"/>
              <w:bottom w:val="single" w:sz="4" w:space="0" w:color="012169"/>
            </w:tcBorders>
            <w:shd w:val="clear" w:color="auto" w:fill="auto"/>
            <w:noWrap/>
            <w:vAlign w:val="center"/>
          </w:tcPr>
          <w:p w14:paraId="3F440367"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559" w:type="dxa"/>
            <w:gridSpan w:val="3"/>
            <w:tcBorders>
              <w:top w:val="single" w:sz="4" w:space="0" w:color="012169"/>
              <w:bottom w:val="single" w:sz="4" w:space="0" w:color="012169"/>
            </w:tcBorders>
            <w:shd w:val="clear" w:color="F2F2F2" w:fill="FFFFFF"/>
            <w:noWrap/>
            <w:vAlign w:val="center"/>
          </w:tcPr>
          <w:p w14:paraId="2F4368CD"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7" w:type="dxa"/>
            <w:gridSpan w:val="3"/>
            <w:tcBorders>
              <w:top w:val="single" w:sz="4" w:space="0" w:color="012169"/>
              <w:bottom w:val="single" w:sz="4" w:space="0" w:color="012169"/>
            </w:tcBorders>
            <w:shd w:val="clear" w:color="F2F2F2" w:fill="FFFFFF"/>
            <w:noWrap/>
            <w:vAlign w:val="center"/>
          </w:tcPr>
          <w:p w14:paraId="481846E8"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8" w:type="dxa"/>
            <w:gridSpan w:val="2"/>
            <w:tcBorders>
              <w:top w:val="single" w:sz="4" w:space="0" w:color="012169"/>
              <w:bottom w:val="single" w:sz="4" w:space="0" w:color="012169"/>
            </w:tcBorders>
            <w:shd w:val="clear" w:color="auto" w:fill="auto"/>
            <w:noWrap/>
            <w:vAlign w:val="center"/>
          </w:tcPr>
          <w:p w14:paraId="6665023A"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134" w:type="dxa"/>
            <w:tcBorders>
              <w:top w:val="single" w:sz="4" w:space="0" w:color="012169"/>
              <w:bottom w:val="single" w:sz="4" w:space="0" w:color="012169"/>
            </w:tcBorders>
            <w:shd w:val="clear" w:color="auto" w:fill="auto"/>
            <w:vAlign w:val="center"/>
          </w:tcPr>
          <w:p w14:paraId="4C136401"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61 118</w:t>
            </w:r>
          </w:p>
        </w:tc>
      </w:tr>
      <w:tr w:rsidR="00B1750B" w:rsidRPr="005A0A54" w14:paraId="397FD977"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05D25572" w14:textId="77777777" w:rsidR="00B1750B" w:rsidRPr="009E4B02" w:rsidRDefault="00B1750B" w:rsidP="009A09DF">
            <w:pPr>
              <w:spacing w:after="0" w:line="240" w:lineRule="auto"/>
              <w:rPr>
                <w:rFonts w:eastAsia="Arial Unicode MS" w:cs="Times New Roman"/>
                <w:color w:val="17365D"/>
                <w:sz w:val="18"/>
                <w:szCs w:val="18"/>
              </w:rPr>
            </w:pPr>
            <w:r w:rsidRPr="009E4B02">
              <w:rPr>
                <w:rFonts w:eastAsia="Arial Unicode MS" w:cs="Times New Roman"/>
                <w:color w:val="17365D"/>
                <w:sz w:val="18"/>
                <w:szCs w:val="18"/>
              </w:rPr>
              <w:t>Dotācija no vispārējiem ieņēmumiem</w:t>
            </w:r>
          </w:p>
        </w:tc>
        <w:tc>
          <w:tcPr>
            <w:tcW w:w="1418" w:type="dxa"/>
            <w:gridSpan w:val="2"/>
            <w:tcBorders>
              <w:top w:val="single" w:sz="4" w:space="0" w:color="012169"/>
              <w:bottom w:val="single" w:sz="4" w:space="0" w:color="012169"/>
            </w:tcBorders>
            <w:shd w:val="clear" w:color="auto" w:fill="auto"/>
            <w:noWrap/>
            <w:vAlign w:val="center"/>
          </w:tcPr>
          <w:p w14:paraId="7124A04C"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-10 306 156 252</w:t>
            </w:r>
          </w:p>
        </w:tc>
        <w:tc>
          <w:tcPr>
            <w:tcW w:w="1559" w:type="dxa"/>
            <w:gridSpan w:val="3"/>
            <w:tcBorders>
              <w:top w:val="single" w:sz="4" w:space="0" w:color="012169"/>
              <w:bottom w:val="single" w:sz="4" w:space="0" w:color="012169"/>
            </w:tcBorders>
            <w:shd w:val="clear" w:color="F2F2F2" w:fill="FFFFFF"/>
            <w:noWrap/>
            <w:vAlign w:val="center"/>
          </w:tcPr>
          <w:p w14:paraId="2526720E"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-9 918 552 859</w:t>
            </w:r>
          </w:p>
        </w:tc>
        <w:tc>
          <w:tcPr>
            <w:tcW w:w="1417" w:type="dxa"/>
            <w:gridSpan w:val="3"/>
            <w:tcBorders>
              <w:top w:val="single" w:sz="4" w:space="0" w:color="012169"/>
              <w:bottom w:val="single" w:sz="4" w:space="0" w:color="012169"/>
            </w:tcBorders>
            <w:shd w:val="clear" w:color="F2F2F2" w:fill="FFFFFF"/>
            <w:noWrap/>
            <w:vAlign w:val="center"/>
          </w:tcPr>
          <w:p w14:paraId="4EF25309"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-7 895 054</w:t>
            </w:r>
          </w:p>
        </w:tc>
        <w:tc>
          <w:tcPr>
            <w:tcW w:w="1418" w:type="dxa"/>
            <w:gridSpan w:val="2"/>
            <w:tcBorders>
              <w:top w:val="single" w:sz="4" w:space="0" w:color="012169"/>
              <w:bottom w:val="single" w:sz="4" w:space="0" w:color="012169"/>
            </w:tcBorders>
            <w:shd w:val="clear" w:color="auto" w:fill="auto"/>
            <w:noWrap/>
            <w:vAlign w:val="center"/>
          </w:tcPr>
          <w:p w14:paraId="416852D7"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-9 552 632</w:t>
            </w:r>
          </w:p>
        </w:tc>
        <w:tc>
          <w:tcPr>
            <w:tcW w:w="1134" w:type="dxa"/>
            <w:tcBorders>
              <w:top w:val="single" w:sz="4" w:space="0" w:color="012169"/>
              <w:bottom w:val="single" w:sz="4" w:space="0" w:color="012169"/>
            </w:tcBorders>
            <w:shd w:val="clear" w:color="auto" w:fill="auto"/>
            <w:vAlign w:val="center"/>
          </w:tcPr>
          <w:p w14:paraId="5A3EE263"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r>
      <w:tr w:rsidR="00B1750B" w:rsidRPr="005A0A54" w14:paraId="2C52E311"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78C67A7A" w14:textId="77777777" w:rsidR="00B1750B" w:rsidRPr="009E4B02" w:rsidRDefault="00B1750B" w:rsidP="009A09DF">
            <w:pPr>
              <w:spacing w:after="0" w:line="240" w:lineRule="auto"/>
              <w:rPr>
                <w:rFonts w:eastAsia="Arial Unicode MS" w:cs="Times New Roman"/>
                <w:color w:val="17365D"/>
                <w:sz w:val="18"/>
                <w:szCs w:val="18"/>
              </w:rPr>
            </w:pPr>
            <w:r w:rsidRPr="009E4B02">
              <w:rPr>
                <w:rFonts w:eastAsia="Arial Unicode MS" w:cs="Times New Roman"/>
                <w:color w:val="17365D"/>
                <w:sz w:val="18"/>
                <w:szCs w:val="18"/>
              </w:rPr>
              <w:t>Procentu ieņēmumi</w:t>
            </w:r>
          </w:p>
        </w:tc>
        <w:tc>
          <w:tcPr>
            <w:tcW w:w="1418" w:type="dxa"/>
            <w:gridSpan w:val="2"/>
            <w:tcBorders>
              <w:top w:val="single" w:sz="4" w:space="0" w:color="012169"/>
              <w:bottom w:val="single" w:sz="4" w:space="0" w:color="012169"/>
            </w:tcBorders>
            <w:shd w:val="clear" w:color="auto" w:fill="auto"/>
            <w:noWrap/>
            <w:vAlign w:val="center"/>
          </w:tcPr>
          <w:p w14:paraId="715588C3"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559" w:type="dxa"/>
            <w:gridSpan w:val="3"/>
            <w:tcBorders>
              <w:top w:val="single" w:sz="4" w:space="0" w:color="012169"/>
              <w:bottom w:val="single" w:sz="4" w:space="0" w:color="012169"/>
            </w:tcBorders>
            <w:shd w:val="clear" w:color="F2F2F2" w:fill="FFFFFF"/>
            <w:noWrap/>
            <w:vAlign w:val="center"/>
          </w:tcPr>
          <w:p w14:paraId="796C9726"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c>
          <w:tcPr>
            <w:tcW w:w="1417" w:type="dxa"/>
            <w:gridSpan w:val="3"/>
            <w:tcBorders>
              <w:top w:val="single" w:sz="4" w:space="0" w:color="012169"/>
              <w:bottom w:val="single" w:sz="4" w:space="0" w:color="012169"/>
            </w:tcBorders>
            <w:shd w:val="clear" w:color="F2F2F2" w:fill="FFFFFF"/>
            <w:noWrap/>
            <w:vAlign w:val="center"/>
          </w:tcPr>
          <w:p w14:paraId="55EF85D0"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-45 725 638</w:t>
            </w:r>
          </w:p>
        </w:tc>
        <w:tc>
          <w:tcPr>
            <w:tcW w:w="1418" w:type="dxa"/>
            <w:gridSpan w:val="2"/>
            <w:tcBorders>
              <w:top w:val="single" w:sz="4" w:space="0" w:color="012169"/>
              <w:bottom w:val="single" w:sz="4" w:space="0" w:color="012169"/>
            </w:tcBorders>
            <w:shd w:val="clear" w:color="auto" w:fill="auto"/>
            <w:noWrap/>
            <w:vAlign w:val="center"/>
          </w:tcPr>
          <w:p w14:paraId="60ED63E3"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-21 247 775</w:t>
            </w:r>
          </w:p>
        </w:tc>
        <w:tc>
          <w:tcPr>
            <w:tcW w:w="1134" w:type="dxa"/>
            <w:tcBorders>
              <w:top w:val="single" w:sz="4" w:space="0" w:color="012169"/>
              <w:bottom w:val="single" w:sz="4" w:space="0" w:color="012169"/>
            </w:tcBorders>
            <w:shd w:val="clear" w:color="auto" w:fill="auto"/>
            <w:vAlign w:val="center"/>
          </w:tcPr>
          <w:p w14:paraId="0E1DE7D1" w14:textId="77777777" w:rsidR="00B1750B" w:rsidRPr="009E4B02" w:rsidRDefault="00B1750B" w:rsidP="009A09D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0</w:t>
            </w:r>
            <w:r w:rsidRPr="009E4B02">
              <w:rPr>
                <w:rFonts w:eastAsia="Arial Unicode MS" w:cs="Times New Roman"/>
                <w:color w:val="17365D"/>
                <w:sz w:val="18"/>
                <w:szCs w:val="18"/>
              </w:rPr>
              <w:t> </w:t>
            </w:r>
          </w:p>
        </w:tc>
      </w:tr>
      <w:tr w:rsidR="00B1750B" w:rsidRPr="005A0A54" w14:paraId="0B0E80AB" w14:textId="77777777" w:rsidTr="009A4177">
        <w:trPr>
          <w:gridBefore w:val="1"/>
          <w:gridAfter w:val="1"/>
          <w:wBefore w:w="98" w:type="dxa"/>
          <w:wAfter w:w="6" w:type="dxa"/>
          <w:trHeight w:val="261"/>
        </w:trPr>
        <w:tc>
          <w:tcPr>
            <w:tcW w:w="2459" w:type="dxa"/>
            <w:tcBorders>
              <w:top w:val="single" w:sz="4" w:space="0" w:color="012169"/>
              <w:bottom w:val="single" w:sz="4" w:space="0" w:color="012169"/>
            </w:tcBorders>
            <w:shd w:val="clear" w:color="auto" w:fill="auto"/>
            <w:vAlign w:val="center"/>
          </w:tcPr>
          <w:p w14:paraId="02DDC81D" w14:textId="2E1C128D" w:rsidR="00B1750B" w:rsidRPr="009E4B02" w:rsidRDefault="00B1750B" w:rsidP="009A09DF">
            <w:pPr>
              <w:spacing w:after="0" w:line="240" w:lineRule="auto"/>
              <w:rPr>
                <w:rFonts w:eastAsia="Arial Unicode MS" w:cs="Times New Roman"/>
                <w:color w:val="17365D"/>
                <w:sz w:val="18"/>
                <w:szCs w:val="18"/>
              </w:rPr>
            </w:pPr>
            <w:r w:rsidRPr="009E4B02">
              <w:rPr>
                <w:rFonts w:eastAsia="Arial Unicode MS" w:cs="Times New Roman"/>
                <w:color w:val="17365D"/>
                <w:sz w:val="18"/>
                <w:szCs w:val="18"/>
              </w:rPr>
              <w:t>Pārējie ieņēmumi</w:t>
            </w:r>
          </w:p>
        </w:tc>
        <w:tc>
          <w:tcPr>
            <w:tcW w:w="1418" w:type="dxa"/>
            <w:gridSpan w:val="2"/>
            <w:tcBorders>
              <w:top w:val="single" w:sz="4" w:space="0" w:color="012169"/>
              <w:bottom w:val="single" w:sz="4" w:space="0" w:color="012169"/>
            </w:tcBorders>
            <w:shd w:val="clear" w:color="auto" w:fill="auto"/>
            <w:noWrap/>
            <w:vAlign w:val="center"/>
          </w:tcPr>
          <w:p w14:paraId="1152B836"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11 984 303</w:t>
            </w:r>
          </w:p>
        </w:tc>
        <w:tc>
          <w:tcPr>
            <w:tcW w:w="1559" w:type="dxa"/>
            <w:gridSpan w:val="3"/>
            <w:tcBorders>
              <w:top w:val="single" w:sz="4" w:space="0" w:color="012169"/>
              <w:bottom w:val="single" w:sz="4" w:space="0" w:color="012169"/>
            </w:tcBorders>
            <w:shd w:val="clear" w:color="F2F2F2" w:fill="FFFFFF"/>
            <w:noWrap/>
            <w:vAlign w:val="center"/>
          </w:tcPr>
          <w:p w14:paraId="2D71A186"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-1 704 875</w:t>
            </w:r>
          </w:p>
        </w:tc>
        <w:tc>
          <w:tcPr>
            <w:tcW w:w="1417" w:type="dxa"/>
            <w:gridSpan w:val="3"/>
            <w:tcBorders>
              <w:top w:val="single" w:sz="4" w:space="0" w:color="012169"/>
              <w:bottom w:val="single" w:sz="4" w:space="0" w:color="012169"/>
            </w:tcBorders>
            <w:shd w:val="clear" w:color="F2F2F2" w:fill="FFFFFF"/>
            <w:noWrap/>
            <w:vAlign w:val="center"/>
          </w:tcPr>
          <w:p w14:paraId="7B4E5B1B"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-7 365 565 253</w:t>
            </w:r>
          </w:p>
        </w:tc>
        <w:tc>
          <w:tcPr>
            <w:tcW w:w="1418" w:type="dxa"/>
            <w:gridSpan w:val="2"/>
            <w:tcBorders>
              <w:top w:val="single" w:sz="4" w:space="0" w:color="012169"/>
              <w:bottom w:val="single" w:sz="4" w:space="0" w:color="012169"/>
            </w:tcBorders>
            <w:shd w:val="clear" w:color="auto" w:fill="auto"/>
            <w:noWrap/>
            <w:vAlign w:val="center"/>
          </w:tcPr>
          <w:p w14:paraId="080A1B50"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-6 875 539 765</w:t>
            </w:r>
          </w:p>
        </w:tc>
        <w:tc>
          <w:tcPr>
            <w:tcW w:w="1134" w:type="dxa"/>
            <w:tcBorders>
              <w:top w:val="single" w:sz="4" w:space="0" w:color="012169"/>
              <w:bottom w:val="single" w:sz="4" w:space="0" w:color="012169"/>
            </w:tcBorders>
            <w:shd w:val="clear" w:color="auto" w:fill="auto"/>
            <w:vAlign w:val="center"/>
          </w:tcPr>
          <w:p w14:paraId="06C69353" w14:textId="77777777" w:rsidR="00B1750B" w:rsidRPr="009E4B02" w:rsidRDefault="00B1750B" w:rsidP="009A09DF">
            <w:pPr>
              <w:spacing w:after="0" w:line="240" w:lineRule="auto"/>
              <w:jc w:val="right"/>
              <w:rPr>
                <w:rFonts w:eastAsia="Arial Unicode MS" w:cs="Times New Roman"/>
                <w:color w:val="17365D"/>
                <w:sz w:val="18"/>
                <w:szCs w:val="18"/>
              </w:rPr>
            </w:pPr>
            <w:r w:rsidRPr="009E4B02">
              <w:rPr>
                <w:rFonts w:eastAsia="Arial Unicode MS" w:cs="Times New Roman"/>
                <w:color w:val="17365D"/>
                <w:sz w:val="18"/>
                <w:szCs w:val="18"/>
              </w:rPr>
              <w:t>4 678 649</w:t>
            </w:r>
          </w:p>
        </w:tc>
      </w:tr>
      <w:tr w:rsidR="00B1750B" w:rsidRPr="005A0A54" w14:paraId="4C0A5F10" w14:textId="77777777" w:rsidTr="00A73CA9">
        <w:tblPrEx>
          <w:tblBorders>
            <w:insideH w:val="single" w:sz="4" w:space="0" w:color="auto"/>
          </w:tblBorders>
        </w:tblPrEx>
        <w:trPr>
          <w:trHeight w:val="70"/>
        </w:trPr>
        <w:tc>
          <w:tcPr>
            <w:tcW w:w="3839" w:type="dxa"/>
            <w:gridSpan w:val="3"/>
            <w:tcBorders>
              <w:top w:val="single" w:sz="4" w:space="0" w:color="17365D"/>
            </w:tcBorders>
            <w:shd w:val="clear" w:color="auto" w:fill="B8CCE4"/>
            <w:vAlign w:val="center"/>
          </w:tcPr>
          <w:p w14:paraId="466AC55C" w14:textId="77777777" w:rsidR="00B1750B" w:rsidRPr="005A0A54" w:rsidRDefault="00B1750B" w:rsidP="009A09DF">
            <w:pPr>
              <w:spacing w:after="0" w:line="240" w:lineRule="auto"/>
              <w:rPr>
                <w:rFonts w:eastAsia="Times New Roman" w:cs="Times New Roman"/>
                <w:color w:val="17365D"/>
                <w:sz w:val="18"/>
                <w:szCs w:val="18"/>
                <w:lang w:eastAsia="lv-LV"/>
              </w:rPr>
            </w:pPr>
          </w:p>
        </w:tc>
        <w:tc>
          <w:tcPr>
            <w:tcW w:w="2835" w:type="dxa"/>
            <w:gridSpan w:val="6"/>
            <w:tcBorders>
              <w:top w:val="single" w:sz="4" w:space="0" w:color="17365D"/>
            </w:tcBorders>
            <w:shd w:val="clear" w:color="auto" w:fill="B8CCE4"/>
            <w:vAlign w:val="center"/>
          </w:tcPr>
          <w:p w14:paraId="09223ED4" w14:textId="77777777" w:rsidR="00B1750B" w:rsidRPr="005A0A54" w:rsidRDefault="00B1750B" w:rsidP="009A09DF">
            <w:pPr>
              <w:spacing w:after="0" w:line="240" w:lineRule="auto"/>
              <w:jc w:val="right"/>
              <w:rPr>
                <w:rFonts w:eastAsia="Times New Roman" w:cs="Times New Roman"/>
                <w:color w:val="17365D"/>
                <w:sz w:val="18"/>
                <w:szCs w:val="18"/>
                <w:lang w:eastAsia="lv-LV"/>
              </w:rPr>
            </w:pPr>
          </w:p>
        </w:tc>
        <w:tc>
          <w:tcPr>
            <w:tcW w:w="2835" w:type="dxa"/>
            <w:gridSpan w:val="5"/>
            <w:tcBorders>
              <w:top w:val="single" w:sz="4" w:space="0" w:color="17365D"/>
            </w:tcBorders>
            <w:shd w:val="clear" w:color="auto" w:fill="B8CCE4"/>
          </w:tcPr>
          <w:p w14:paraId="01D10DC8" w14:textId="77777777" w:rsidR="00B1750B" w:rsidRPr="005A0A54" w:rsidRDefault="00B1750B" w:rsidP="009A09DF">
            <w:pPr>
              <w:spacing w:after="0" w:line="240" w:lineRule="auto"/>
              <w:jc w:val="right"/>
              <w:rPr>
                <w:rFonts w:eastAsia="Times New Roman" w:cs="Times New Roman"/>
                <w:color w:val="17365D"/>
                <w:sz w:val="18"/>
                <w:szCs w:val="18"/>
                <w:lang w:eastAsia="lv-LV"/>
              </w:rPr>
            </w:pPr>
          </w:p>
        </w:tc>
      </w:tr>
    </w:tbl>
    <w:p w14:paraId="67A1BDC0" w14:textId="77777777" w:rsidR="002A2F6E" w:rsidRDefault="002A2F6E" w:rsidP="002A2F6E">
      <w:pPr>
        <w:pStyle w:val="Pamatteksts1"/>
        <w:rPr>
          <w:lang w:eastAsia="lv-LV"/>
        </w:rPr>
      </w:pPr>
    </w:p>
    <w:p w14:paraId="03657AB4" w14:textId="0E3891D5" w:rsidR="0057580F" w:rsidRPr="0073632D" w:rsidRDefault="0057580F" w:rsidP="002A2F6E">
      <w:pPr>
        <w:pStyle w:val="Pamatteksts1"/>
        <w:rPr>
          <w:noProof/>
          <w:lang w:eastAsia="lv-LV"/>
        </w:rPr>
      </w:pPr>
      <w:r w:rsidRPr="00587EA8">
        <w:rPr>
          <w:lang w:eastAsia="lv-LV"/>
        </w:rPr>
        <w:t>Konsolidētā pārskata</w:t>
      </w:r>
      <w:r w:rsidRPr="00587EA8" w:rsidDel="00550C21">
        <w:rPr>
          <w:iCs/>
        </w:rPr>
        <w:t xml:space="preserve"> </w:t>
      </w:r>
      <w:r w:rsidRPr="00587EA8" w:rsidDel="00550C21">
        <w:rPr>
          <w:iCs/>
          <w:lang w:eastAsia="lv-LV"/>
        </w:rPr>
        <w:t>par darbības finansiālajiem rezultātiem</w:t>
      </w:r>
      <w:r w:rsidRPr="00587EA8">
        <w:rPr>
          <w:noProof/>
          <w:lang w:eastAsia="lv-LV"/>
        </w:rPr>
        <w:t xml:space="preserve"> </w:t>
      </w:r>
      <w:r>
        <w:rPr>
          <w:noProof/>
          <w:lang w:eastAsia="lv-LV"/>
        </w:rPr>
        <w:t>izdevumu posteņu korekcija</w:t>
      </w:r>
      <w:r w:rsidR="00E06E15">
        <w:rPr>
          <w:noProof/>
          <w:lang w:eastAsia="lv-LV"/>
        </w:rPr>
        <w:t>,</w:t>
      </w:r>
      <w:r>
        <w:rPr>
          <w:noProof/>
          <w:lang w:eastAsia="lv-LV"/>
        </w:rPr>
        <w:t xml:space="preserve"> </w:t>
      </w:r>
      <w:r w:rsidR="00E06E15">
        <w:rPr>
          <w:noProof/>
          <w:lang w:eastAsia="lv-LV"/>
        </w:rPr>
        <w:t xml:space="preserve">konsolidācija </w:t>
      </w:r>
      <w:r>
        <w:rPr>
          <w:noProof/>
          <w:lang w:eastAsia="lv-LV"/>
        </w:rPr>
        <w:t xml:space="preserve">un salīdzinošās informācijas maiņa </w:t>
      </w:r>
      <w:r w:rsidRPr="00587EA8">
        <w:rPr>
          <w:noProof/>
          <w:lang w:eastAsia="lv-LV"/>
        </w:rPr>
        <w:t xml:space="preserve">uzrādīta </w:t>
      </w:r>
      <w:r>
        <w:rPr>
          <w:noProof/>
          <w:lang w:eastAsia="lv-LV"/>
        </w:rPr>
        <w:t>2.14</w:t>
      </w:r>
      <w:r w:rsidRPr="009C6F0C">
        <w:rPr>
          <w:noProof/>
          <w:lang w:eastAsia="lv-LV"/>
        </w:rPr>
        <w:t>. tabulā.</w:t>
      </w:r>
    </w:p>
    <w:p w14:paraId="70BEA46D" w14:textId="7AAE269B" w:rsidR="00B1750B" w:rsidRDefault="00B1750B" w:rsidP="00A934EE">
      <w:pPr>
        <w:spacing w:after="0" w:line="240" w:lineRule="auto"/>
        <w:ind w:firstLine="2977"/>
        <w:jc w:val="right"/>
        <w:rPr>
          <w:rFonts w:eastAsia="Arial Unicode MS" w:cs="Times New Roman"/>
          <w:i/>
          <w:color w:val="17365D"/>
          <w:sz w:val="20"/>
          <w:szCs w:val="24"/>
        </w:rPr>
      </w:pPr>
      <w:r>
        <w:rPr>
          <w:rFonts w:eastAsia="Arial Unicode MS" w:cs="Times New Roman"/>
          <w:i/>
          <w:color w:val="17365D"/>
          <w:sz w:val="20"/>
          <w:szCs w:val="24"/>
        </w:rPr>
        <w:t>2.1</w:t>
      </w:r>
      <w:r w:rsidR="0057580F">
        <w:rPr>
          <w:rFonts w:eastAsia="Arial Unicode MS" w:cs="Times New Roman"/>
          <w:i/>
          <w:color w:val="17365D"/>
          <w:sz w:val="20"/>
          <w:szCs w:val="24"/>
        </w:rPr>
        <w:t>4</w:t>
      </w:r>
      <w:r w:rsidRPr="00587EA8">
        <w:rPr>
          <w:rFonts w:eastAsia="Arial Unicode MS" w:cs="Times New Roman"/>
          <w:i/>
          <w:color w:val="17365D"/>
          <w:sz w:val="20"/>
          <w:szCs w:val="24"/>
        </w:rPr>
        <w:t xml:space="preserve">. tabula. </w:t>
      </w:r>
      <w:r w:rsidR="00980C37" w:rsidRPr="00980C37">
        <w:rPr>
          <w:rFonts w:eastAsia="Arial Unicode MS" w:cs="Times New Roman"/>
          <w:i/>
          <w:color w:val="17365D"/>
          <w:sz w:val="20"/>
          <w:szCs w:val="24"/>
        </w:rPr>
        <w:t xml:space="preserve">Konsolidētā pārskata par darbības finansiālajiem rezultātiem </w:t>
      </w:r>
      <w:r w:rsidR="00980C37">
        <w:rPr>
          <w:rFonts w:eastAsia="Arial Unicode MS" w:cs="Times New Roman"/>
          <w:i/>
          <w:color w:val="17365D"/>
          <w:sz w:val="20"/>
          <w:szCs w:val="24"/>
        </w:rPr>
        <w:t>izdevumu</w:t>
      </w:r>
      <w:r w:rsidR="00980C37" w:rsidRPr="00980C37">
        <w:rPr>
          <w:rFonts w:eastAsia="Arial Unicode MS" w:cs="Times New Roman"/>
          <w:i/>
          <w:color w:val="17365D"/>
          <w:sz w:val="20"/>
          <w:szCs w:val="24"/>
        </w:rPr>
        <w:t xml:space="preserve"> posteņu konsolidācija, korekcijas un salīdzinošās informācijas maiņa</w:t>
      </w:r>
      <w:r w:rsidR="00980C37" w:rsidRPr="00587EA8">
        <w:rPr>
          <w:rFonts w:eastAsia="Arial Unicode MS" w:cs="Times New Roman"/>
          <w:i/>
          <w:color w:val="17365D"/>
          <w:sz w:val="20"/>
          <w:szCs w:val="24"/>
        </w:rPr>
        <w:t xml:space="preserve"> </w:t>
      </w:r>
      <w:r w:rsidRPr="00587EA8">
        <w:rPr>
          <w:rFonts w:eastAsia="Arial Unicode MS" w:cs="Times New Roman"/>
          <w:i/>
          <w:color w:val="17365D"/>
          <w:sz w:val="20"/>
          <w:szCs w:val="24"/>
        </w:rPr>
        <w:t>(euro)</w:t>
      </w:r>
    </w:p>
    <w:tbl>
      <w:tblPr>
        <w:tblW w:w="9526" w:type="dxa"/>
        <w:tblInd w:w="-5" w:type="dxa"/>
        <w:tblLayout w:type="fixed"/>
        <w:tblLook w:val="04A0" w:firstRow="1" w:lastRow="0" w:firstColumn="1" w:lastColumn="0" w:noHBand="0" w:noVBand="1"/>
      </w:tblPr>
      <w:tblGrid>
        <w:gridCol w:w="2484"/>
        <w:gridCol w:w="66"/>
        <w:gridCol w:w="1416"/>
        <w:gridCol w:w="220"/>
        <w:gridCol w:w="1163"/>
        <w:gridCol w:w="57"/>
        <w:gridCol w:w="10"/>
        <w:gridCol w:w="77"/>
        <w:gridCol w:w="286"/>
        <w:gridCol w:w="1020"/>
        <w:gridCol w:w="197"/>
        <w:gridCol w:w="393"/>
        <w:gridCol w:w="969"/>
        <w:gridCol w:w="1151"/>
        <w:gridCol w:w="17"/>
      </w:tblGrid>
      <w:tr w:rsidR="00116C61" w:rsidRPr="005A0A54" w14:paraId="4222F773" w14:textId="77777777" w:rsidTr="009A4177">
        <w:trPr>
          <w:gridAfter w:val="1"/>
          <w:wAfter w:w="17" w:type="dxa"/>
          <w:trHeight w:val="105"/>
          <w:tblHeader/>
        </w:trPr>
        <w:tc>
          <w:tcPr>
            <w:tcW w:w="2485" w:type="dxa"/>
            <w:vMerge w:val="restart"/>
            <w:shd w:val="clear" w:color="auto" w:fill="B9CDE5"/>
            <w:vAlign w:val="center"/>
            <w:hideMark/>
          </w:tcPr>
          <w:p w14:paraId="4E9617AB" w14:textId="77777777" w:rsidR="00116C61" w:rsidRPr="005A0A54" w:rsidRDefault="00116C61" w:rsidP="007D0518">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Posteņa nosaukums</w:t>
            </w:r>
          </w:p>
        </w:tc>
        <w:tc>
          <w:tcPr>
            <w:tcW w:w="2867" w:type="dxa"/>
            <w:gridSpan w:val="4"/>
            <w:tcBorders>
              <w:bottom w:val="single" w:sz="4" w:space="0" w:color="17365D"/>
            </w:tcBorders>
            <w:shd w:val="clear" w:color="auto" w:fill="B9CDE5"/>
            <w:vAlign w:val="center"/>
          </w:tcPr>
          <w:p w14:paraId="6F16E153" w14:textId="77777777" w:rsidR="00116C61" w:rsidRPr="005A0A54" w:rsidRDefault="00116C61" w:rsidP="007D0518">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Korekcija</w:t>
            </w:r>
          </w:p>
        </w:tc>
        <w:tc>
          <w:tcPr>
            <w:tcW w:w="430" w:type="dxa"/>
            <w:gridSpan w:val="4"/>
            <w:shd w:val="clear" w:color="auto" w:fill="B9CDE5"/>
            <w:vAlign w:val="center"/>
          </w:tcPr>
          <w:p w14:paraId="5BCF14B4" w14:textId="77777777" w:rsidR="00116C61" w:rsidRPr="005A0A54" w:rsidRDefault="00116C61" w:rsidP="007D0518">
            <w:pPr>
              <w:spacing w:after="0" w:line="240" w:lineRule="auto"/>
              <w:ind w:left="-107" w:right="-109"/>
              <w:jc w:val="center"/>
              <w:rPr>
                <w:rFonts w:eastAsia="Times New Roman" w:cs="Times New Roman"/>
                <w:b/>
                <w:color w:val="17365D"/>
                <w:sz w:val="18"/>
                <w:szCs w:val="18"/>
                <w:lang w:eastAsia="lv-LV"/>
              </w:rPr>
            </w:pPr>
          </w:p>
        </w:tc>
        <w:tc>
          <w:tcPr>
            <w:tcW w:w="2580" w:type="dxa"/>
            <w:gridSpan w:val="4"/>
            <w:tcBorders>
              <w:bottom w:val="single" w:sz="4" w:space="0" w:color="17365D"/>
            </w:tcBorders>
            <w:shd w:val="clear" w:color="auto" w:fill="B9CDE5"/>
            <w:vAlign w:val="center"/>
          </w:tcPr>
          <w:p w14:paraId="325A186E" w14:textId="77777777" w:rsidR="00116C61" w:rsidRPr="005A0A54" w:rsidRDefault="00116C61" w:rsidP="007D0518">
            <w:pPr>
              <w:spacing w:after="0" w:line="240" w:lineRule="auto"/>
              <w:ind w:left="-107" w:right="-109"/>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Konsolidācija</w:t>
            </w:r>
          </w:p>
        </w:tc>
        <w:tc>
          <w:tcPr>
            <w:tcW w:w="1147" w:type="dxa"/>
            <w:vMerge w:val="restart"/>
            <w:shd w:val="clear" w:color="auto" w:fill="B9CDE5"/>
            <w:vAlign w:val="center"/>
          </w:tcPr>
          <w:p w14:paraId="45680209" w14:textId="77777777" w:rsidR="00116C61" w:rsidRPr="005A0A54" w:rsidRDefault="00116C61" w:rsidP="007D0518">
            <w:pPr>
              <w:spacing w:after="0" w:line="240" w:lineRule="auto"/>
              <w:ind w:right="-109"/>
              <w:jc w:val="center"/>
              <w:rPr>
                <w:rFonts w:eastAsia="Times New Roman" w:cs="Times New Roman"/>
                <w:b/>
                <w:color w:val="17365D"/>
                <w:sz w:val="16"/>
                <w:szCs w:val="16"/>
                <w:lang w:eastAsia="lv-LV"/>
              </w:rPr>
            </w:pPr>
            <w:r>
              <w:rPr>
                <w:rFonts w:eastAsia="Times New Roman" w:cs="Times New Roman"/>
                <w:b/>
                <w:color w:val="17365D"/>
                <w:sz w:val="18"/>
                <w:szCs w:val="18"/>
                <w:lang w:eastAsia="lv-LV"/>
              </w:rPr>
              <w:t>Salīdzinošās informācijas maiņa</w:t>
            </w:r>
          </w:p>
        </w:tc>
      </w:tr>
      <w:tr w:rsidR="00116C61" w:rsidRPr="005A0A54" w14:paraId="034B8664" w14:textId="77777777" w:rsidTr="009A4177">
        <w:trPr>
          <w:gridAfter w:val="1"/>
          <w:wAfter w:w="17" w:type="dxa"/>
          <w:trHeight w:val="105"/>
          <w:tblHeader/>
        </w:trPr>
        <w:tc>
          <w:tcPr>
            <w:tcW w:w="2485" w:type="dxa"/>
            <w:vMerge/>
            <w:tcBorders>
              <w:bottom w:val="single" w:sz="4" w:space="0" w:color="012169"/>
            </w:tcBorders>
            <w:shd w:val="clear" w:color="auto" w:fill="B9CDE5"/>
            <w:vAlign w:val="center"/>
          </w:tcPr>
          <w:p w14:paraId="527BCAFF" w14:textId="77777777" w:rsidR="00116C61" w:rsidRDefault="00116C61" w:rsidP="007D0518">
            <w:pPr>
              <w:spacing w:after="0" w:line="240" w:lineRule="auto"/>
              <w:jc w:val="center"/>
              <w:rPr>
                <w:rFonts w:eastAsia="Times New Roman" w:cs="Times New Roman"/>
                <w:b/>
                <w:color w:val="17365D"/>
                <w:sz w:val="18"/>
                <w:szCs w:val="18"/>
                <w:lang w:eastAsia="lv-LV"/>
              </w:rPr>
            </w:pPr>
          </w:p>
        </w:tc>
        <w:tc>
          <w:tcPr>
            <w:tcW w:w="1703" w:type="dxa"/>
            <w:gridSpan w:val="3"/>
            <w:tcBorders>
              <w:bottom w:val="single" w:sz="4" w:space="0" w:color="012169"/>
            </w:tcBorders>
            <w:shd w:val="clear" w:color="auto" w:fill="B9CDE5"/>
            <w:vAlign w:val="center"/>
          </w:tcPr>
          <w:p w14:paraId="722778C4" w14:textId="5D0AF35E" w:rsidR="00116C61" w:rsidRPr="00597DB1" w:rsidRDefault="00BC42E6" w:rsidP="007D0518">
            <w:pPr>
              <w:pStyle w:val="Tabgalva"/>
            </w:pPr>
            <w:r>
              <w:t>p</w:t>
            </w:r>
            <w:r w:rsidR="00116C61" w:rsidRPr="005A0A54">
              <w:t>ārskata periods</w:t>
            </w:r>
          </w:p>
        </w:tc>
        <w:tc>
          <w:tcPr>
            <w:tcW w:w="1308" w:type="dxa"/>
            <w:gridSpan w:val="4"/>
            <w:tcBorders>
              <w:bottom w:val="single" w:sz="4" w:space="0" w:color="012169"/>
            </w:tcBorders>
            <w:shd w:val="clear" w:color="auto" w:fill="B9CDE5"/>
            <w:vAlign w:val="center"/>
          </w:tcPr>
          <w:p w14:paraId="6F50F920" w14:textId="62D46C49" w:rsidR="00116C61" w:rsidRPr="00597DB1" w:rsidRDefault="00BC42E6" w:rsidP="007D0518">
            <w:pPr>
              <w:pStyle w:val="Tabgalva"/>
            </w:pPr>
            <w:r>
              <w:t>i</w:t>
            </w:r>
            <w:r w:rsidR="00116C61" w:rsidRPr="005A0A54">
              <w:t>epriekšējais pārskata periods</w:t>
            </w:r>
          </w:p>
        </w:tc>
        <w:tc>
          <w:tcPr>
            <w:tcW w:w="1504" w:type="dxa"/>
            <w:gridSpan w:val="3"/>
            <w:tcBorders>
              <w:top w:val="single" w:sz="4" w:space="0" w:color="auto"/>
              <w:bottom w:val="single" w:sz="4" w:space="0" w:color="012169"/>
            </w:tcBorders>
            <w:shd w:val="clear" w:color="auto" w:fill="B9CDE5"/>
            <w:vAlign w:val="center"/>
          </w:tcPr>
          <w:p w14:paraId="10723FA2" w14:textId="72C3BDEC" w:rsidR="00116C61" w:rsidRPr="005A0A54" w:rsidRDefault="00BC42E6" w:rsidP="007D0518">
            <w:pPr>
              <w:spacing w:after="0" w:line="240" w:lineRule="auto"/>
              <w:ind w:left="-107" w:right="-109"/>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p</w:t>
            </w:r>
            <w:r w:rsidR="00116C61" w:rsidRPr="005A0A54">
              <w:rPr>
                <w:rFonts w:eastAsia="Times New Roman" w:cs="Times New Roman"/>
                <w:b/>
                <w:color w:val="17365D"/>
                <w:sz w:val="18"/>
                <w:szCs w:val="18"/>
                <w:lang w:eastAsia="lv-LV"/>
              </w:rPr>
              <w:t>ārskata periods</w:t>
            </w:r>
          </w:p>
        </w:tc>
        <w:tc>
          <w:tcPr>
            <w:tcW w:w="1362" w:type="dxa"/>
            <w:gridSpan w:val="2"/>
            <w:tcBorders>
              <w:top w:val="single" w:sz="4" w:space="0" w:color="auto"/>
              <w:bottom w:val="single" w:sz="4" w:space="0" w:color="012169"/>
            </w:tcBorders>
            <w:shd w:val="clear" w:color="auto" w:fill="B9CDE5"/>
            <w:vAlign w:val="center"/>
          </w:tcPr>
          <w:p w14:paraId="09FFD8D6" w14:textId="4698C73F" w:rsidR="00116C61" w:rsidRPr="005A0A54" w:rsidRDefault="00BC42E6" w:rsidP="007D0518">
            <w:pPr>
              <w:spacing w:after="0" w:line="240" w:lineRule="auto"/>
              <w:ind w:left="-107" w:right="-109"/>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i</w:t>
            </w:r>
            <w:r w:rsidR="00116C61" w:rsidRPr="005A0A54">
              <w:rPr>
                <w:rFonts w:eastAsia="Times New Roman" w:cs="Times New Roman"/>
                <w:b/>
                <w:color w:val="17365D"/>
                <w:sz w:val="18"/>
                <w:szCs w:val="18"/>
                <w:lang w:eastAsia="lv-LV"/>
              </w:rPr>
              <w:t>epriekšējais pārskata periods</w:t>
            </w:r>
          </w:p>
        </w:tc>
        <w:tc>
          <w:tcPr>
            <w:tcW w:w="1147" w:type="dxa"/>
            <w:vMerge/>
            <w:tcBorders>
              <w:bottom w:val="single" w:sz="4" w:space="0" w:color="012169"/>
            </w:tcBorders>
            <w:shd w:val="clear" w:color="auto" w:fill="B9CDE5"/>
            <w:vAlign w:val="center"/>
          </w:tcPr>
          <w:p w14:paraId="372E38F3" w14:textId="77777777" w:rsidR="00116C61" w:rsidRPr="005A0A54" w:rsidRDefault="00116C61" w:rsidP="007D0518">
            <w:pPr>
              <w:spacing w:after="0" w:line="240" w:lineRule="auto"/>
              <w:ind w:left="-107" w:right="-109"/>
              <w:jc w:val="center"/>
              <w:rPr>
                <w:rFonts w:eastAsia="Times New Roman" w:cs="Times New Roman"/>
                <w:b/>
                <w:color w:val="17365D"/>
                <w:sz w:val="18"/>
                <w:szCs w:val="18"/>
                <w:lang w:eastAsia="lv-LV"/>
              </w:rPr>
            </w:pPr>
          </w:p>
        </w:tc>
      </w:tr>
      <w:tr w:rsidR="00116C61" w:rsidRPr="00587EA8" w14:paraId="7F142BA4" w14:textId="77777777" w:rsidTr="00116C61">
        <w:trPr>
          <w:gridAfter w:val="1"/>
          <w:wAfter w:w="6" w:type="dxa"/>
          <w:trHeight w:val="56"/>
          <w:tblHeader/>
        </w:trPr>
        <w:tc>
          <w:tcPr>
            <w:tcW w:w="2551" w:type="dxa"/>
            <w:gridSpan w:val="2"/>
            <w:tcBorders>
              <w:top w:val="single" w:sz="4" w:space="0" w:color="012169"/>
              <w:bottom w:val="single" w:sz="4" w:space="0" w:color="012169"/>
            </w:tcBorders>
            <w:shd w:val="clear" w:color="auto" w:fill="auto"/>
            <w:vAlign w:val="center"/>
          </w:tcPr>
          <w:p w14:paraId="6A60E773" w14:textId="439DC626" w:rsidR="00116C61" w:rsidRPr="00587EA8" w:rsidRDefault="00116C61" w:rsidP="00116C61">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A</w:t>
            </w:r>
          </w:p>
        </w:tc>
        <w:tc>
          <w:tcPr>
            <w:tcW w:w="1417" w:type="dxa"/>
            <w:tcBorders>
              <w:top w:val="single" w:sz="4" w:space="0" w:color="012169"/>
              <w:bottom w:val="single" w:sz="4" w:space="0" w:color="012169"/>
            </w:tcBorders>
            <w:shd w:val="clear" w:color="auto" w:fill="auto"/>
            <w:vAlign w:val="center"/>
          </w:tcPr>
          <w:p w14:paraId="229C1526" w14:textId="16C783B0" w:rsidR="00116C61" w:rsidRDefault="00116C61" w:rsidP="00116C61">
            <w:pPr>
              <w:spacing w:after="0" w:line="240" w:lineRule="auto"/>
              <w:jc w:val="center"/>
              <w:rPr>
                <w:rFonts w:eastAsia="Times New Roman" w:cs="Times New Roman"/>
                <w:b/>
                <w:color w:val="17365D"/>
                <w:sz w:val="18"/>
                <w:szCs w:val="18"/>
              </w:rPr>
            </w:pPr>
            <w:r>
              <w:rPr>
                <w:rFonts w:eastAsia="Times New Roman" w:cs="Times New Roman"/>
                <w:b/>
                <w:color w:val="17365D"/>
                <w:sz w:val="18"/>
                <w:szCs w:val="18"/>
              </w:rPr>
              <w:t>1</w:t>
            </w:r>
          </w:p>
        </w:tc>
        <w:tc>
          <w:tcPr>
            <w:tcW w:w="1451" w:type="dxa"/>
            <w:gridSpan w:val="4"/>
            <w:tcBorders>
              <w:top w:val="single" w:sz="4" w:space="0" w:color="012169"/>
              <w:bottom w:val="single" w:sz="4" w:space="0" w:color="012169"/>
            </w:tcBorders>
            <w:shd w:val="clear" w:color="auto" w:fill="auto"/>
            <w:vAlign w:val="center"/>
          </w:tcPr>
          <w:p w14:paraId="58E41BA2" w14:textId="7F13AF48" w:rsidR="00116C61" w:rsidRDefault="00116C61" w:rsidP="00116C61">
            <w:pPr>
              <w:spacing w:after="0" w:line="240" w:lineRule="auto"/>
              <w:jc w:val="center"/>
              <w:rPr>
                <w:rFonts w:eastAsia="Times New Roman" w:cs="Times New Roman"/>
                <w:b/>
                <w:color w:val="17365D"/>
                <w:sz w:val="18"/>
                <w:szCs w:val="18"/>
              </w:rPr>
            </w:pPr>
            <w:r>
              <w:rPr>
                <w:rFonts w:eastAsia="Times New Roman" w:cs="Times New Roman"/>
                <w:b/>
                <w:color w:val="17365D"/>
                <w:sz w:val="18"/>
                <w:szCs w:val="18"/>
              </w:rPr>
              <w:t>2</w:t>
            </w:r>
          </w:p>
        </w:tc>
        <w:tc>
          <w:tcPr>
            <w:tcW w:w="1384" w:type="dxa"/>
            <w:gridSpan w:val="3"/>
            <w:tcBorders>
              <w:top w:val="single" w:sz="4" w:space="0" w:color="012169"/>
              <w:bottom w:val="single" w:sz="4" w:space="0" w:color="012169"/>
            </w:tcBorders>
            <w:shd w:val="clear" w:color="auto" w:fill="auto"/>
            <w:vAlign w:val="center"/>
          </w:tcPr>
          <w:p w14:paraId="420504F8" w14:textId="31384DC6" w:rsidR="00116C61" w:rsidRDefault="00116C61" w:rsidP="00116C61">
            <w:pPr>
              <w:spacing w:after="0" w:line="240" w:lineRule="auto"/>
              <w:jc w:val="center"/>
              <w:rPr>
                <w:rFonts w:eastAsia="Times New Roman" w:cs="Times New Roman"/>
                <w:b/>
                <w:color w:val="17365D"/>
                <w:sz w:val="18"/>
                <w:szCs w:val="18"/>
              </w:rPr>
            </w:pPr>
            <w:r>
              <w:rPr>
                <w:rFonts w:eastAsia="Times New Roman" w:cs="Times New Roman"/>
                <w:b/>
                <w:color w:val="17365D"/>
                <w:sz w:val="18"/>
                <w:szCs w:val="18"/>
              </w:rPr>
              <w:t>3</w:t>
            </w:r>
          </w:p>
        </w:tc>
        <w:tc>
          <w:tcPr>
            <w:tcW w:w="1560" w:type="dxa"/>
            <w:gridSpan w:val="3"/>
            <w:tcBorders>
              <w:top w:val="single" w:sz="4" w:space="0" w:color="012169"/>
              <w:bottom w:val="single" w:sz="4" w:space="0" w:color="012169"/>
            </w:tcBorders>
            <w:shd w:val="clear" w:color="auto" w:fill="auto"/>
            <w:vAlign w:val="center"/>
          </w:tcPr>
          <w:p w14:paraId="559C863E" w14:textId="580C7F11" w:rsidR="00116C61" w:rsidRDefault="00116C61" w:rsidP="00116C61">
            <w:pPr>
              <w:spacing w:after="0" w:line="240" w:lineRule="auto"/>
              <w:jc w:val="center"/>
              <w:rPr>
                <w:rFonts w:eastAsia="Times New Roman" w:cs="Times New Roman"/>
                <w:b/>
                <w:color w:val="17365D"/>
                <w:sz w:val="18"/>
                <w:szCs w:val="18"/>
              </w:rPr>
            </w:pPr>
            <w:r>
              <w:rPr>
                <w:rFonts w:eastAsia="Times New Roman" w:cs="Times New Roman"/>
                <w:b/>
                <w:color w:val="17365D"/>
                <w:sz w:val="18"/>
                <w:szCs w:val="18"/>
              </w:rPr>
              <w:t>4</w:t>
            </w:r>
          </w:p>
        </w:tc>
        <w:tc>
          <w:tcPr>
            <w:tcW w:w="1152" w:type="dxa"/>
            <w:tcBorders>
              <w:top w:val="single" w:sz="4" w:space="0" w:color="012169"/>
              <w:bottom w:val="single" w:sz="4" w:space="0" w:color="012169"/>
            </w:tcBorders>
            <w:shd w:val="clear" w:color="auto" w:fill="auto"/>
            <w:vAlign w:val="center"/>
          </w:tcPr>
          <w:p w14:paraId="70D6E4CB" w14:textId="72739CB8" w:rsidR="00116C61" w:rsidRDefault="00116C61" w:rsidP="00116C61">
            <w:pPr>
              <w:spacing w:after="0" w:line="240" w:lineRule="auto"/>
              <w:jc w:val="center"/>
              <w:rPr>
                <w:rFonts w:eastAsia="Times New Roman" w:cs="Times New Roman"/>
                <w:b/>
                <w:color w:val="17365D"/>
                <w:sz w:val="18"/>
                <w:szCs w:val="18"/>
              </w:rPr>
            </w:pPr>
            <w:r>
              <w:rPr>
                <w:rFonts w:eastAsia="Times New Roman" w:cs="Times New Roman"/>
                <w:b/>
                <w:color w:val="17365D"/>
                <w:sz w:val="18"/>
                <w:szCs w:val="18"/>
              </w:rPr>
              <w:t>5</w:t>
            </w:r>
          </w:p>
        </w:tc>
      </w:tr>
      <w:tr w:rsidR="00116C61" w:rsidRPr="00587EA8" w14:paraId="05C504ED"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374497AB" w14:textId="77777777" w:rsidR="00116C61" w:rsidRPr="00587EA8" w:rsidRDefault="00116C61" w:rsidP="00116C61">
            <w:pPr>
              <w:spacing w:after="0" w:line="240" w:lineRule="auto"/>
              <w:rPr>
                <w:rFonts w:eastAsia="Times New Roman" w:cs="Times New Roman"/>
                <w:color w:val="17365D"/>
                <w:sz w:val="18"/>
                <w:szCs w:val="18"/>
              </w:rPr>
            </w:pPr>
            <w:r>
              <w:rPr>
                <w:b/>
                <w:bCs/>
                <w:color w:val="17365D"/>
                <w:sz w:val="18"/>
                <w:szCs w:val="18"/>
              </w:rPr>
              <w:t xml:space="preserve">Izdevumi </w:t>
            </w:r>
          </w:p>
        </w:tc>
        <w:tc>
          <w:tcPr>
            <w:tcW w:w="1417" w:type="dxa"/>
            <w:tcBorders>
              <w:top w:val="single" w:sz="4" w:space="0" w:color="012169"/>
              <w:bottom w:val="single" w:sz="4" w:space="0" w:color="012169"/>
            </w:tcBorders>
            <w:shd w:val="clear" w:color="auto" w:fill="auto"/>
            <w:vAlign w:val="center"/>
          </w:tcPr>
          <w:p w14:paraId="5D7B5003" w14:textId="77777777" w:rsidR="00116C61" w:rsidRPr="00EA1201" w:rsidRDefault="00116C61" w:rsidP="00116C61">
            <w:pPr>
              <w:spacing w:after="0" w:line="240" w:lineRule="auto"/>
              <w:jc w:val="right"/>
              <w:rPr>
                <w:b/>
                <w:bCs/>
                <w:color w:val="17365D"/>
                <w:sz w:val="18"/>
                <w:szCs w:val="18"/>
              </w:rPr>
            </w:pPr>
            <w:r w:rsidRPr="00EA1201">
              <w:rPr>
                <w:b/>
                <w:bCs/>
                <w:color w:val="17365D"/>
                <w:sz w:val="18"/>
                <w:szCs w:val="18"/>
              </w:rPr>
              <w:t>-10 305 455 061</w:t>
            </w:r>
          </w:p>
        </w:tc>
        <w:tc>
          <w:tcPr>
            <w:tcW w:w="1451" w:type="dxa"/>
            <w:gridSpan w:val="4"/>
            <w:tcBorders>
              <w:top w:val="single" w:sz="4" w:space="0" w:color="012169"/>
              <w:bottom w:val="single" w:sz="4" w:space="0" w:color="012169"/>
            </w:tcBorders>
            <w:shd w:val="clear" w:color="F2F2F2" w:fill="FFFFFF"/>
            <w:vAlign w:val="center"/>
          </w:tcPr>
          <w:p w14:paraId="5EB97B93" w14:textId="77777777" w:rsidR="00116C61" w:rsidRPr="00EA1201" w:rsidRDefault="00116C61" w:rsidP="00116C61">
            <w:pPr>
              <w:spacing w:after="0" w:line="240" w:lineRule="auto"/>
              <w:jc w:val="right"/>
              <w:rPr>
                <w:b/>
                <w:bCs/>
                <w:color w:val="17365D"/>
                <w:sz w:val="18"/>
                <w:szCs w:val="18"/>
              </w:rPr>
            </w:pPr>
            <w:r w:rsidRPr="00EA1201">
              <w:rPr>
                <w:b/>
                <w:bCs/>
                <w:color w:val="17365D"/>
                <w:sz w:val="18"/>
                <w:szCs w:val="18"/>
              </w:rPr>
              <w:t>-9 919 820 819</w:t>
            </w:r>
          </w:p>
        </w:tc>
        <w:tc>
          <w:tcPr>
            <w:tcW w:w="1384" w:type="dxa"/>
            <w:gridSpan w:val="3"/>
            <w:tcBorders>
              <w:top w:val="single" w:sz="4" w:space="0" w:color="012169"/>
              <w:bottom w:val="single" w:sz="4" w:space="0" w:color="012169"/>
            </w:tcBorders>
            <w:shd w:val="clear" w:color="F2F2F2" w:fill="FFFFFF"/>
            <w:vAlign w:val="center"/>
          </w:tcPr>
          <w:p w14:paraId="0CC6933E" w14:textId="77777777" w:rsidR="00116C61" w:rsidRPr="00EA1201" w:rsidRDefault="00116C61" w:rsidP="00116C61">
            <w:pPr>
              <w:spacing w:after="0" w:line="240" w:lineRule="auto"/>
              <w:jc w:val="right"/>
              <w:rPr>
                <w:b/>
                <w:bCs/>
                <w:color w:val="17365D"/>
                <w:sz w:val="18"/>
                <w:szCs w:val="18"/>
              </w:rPr>
            </w:pPr>
            <w:r w:rsidRPr="00EA1201">
              <w:rPr>
                <w:b/>
                <w:bCs/>
                <w:color w:val="17365D"/>
                <w:sz w:val="18"/>
                <w:szCs w:val="18"/>
              </w:rPr>
              <w:t>-9 164 438 829</w:t>
            </w:r>
          </w:p>
        </w:tc>
        <w:tc>
          <w:tcPr>
            <w:tcW w:w="1560" w:type="dxa"/>
            <w:gridSpan w:val="3"/>
            <w:tcBorders>
              <w:top w:val="single" w:sz="4" w:space="0" w:color="012169"/>
              <w:bottom w:val="single" w:sz="4" w:space="0" w:color="012169"/>
            </w:tcBorders>
            <w:shd w:val="clear" w:color="auto" w:fill="auto"/>
            <w:vAlign w:val="center"/>
          </w:tcPr>
          <w:p w14:paraId="390B6706" w14:textId="77777777" w:rsidR="00116C61" w:rsidRPr="00EA1201" w:rsidRDefault="00116C61" w:rsidP="00116C61">
            <w:pPr>
              <w:spacing w:after="0" w:line="240" w:lineRule="auto"/>
              <w:jc w:val="right"/>
              <w:rPr>
                <w:b/>
                <w:bCs/>
                <w:color w:val="17365D"/>
                <w:sz w:val="18"/>
                <w:szCs w:val="18"/>
              </w:rPr>
            </w:pPr>
            <w:r w:rsidRPr="00EA1201">
              <w:rPr>
                <w:b/>
                <w:bCs/>
                <w:color w:val="17365D"/>
                <w:sz w:val="18"/>
                <w:szCs w:val="18"/>
              </w:rPr>
              <w:t>-9 495 689 562</w:t>
            </w:r>
          </w:p>
        </w:tc>
        <w:tc>
          <w:tcPr>
            <w:tcW w:w="1152" w:type="dxa"/>
            <w:tcBorders>
              <w:top w:val="single" w:sz="4" w:space="0" w:color="012169"/>
              <w:bottom w:val="single" w:sz="4" w:space="0" w:color="012169"/>
            </w:tcBorders>
            <w:shd w:val="clear" w:color="auto" w:fill="auto"/>
            <w:vAlign w:val="center"/>
          </w:tcPr>
          <w:p w14:paraId="057C1F2F" w14:textId="77777777" w:rsidR="00116C61" w:rsidRPr="00EA1201" w:rsidRDefault="00116C61" w:rsidP="00116C61">
            <w:pPr>
              <w:spacing w:after="0" w:line="240" w:lineRule="auto"/>
              <w:jc w:val="right"/>
              <w:rPr>
                <w:b/>
                <w:bCs/>
                <w:color w:val="17365D"/>
                <w:sz w:val="18"/>
                <w:szCs w:val="18"/>
              </w:rPr>
            </w:pPr>
            <w:r w:rsidRPr="00EA1201">
              <w:rPr>
                <w:b/>
                <w:bCs/>
                <w:color w:val="17365D"/>
                <w:sz w:val="18"/>
                <w:szCs w:val="18"/>
              </w:rPr>
              <w:t>7 508 778</w:t>
            </w:r>
          </w:p>
        </w:tc>
      </w:tr>
      <w:tr w:rsidR="00116C61" w:rsidRPr="00587EA8" w14:paraId="3919C51F"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725AAA12"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Atalgojums</w:t>
            </w:r>
          </w:p>
        </w:tc>
        <w:tc>
          <w:tcPr>
            <w:tcW w:w="1417" w:type="dxa"/>
            <w:tcBorders>
              <w:top w:val="single" w:sz="4" w:space="0" w:color="012169"/>
              <w:bottom w:val="single" w:sz="4" w:space="0" w:color="012169"/>
            </w:tcBorders>
            <w:shd w:val="clear" w:color="auto" w:fill="auto"/>
            <w:vAlign w:val="center"/>
          </w:tcPr>
          <w:p w14:paraId="1B3B7AAA"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53DD84A1"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384" w:type="dxa"/>
            <w:gridSpan w:val="3"/>
            <w:tcBorders>
              <w:top w:val="single" w:sz="4" w:space="0" w:color="012169"/>
              <w:bottom w:val="single" w:sz="4" w:space="0" w:color="012169"/>
            </w:tcBorders>
            <w:shd w:val="clear" w:color="F2F2F2" w:fill="FFFFFF"/>
            <w:vAlign w:val="center"/>
          </w:tcPr>
          <w:p w14:paraId="7435E928"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560" w:type="dxa"/>
            <w:gridSpan w:val="3"/>
            <w:tcBorders>
              <w:top w:val="single" w:sz="4" w:space="0" w:color="012169"/>
              <w:bottom w:val="single" w:sz="4" w:space="0" w:color="012169"/>
            </w:tcBorders>
            <w:shd w:val="clear" w:color="auto" w:fill="auto"/>
            <w:vAlign w:val="center"/>
          </w:tcPr>
          <w:p w14:paraId="533E871C"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152" w:type="dxa"/>
            <w:tcBorders>
              <w:top w:val="single" w:sz="4" w:space="0" w:color="012169"/>
              <w:bottom w:val="single" w:sz="4" w:space="0" w:color="012169"/>
            </w:tcBorders>
            <w:shd w:val="clear" w:color="auto" w:fill="auto"/>
            <w:vAlign w:val="center"/>
          </w:tcPr>
          <w:p w14:paraId="20D22673" w14:textId="77777777" w:rsidR="00116C61" w:rsidRPr="00EA1201" w:rsidRDefault="00116C61" w:rsidP="00116C61">
            <w:pPr>
              <w:spacing w:after="0" w:line="240" w:lineRule="auto"/>
              <w:jc w:val="right"/>
              <w:rPr>
                <w:color w:val="17365D"/>
                <w:sz w:val="18"/>
                <w:szCs w:val="18"/>
              </w:rPr>
            </w:pPr>
            <w:r w:rsidRPr="00EA1201">
              <w:rPr>
                <w:color w:val="17365D"/>
                <w:sz w:val="18"/>
                <w:szCs w:val="18"/>
              </w:rPr>
              <w:t>28 086</w:t>
            </w:r>
          </w:p>
        </w:tc>
      </w:tr>
      <w:tr w:rsidR="00116C61" w:rsidRPr="00587EA8" w14:paraId="4D61AFD0"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2CAC0AB5"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Darba devēja sociālās apdrošināšanas iemaksas, pabalsti un kompensācijas</w:t>
            </w:r>
          </w:p>
        </w:tc>
        <w:tc>
          <w:tcPr>
            <w:tcW w:w="1417" w:type="dxa"/>
            <w:tcBorders>
              <w:top w:val="single" w:sz="4" w:space="0" w:color="012169"/>
              <w:bottom w:val="single" w:sz="4" w:space="0" w:color="012169"/>
            </w:tcBorders>
            <w:shd w:val="clear" w:color="auto" w:fill="auto"/>
            <w:vAlign w:val="center"/>
          </w:tcPr>
          <w:p w14:paraId="5F23906D"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72689B28"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384" w:type="dxa"/>
            <w:gridSpan w:val="3"/>
            <w:tcBorders>
              <w:top w:val="single" w:sz="4" w:space="0" w:color="012169"/>
              <w:bottom w:val="single" w:sz="4" w:space="0" w:color="012169"/>
            </w:tcBorders>
            <w:shd w:val="clear" w:color="F2F2F2" w:fill="FFFFFF"/>
            <w:vAlign w:val="center"/>
          </w:tcPr>
          <w:p w14:paraId="32154D83"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560" w:type="dxa"/>
            <w:gridSpan w:val="3"/>
            <w:tcBorders>
              <w:top w:val="single" w:sz="4" w:space="0" w:color="012169"/>
              <w:bottom w:val="single" w:sz="4" w:space="0" w:color="012169"/>
            </w:tcBorders>
            <w:shd w:val="clear" w:color="auto" w:fill="auto"/>
            <w:vAlign w:val="center"/>
          </w:tcPr>
          <w:p w14:paraId="764B575B"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152" w:type="dxa"/>
            <w:tcBorders>
              <w:top w:val="single" w:sz="4" w:space="0" w:color="012169"/>
              <w:bottom w:val="single" w:sz="4" w:space="0" w:color="012169"/>
            </w:tcBorders>
            <w:shd w:val="clear" w:color="auto" w:fill="auto"/>
            <w:vAlign w:val="center"/>
          </w:tcPr>
          <w:p w14:paraId="436323D0" w14:textId="77777777" w:rsidR="00116C61" w:rsidRPr="00EA1201" w:rsidRDefault="00116C61" w:rsidP="00116C61">
            <w:pPr>
              <w:spacing w:after="0" w:line="240" w:lineRule="auto"/>
              <w:jc w:val="right"/>
              <w:rPr>
                <w:color w:val="17365D"/>
                <w:sz w:val="18"/>
                <w:szCs w:val="18"/>
              </w:rPr>
            </w:pPr>
            <w:r w:rsidRPr="00EA1201">
              <w:rPr>
                <w:color w:val="17365D"/>
                <w:sz w:val="18"/>
                <w:szCs w:val="18"/>
              </w:rPr>
              <w:t>5 080</w:t>
            </w:r>
          </w:p>
        </w:tc>
      </w:tr>
      <w:tr w:rsidR="00116C61" w:rsidRPr="00587EA8" w14:paraId="4C4EEFD9"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37A2A2D1"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Pakalpojumi</w:t>
            </w:r>
          </w:p>
        </w:tc>
        <w:tc>
          <w:tcPr>
            <w:tcW w:w="1417" w:type="dxa"/>
            <w:tcBorders>
              <w:top w:val="single" w:sz="4" w:space="0" w:color="012169"/>
              <w:bottom w:val="single" w:sz="4" w:space="0" w:color="012169"/>
            </w:tcBorders>
            <w:shd w:val="clear" w:color="auto" w:fill="auto"/>
            <w:vAlign w:val="center"/>
          </w:tcPr>
          <w:p w14:paraId="754D071C"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2716BF8D"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384" w:type="dxa"/>
            <w:gridSpan w:val="3"/>
            <w:tcBorders>
              <w:top w:val="single" w:sz="4" w:space="0" w:color="012169"/>
              <w:bottom w:val="single" w:sz="4" w:space="0" w:color="012169"/>
            </w:tcBorders>
            <w:shd w:val="clear" w:color="F2F2F2" w:fill="FFFFFF"/>
            <w:vAlign w:val="center"/>
          </w:tcPr>
          <w:p w14:paraId="2EBF39CC" w14:textId="77777777" w:rsidR="00116C61" w:rsidRPr="00EA1201" w:rsidRDefault="00116C61" w:rsidP="00116C61">
            <w:pPr>
              <w:spacing w:after="0" w:line="240" w:lineRule="auto"/>
              <w:jc w:val="right"/>
              <w:rPr>
                <w:color w:val="17365D"/>
                <w:sz w:val="18"/>
                <w:szCs w:val="18"/>
              </w:rPr>
            </w:pPr>
            <w:r w:rsidRPr="00EA1201">
              <w:rPr>
                <w:color w:val="17365D"/>
                <w:sz w:val="18"/>
                <w:szCs w:val="18"/>
              </w:rPr>
              <w:t>-1 479 533</w:t>
            </w:r>
          </w:p>
        </w:tc>
        <w:tc>
          <w:tcPr>
            <w:tcW w:w="1560" w:type="dxa"/>
            <w:gridSpan w:val="3"/>
            <w:tcBorders>
              <w:top w:val="single" w:sz="4" w:space="0" w:color="012169"/>
              <w:bottom w:val="single" w:sz="4" w:space="0" w:color="012169"/>
            </w:tcBorders>
            <w:shd w:val="clear" w:color="auto" w:fill="auto"/>
            <w:vAlign w:val="center"/>
          </w:tcPr>
          <w:p w14:paraId="79191C13" w14:textId="77777777" w:rsidR="00116C61" w:rsidRPr="00EA1201" w:rsidRDefault="00116C61" w:rsidP="00116C61">
            <w:pPr>
              <w:spacing w:after="0" w:line="240" w:lineRule="auto"/>
              <w:jc w:val="right"/>
              <w:rPr>
                <w:color w:val="17365D"/>
                <w:sz w:val="18"/>
                <w:szCs w:val="18"/>
              </w:rPr>
            </w:pPr>
            <w:r w:rsidRPr="00EA1201">
              <w:rPr>
                <w:color w:val="17365D"/>
                <w:sz w:val="18"/>
                <w:szCs w:val="18"/>
              </w:rPr>
              <w:t>-1 907 217</w:t>
            </w:r>
          </w:p>
        </w:tc>
        <w:tc>
          <w:tcPr>
            <w:tcW w:w="1152" w:type="dxa"/>
            <w:tcBorders>
              <w:top w:val="single" w:sz="4" w:space="0" w:color="012169"/>
              <w:bottom w:val="single" w:sz="4" w:space="0" w:color="012169"/>
            </w:tcBorders>
            <w:shd w:val="clear" w:color="auto" w:fill="auto"/>
            <w:vAlign w:val="center"/>
          </w:tcPr>
          <w:p w14:paraId="5357045B" w14:textId="77777777" w:rsidR="00116C61" w:rsidRPr="00EA1201" w:rsidRDefault="00116C61" w:rsidP="00116C61">
            <w:pPr>
              <w:spacing w:after="0" w:line="240" w:lineRule="auto"/>
              <w:jc w:val="right"/>
              <w:rPr>
                <w:color w:val="17365D"/>
                <w:sz w:val="18"/>
                <w:szCs w:val="18"/>
              </w:rPr>
            </w:pPr>
            <w:r w:rsidRPr="00EA1201">
              <w:rPr>
                <w:color w:val="17365D"/>
                <w:sz w:val="18"/>
                <w:szCs w:val="18"/>
              </w:rPr>
              <w:t>267 089</w:t>
            </w:r>
          </w:p>
        </w:tc>
      </w:tr>
      <w:tr w:rsidR="00116C61" w:rsidRPr="00587EA8" w14:paraId="26E5755A"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0B543B0A"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Krājumi, materiāli, energoresursi, preces, biroja preces un inventārs, periodika</w:t>
            </w:r>
          </w:p>
        </w:tc>
        <w:tc>
          <w:tcPr>
            <w:tcW w:w="1417" w:type="dxa"/>
            <w:tcBorders>
              <w:top w:val="single" w:sz="4" w:space="0" w:color="012169"/>
              <w:bottom w:val="single" w:sz="4" w:space="0" w:color="012169"/>
            </w:tcBorders>
            <w:shd w:val="clear" w:color="auto" w:fill="auto"/>
            <w:vAlign w:val="center"/>
          </w:tcPr>
          <w:p w14:paraId="3969B4FE"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27513D41" w14:textId="77777777" w:rsidR="00116C61" w:rsidRPr="00EA1201" w:rsidRDefault="00116C61" w:rsidP="00116C61">
            <w:pPr>
              <w:spacing w:after="0" w:line="240" w:lineRule="auto"/>
              <w:jc w:val="right"/>
              <w:rPr>
                <w:color w:val="17365D"/>
                <w:sz w:val="18"/>
                <w:szCs w:val="18"/>
              </w:rPr>
            </w:pPr>
            <w:r w:rsidRPr="00EA1201">
              <w:rPr>
                <w:color w:val="17365D"/>
                <w:sz w:val="18"/>
                <w:szCs w:val="18"/>
              </w:rPr>
              <w:t> </w:t>
            </w:r>
            <w:r>
              <w:rPr>
                <w:color w:val="17365D"/>
                <w:sz w:val="18"/>
                <w:szCs w:val="18"/>
              </w:rPr>
              <w:t>0</w:t>
            </w:r>
          </w:p>
        </w:tc>
        <w:tc>
          <w:tcPr>
            <w:tcW w:w="1384" w:type="dxa"/>
            <w:gridSpan w:val="3"/>
            <w:tcBorders>
              <w:top w:val="single" w:sz="4" w:space="0" w:color="012169"/>
              <w:bottom w:val="single" w:sz="4" w:space="0" w:color="012169"/>
            </w:tcBorders>
            <w:shd w:val="clear" w:color="F2F2F2" w:fill="FFFFFF"/>
            <w:vAlign w:val="center"/>
          </w:tcPr>
          <w:p w14:paraId="72A7BD4D" w14:textId="77777777" w:rsidR="00116C61" w:rsidRPr="00EA1201" w:rsidRDefault="00116C61" w:rsidP="00116C61">
            <w:pPr>
              <w:spacing w:after="0" w:line="240" w:lineRule="auto"/>
              <w:jc w:val="right"/>
              <w:rPr>
                <w:color w:val="17365D"/>
                <w:sz w:val="18"/>
                <w:szCs w:val="18"/>
              </w:rPr>
            </w:pPr>
            <w:r w:rsidRPr="00EA1201">
              <w:rPr>
                <w:color w:val="17365D"/>
                <w:sz w:val="18"/>
                <w:szCs w:val="18"/>
              </w:rPr>
              <w:t>-296</w:t>
            </w:r>
          </w:p>
        </w:tc>
        <w:tc>
          <w:tcPr>
            <w:tcW w:w="1560" w:type="dxa"/>
            <w:gridSpan w:val="3"/>
            <w:tcBorders>
              <w:top w:val="single" w:sz="4" w:space="0" w:color="012169"/>
              <w:bottom w:val="single" w:sz="4" w:space="0" w:color="012169"/>
            </w:tcBorders>
            <w:shd w:val="clear" w:color="auto" w:fill="auto"/>
            <w:vAlign w:val="center"/>
          </w:tcPr>
          <w:p w14:paraId="2816393F" w14:textId="77777777" w:rsidR="00116C61" w:rsidRPr="00EA1201" w:rsidRDefault="00116C61" w:rsidP="00116C61">
            <w:pPr>
              <w:spacing w:after="0" w:line="240" w:lineRule="auto"/>
              <w:jc w:val="right"/>
              <w:rPr>
                <w:color w:val="17365D"/>
                <w:sz w:val="18"/>
                <w:szCs w:val="18"/>
              </w:rPr>
            </w:pPr>
            <w:r w:rsidRPr="00EA1201">
              <w:rPr>
                <w:color w:val="17365D"/>
                <w:sz w:val="18"/>
                <w:szCs w:val="18"/>
              </w:rPr>
              <w:t>-6559</w:t>
            </w:r>
          </w:p>
        </w:tc>
        <w:tc>
          <w:tcPr>
            <w:tcW w:w="1152" w:type="dxa"/>
            <w:tcBorders>
              <w:top w:val="single" w:sz="4" w:space="0" w:color="012169"/>
              <w:bottom w:val="single" w:sz="4" w:space="0" w:color="012169"/>
            </w:tcBorders>
            <w:shd w:val="clear" w:color="auto" w:fill="auto"/>
            <w:vAlign w:val="center"/>
          </w:tcPr>
          <w:p w14:paraId="779EEC8B" w14:textId="77777777" w:rsidR="00116C61" w:rsidRPr="00EA1201" w:rsidRDefault="00116C61" w:rsidP="00116C61">
            <w:pPr>
              <w:spacing w:after="0" w:line="240" w:lineRule="auto"/>
              <w:jc w:val="right"/>
              <w:rPr>
                <w:color w:val="17365D"/>
                <w:sz w:val="18"/>
                <w:szCs w:val="18"/>
              </w:rPr>
            </w:pPr>
            <w:r w:rsidRPr="00EA1201">
              <w:rPr>
                <w:color w:val="17365D"/>
                <w:sz w:val="18"/>
                <w:szCs w:val="18"/>
              </w:rPr>
              <w:t>767 867</w:t>
            </w:r>
          </w:p>
        </w:tc>
      </w:tr>
      <w:tr w:rsidR="00116C61" w:rsidRPr="00587EA8" w14:paraId="57BC3C77"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4BD3C40D"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Nodokļu, nodevu un naudas sodu maksājumi</w:t>
            </w:r>
          </w:p>
        </w:tc>
        <w:tc>
          <w:tcPr>
            <w:tcW w:w="1417" w:type="dxa"/>
            <w:tcBorders>
              <w:top w:val="single" w:sz="4" w:space="0" w:color="012169"/>
              <w:bottom w:val="single" w:sz="4" w:space="0" w:color="012169"/>
            </w:tcBorders>
            <w:shd w:val="clear" w:color="auto" w:fill="auto"/>
            <w:vAlign w:val="center"/>
          </w:tcPr>
          <w:p w14:paraId="16151612"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41FC60DE"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384" w:type="dxa"/>
            <w:gridSpan w:val="3"/>
            <w:tcBorders>
              <w:top w:val="single" w:sz="4" w:space="0" w:color="012169"/>
              <w:bottom w:val="single" w:sz="4" w:space="0" w:color="012169"/>
            </w:tcBorders>
            <w:shd w:val="clear" w:color="F2F2F2" w:fill="FFFFFF"/>
            <w:vAlign w:val="center"/>
          </w:tcPr>
          <w:p w14:paraId="0A1D048F"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560" w:type="dxa"/>
            <w:gridSpan w:val="3"/>
            <w:tcBorders>
              <w:top w:val="single" w:sz="4" w:space="0" w:color="012169"/>
              <w:bottom w:val="single" w:sz="4" w:space="0" w:color="012169"/>
            </w:tcBorders>
            <w:shd w:val="clear" w:color="auto" w:fill="auto"/>
            <w:vAlign w:val="center"/>
          </w:tcPr>
          <w:p w14:paraId="1644A89C"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152" w:type="dxa"/>
            <w:tcBorders>
              <w:top w:val="single" w:sz="4" w:space="0" w:color="012169"/>
              <w:bottom w:val="single" w:sz="4" w:space="0" w:color="012169"/>
            </w:tcBorders>
            <w:shd w:val="clear" w:color="auto" w:fill="auto"/>
            <w:vAlign w:val="center"/>
          </w:tcPr>
          <w:p w14:paraId="63052729" w14:textId="77777777" w:rsidR="00116C61" w:rsidRPr="00EA1201" w:rsidRDefault="00116C61" w:rsidP="00116C61">
            <w:pPr>
              <w:spacing w:after="0" w:line="240" w:lineRule="auto"/>
              <w:jc w:val="right"/>
              <w:rPr>
                <w:color w:val="17365D"/>
                <w:sz w:val="18"/>
                <w:szCs w:val="18"/>
              </w:rPr>
            </w:pPr>
            <w:r w:rsidRPr="00EA1201">
              <w:rPr>
                <w:color w:val="17365D"/>
                <w:sz w:val="18"/>
                <w:szCs w:val="18"/>
              </w:rPr>
              <w:t>46 674</w:t>
            </w:r>
          </w:p>
        </w:tc>
      </w:tr>
      <w:tr w:rsidR="00116C61" w:rsidRPr="00587EA8" w14:paraId="47BD27C1"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6B6882A3"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Subsīdijas, dotācijas un sociālie pabalsti, kārtējie maksājumi Eiropas Savienības budžetā un starptautiskā sadarbība</w:t>
            </w:r>
          </w:p>
        </w:tc>
        <w:tc>
          <w:tcPr>
            <w:tcW w:w="1417" w:type="dxa"/>
            <w:tcBorders>
              <w:top w:val="single" w:sz="4" w:space="0" w:color="012169"/>
              <w:bottom w:val="single" w:sz="4" w:space="0" w:color="012169"/>
            </w:tcBorders>
            <w:shd w:val="clear" w:color="auto" w:fill="auto"/>
            <w:vAlign w:val="center"/>
          </w:tcPr>
          <w:p w14:paraId="23688627"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7BEF3F09" w14:textId="77777777" w:rsidR="00116C61" w:rsidRPr="00EA1201" w:rsidRDefault="00116C61" w:rsidP="00116C61">
            <w:pPr>
              <w:spacing w:after="0" w:line="240" w:lineRule="auto"/>
              <w:jc w:val="right"/>
              <w:rPr>
                <w:color w:val="17365D"/>
                <w:sz w:val="18"/>
                <w:szCs w:val="18"/>
              </w:rPr>
            </w:pPr>
            <w:r w:rsidRPr="00EA1201">
              <w:rPr>
                <w:color w:val="17365D"/>
                <w:sz w:val="18"/>
                <w:szCs w:val="18"/>
              </w:rPr>
              <w:t> </w:t>
            </w:r>
            <w:r>
              <w:rPr>
                <w:color w:val="17365D"/>
                <w:sz w:val="18"/>
                <w:szCs w:val="18"/>
              </w:rPr>
              <w:t>0</w:t>
            </w:r>
          </w:p>
        </w:tc>
        <w:tc>
          <w:tcPr>
            <w:tcW w:w="1384" w:type="dxa"/>
            <w:gridSpan w:val="3"/>
            <w:tcBorders>
              <w:top w:val="single" w:sz="4" w:space="0" w:color="012169"/>
              <w:bottom w:val="single" w:sz="4" w:space="0" w:color="012169"/>
            </w:tcBorders>
            <w:shd w:val="clear" w:color="F2F2F2" w:fill="FFFFFF"/>
            <w:vAlign w:val="center"/>
          </w:tcPr>
          <w:p w14:paraId="2452374E" w14:textId="77777777" w:rsidR="00116C61" w:rsidRPr="00EA1201" w:rsidRDefault="00116C61" w:rsidP="00116C61">
            <w:pPr>
              <w:spacing w:after="0" w:line="240" w:lineRule="auto"/>
              <w:jc w:val="right"/>
              <w:rPr>
                <w:color w:val="17365D"/>
                <w:sz w:val="18"/>
                <w:szCs w:val="18"/>
              </w:rPr>
            </w:pPr>
            <w:r w:rsidRPr="00EA1201">
              <w:rPr>
                <w:color w:val="17365D"/>
                <w:sz w:val="18"/>
                <w:szCs w:val="18"/>
              </w:rPr>
              <w:t>-1 218 622</w:t>
            </w:r>
          </w:p>
        </w:tc>
        <w:tc>
          <w:tcPr>
            <w:tcW w:w="1560" w:type="dxa"/>
            <w:gridSpan w:val="3"/>
            <w:tcBorders>
              <w:top w:val="single" w:sz="4" w:space="0" w:color="012169"/>
              <w:bottom w:val="single" w:sz="4" w:space="0" w:color="012169"/>
            </w:tcBorders>
            <w:shd w:val="clear" w:color="auto" w:fill="auto"/>
            <w:vAlign w:val="center"/>
          </w:tcPr>
          <w:p w14:paraId="012068B5" w14:textId="77777777" w:rsidR="00116C61" w:rsidRPr="00EA1201" w:rsidRDefault="00116C61" w:rsidP="00116C61">
            <w:pPr>
              <w:spacing w:after="0" w:line="240" w:lineRule="auto"/>
              <w:jc w:val="right"/>
              <w:rPr>
                <w:color w:val="17365D"/>
                <w:sz w:val="18"/>
                <w:szCs w:val="18"/>
              </w:rPr>
            </w:pPr>
            <w:r w:rsidRPr="00EA1201">
              <w:rPr>
                <w:color w:val="17365D"/>
                <w:sz w:val="18"/>
                <w:szCs w:val="18"/>
              </w:rPr>
              <w:t>-960 437</w:t>
            </w:r>
          </w:p>
        </w:tc>
        <w:tc>
          <w:tcPr>
            <w:tcW w:w="1152" w:type="dxa"/>
            <w:tcBorders>
              <w:top w:val="single" w:sz="4" w:space="0" w:color="012169"/>
              <w:bottom w:val="single" w:sz="4" w:space="0" w:color="012169"/>
            </w:tcBorders>
            <w:shd w:val="clear" w:color="auto" w:fill="auto"/>
            <w:vAlign w:val="center"/>
          </w:tcPr>
          <w:p w14:paraId="535D922A" w14:textId="77777777" w:rsidR="00116C61" w:rsidRPr="00EA1201" w:rsidRDefault="00116C61" w:rsidP="00116C61">
            <w:pPr>
              <w:spacing w:after="0" w:line="240" w:lineRule="auto"/>
              <w:jc w:val="right"/>
              <w:rPr>
                <w:color w:val="17365D"/>
                <w:sz w:val="18"/>
                <w:szCs w:val="18"/>
              </w:rPr>
            </w:pPr>
            <w:r w:rsidRPr="00EA1201">
              <w:rPr>
                <w:color w:val="17365D"/>
                <w:sz w:val="18"/>
                <w:szCs w:val="18"/>
              </w:rPr>
              <w:t>112 401</w:t>
            </w:r>
          </w:p>
        </w:tc>
      </w:tr>
      <w:tr w:rsidR="00116C61" w:rsidRPr="00587EA8" w14:paraId="7EE4669F"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3EAAFBE4"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Procentu izdevumi</w:t>
            </w:r>
          </w:p>
        </w:tc>
        <w:tc>
          <w:tcPr>
            <w:tcW w:w="1417" w:type="dxa"/>
            <w:tcBorders>
              <w:top w:val="single" w:sz="4" w:space="0" w:color="012169"/>
              <w:bottom w:val="single" w:sz="4" w:space="0" w:color="012169"/>
            </w:tcBorders>
            <w:shd w:val="clear" w:color="auto" w:fill="auto"/>
            <w:vAlign w:val="center"/>
          </w:tcPr>
          <w:p w14:paraId="408E3F6E"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2C24447E"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384" w:type="dxa"/>
            <w:gridSpan w:val="3"/>
            <w:tcBorders>
              <w:top w:val="single" w:sz="4" w:space="0" w:color="012169"/>
              <w:bottom w:val="single" w:sz="4" w:space="0" w:color="012169"/>
            </w:tcBorders>
            <w:shd w:val="clear" w:color="F2F2F2" w:fill="FFFFFF"/>
            <w:vAlign w:val="center"/>
          </w:tcPr>
          <w:p w14:paraId="06644DF9" w14:textId="77777777" w:rsidR="00116C61" w:rsidRPr="00EA1201" w:rsidRDefault="00116C61" w:rsidP="00116C61">
            <w:pPr>
              <w:spacing w:after="0" w:line="240" w:lineRule="auto"/>
              <w:jc w:val="right"/>
              <w:rPr>
                <w:color w:val="17365D"/>
                <w:sz w:val="18"/>
                <w:szCs w:val="18"/>
              </w:rPr>
            </w:pPr>
            <w:r w:rsidRPr="00EA1201">
              <w:rPr>
                <w:color w:val="17365D"/>
                <w:sz w:val="18"/>
                <w:szCs w:val="18"/>
              </w:rPr>
              <w:t>-109 966 516</w:t>
            </w:r>
          </w:p>
        </w:tc>
        <w:tc>
          <w:tcPr>
            <w:tcW w:w="1560" w:type="dxa"/>
            <w:gridSpan w:val="3"/>
            <w:tcBorders>
              <w:top w:val="single" w:sz="4" w:space="0" w:color="012169"/>
              <w:bottom w:val="single" w:sz="4" w:space="0" w:color="012169"/>
            </w:tcBorders>
            <w:shd w:val="clear" w:color="F2F2F2" w:fill="FFFFFF"/>
            <w:vAlign w:val="center"/>
          </w:tcPr>
          <w:p w14:paraId="511005C6" w14:textId="77777777" w:rsidR="00116C61" w:rsidRPr="00EA1201" w:rsidRDefault="00116C61" w:rsidP="00116C61">
            <w:pPr>
              <w:spacing w:after="0" w:line="240" w:lineRule="auto"/>
              <w:jc w:val="right"/>
              <w:rPr>
                <w:color w:val="17365D"/>
                <w:sz w:val="18"/>
                <w:szCs w:val="18"/>
              </w:rPr>
            </w:pPr>
            <w:r w:rsidRPr="00EA1201">
              <w:rPr>
                <w:color w:val="17365D"/>
                <w:sz w:val="18"/>
                <w:szCs w:val="18"/>
              </w:rPr>
              <w:t>-67 420 542</w:t>
            </w:r>
          </w:p>
        </w:tc>
        <w:tc>
          <w:tcPr>
            <w:tcW w:w="1152" w:type="dxa"/>
            <w:tcBorders>
              <w:top w:val="single" w:sz="4" w:space="0" w:color="012169"/>
              <w:bottom w:val="single" w:sz="4" w:space="0" w:color="012169"/>
            </w:tcBorders>
            <w:shd w:val="clear" w:color="F2F2F2" w:fill="FFFFFF"/>
            <w:vAlign w:val="center"/>
          </w:tcPr>
          <w:p w14:paraId="6EBA5F3C"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r>
      <w:tr w:rsidR="00116C61" w:rsidRPr="00587EA8" w14:paraId="546B0089"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1B41DC46" w14:textId="77777777" w:rsidR="00116C61" w:rsidRDefault="00116C61" w:rsidP="00116C61">
            <w:pPr>
              <w:spacing w:after="0" w:line="240" w:lineRule="auto"/>
              <w:rPr>
                <w:color w:val="17365D"/>
                <w:sz w:val="18"/>
                <w:szCs w:val="18"/>
              </w:rPr>
            </w:pPr>
            <w:proofErr w:type="spellStart"/>
            <w:r>
              <w:rPr>
                <w:color w:val="17365D"/>
                <w:sz w:val="18"/>
                <w:szCs w:val="18"/>
              </w:rPr>
              <w:t>Transferti</w:t>
            </w:r>
            <w:proofErr w:type="spellEnd"/>
          </w:p>
        </w:tc>
        <w:tc>
          <w:tcPr>
            <w:tcW w:w="1417" w:type="dxa"/>
            <w:tcBorders>
              <w:top w:val="single" w:sz="4" w:space="0" w:color="012169"/>
              <w:bottom w:val="single" w:sz="4" w:space="0" w:color="012169"/>
            </w:tcBorders>
            <w:shd w:val="clear" w:color="auto" w:fill="auto"/>
            <w:vAlign w:val="center"/>
          </w:tcPr>
          <w:p w14:paraId="48AC1C4E" w14:textId="77777777" w:rsidR="00116C61" w:rsidRPr="00EA1201" w:rsidRDefault="00116C61" w:rsidP="00116C61">
            <w:pPr>
              <w:spacing w:after="0" w:line="240" w:lineRule="auto"/>
              <w:jc w:val="right"/>
              <w:rPr>
                <w:color w:val="17365D"/>
                <w:sz w:val="18"/>
                <w:szCs w:val="18"/>
              </w:rPr>
            </w:pPr>
            <w:r w:rsidRPr="00EA1201">
              <w:rPr>
                <w:color w:val="17365D"/>
                <w:sz w:val="18"/>
                <w:szCs w:val="18"/>
              </w:rPr>
              <w:t>-1 233 204</w:t>
            </w:r>
          </w:p>
        </w:tc>
        <w:tc>
          <w:tcPr>
            <w:tcW w:w="1451" w:type="dxa"/>
            <w:gridSpan w:val="4"/>
            <w:tcBorders>
              <w:top w:val="single" w:sz="4" w:space="0" w:color="012169"/>
              <w:bottom w:val="single" w:sz="4" w:space="0" w:color="012169"/>
            </w:tcBorders>
            <w:shd w:val="clear" w:color="F2F2F2" w:fill="FFFFFF"/>
            <w:vAlign w:val="center"/>
          </w:tcPr>
          <w:p w14:paraId="0DC6C2FE" w14:textId="77777777" w:rsidR="00116C61" w:rsidRPr="00EA1201" w:rsidRDefault="00116C61" w:rsidP="00116C61">
            <w:pPr>
              <w:spacing w:after="0" w:line="240" w:lineRule="auto"/>
              <w:jc w:val="right"/>
              <w:rPr>
                <w:color w:val="17365D"/>
                <w:sz w:val="18"/>
                <w:szCs w:val="18"/>
              </w:rPr>
            </w:pPr>
            <w:r w:rsidRPr="00EA1201">
              <w:rPr>
                <w:color w:val="17365D"/>
                <w:sz w:val="18"/>
                <w:szCs w:val="18"/>
              </w:rPr>
              <w:t>61 645</w:t>
            </w:r>
          </w:p>
        </w:tc>
        <w:tc>
          <w:tcPr>
            <w:tcW w:w="1384" w:type="dxa"/>
            <w:gridSpan w:val="3"/>
            <w:tcBorders>
              <w:top w:val="single" w:sz="4" w:space="0" w:color="012169"/>
              <w:bottom w:val="single" w:sz="4" w:space="0" w:color="012169"/>
            </w:tcBorders>
            <w:shd w:val="clear" w:color="F2F2F2" w:fill="FFFFFF"/>
            <w:vAlign w:val="center"/>
          </w:tcPr>
          <w:p w14:paraId="1D3337E8" w14:textId="77777777" w:rsidR="00116C61" w:rsidRPr="00EA1201" w:rsidRDefault="00116C61" w:rsidP="00116C61">
            <w:pPr>
              <w:spacing w:after="0" w:line="240" w:lineRule="auto"/>
              <w:jc w:val="right"/>
              <w:rPr>
                <w:color w:val="17365D"/>
                <w:sz w:val="18"/>
                <w:szCs w:val="18"/>
              </w:rPr>
            </w:pPr>
            <w:r w:rsidRPr="00EA1201">
              <w:rPr>
                <w:color w:val="17365D"/>
                <w:sz w:val="18"/>
                <w:szCs w:val="18"/>
              </w:rPr>
              <w:t>-1 686 208 609</w:t>
            </w:r>
          </w:p>
        </w:tc>
        <w:tc>
          <w:tcPr>
            <w:tcW w:w="1560" w:type="dxa"/>
            <w:gridSpan w:val="3"/>
            <w:tcBorders>
              <w:top w:val="single" w:sz="4" w:space="0" w:color="012169"/>
              <w:bottom w:val="single" w:sz="4" w:space="0" w:color="012169"/>
            </w:tcBorders>
            <w:shd w:val="clear" w:color="F2F2F2" w:fill="FFFFFF"/>
            <w:vAlign w:val="center"/>
          </w:tcPr>
          <w:p w14:paraId="50F48A82" w14:textId="77777777" w:rsidR="00116C61" w:rsidRPr="00EA1201" w:rsidRDefault="00116C61" w:rsidP="00116C61">
            <w:pPr>
              <w:spacing w:after="0" w:line="240" w:lineRule="auto"/>
              <w:jc w:val="right"/>
              <w:rPr>
                <w:color w:val="17365D"/>
                <w:sz w:val="18"/>
                <w:szCs w:val="18"/>
              </w:rPr>
            </w:pPr>
            <w:r w:rsidRPr="00EA1201">
              <w:rPr>
                <w:color w:val="17365D"/>
                <w:sz w:val="18"/>
                <w:szCs w:val="18"/>
              </w:rPr>
              <w:t>-2 549 855 042</w:t>
            </w:r>
          </w:p>
        </w:tc>
        <w:tc>
          <w:tcPr>
            <w:tcW w:w="1152" w:type="dxa"/>
            <w:tcBorders>
              <w:top w:val="single" w:sz="4" w:space="0" w:color="012169"/>
              <w:bottom w:val="single" w:sz="4" w:space="0" w:color="012169"/>
            </w:tcBorders>
            <w:shd w:val="clear" w:color="F2F2F2" w:fill="FFFFFF"/>
            <w:vAlign w:val="center"/>
          </w:tcPr>
          <w:p w14:paraId="50728527"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r>
      <w:tr w:rsidR="00116C61" w:rsidRPr="00587EA8" w14:paraId="729FC01B"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280059AB" w14:textId="77777777"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 xml:space="preserve">Nolietojuma un amortizācijas izmaksas </w:t>
            </w:r>
          </w:p>
        </w:tc>
        <w:tc>
          <w:tcPr>
            <w:tcW w:w="1417" w:type="dxa"/>
            <w:tcBorders>
              <w:top w:val="single" w:sz="4" w:space="0" w:color="012169"/>
              <w:bottom w:val="single" w:sz="4" w:space="0" w:color="012169"/>
            </w:tcBorders>
            <w:shd w:val="clear" w:color="auto" w:fill="auto"/>
            <w:vAlign w:val="center"/>
          </w:tcPr>
          <w:p w14:paraId="307CBD0E"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451" w:type="dxa"/>
            <w:gridSpan w:val="4"/>
            <w:tcBorders>
              <w:top w:val="single" w:sz="4" w:space="0" w:color="012169"/>
              <w:bottom w:val="single" w:sz="4" w:space="0" w:color="012169"/>
            </w:tcBorders>
            <w:shd w:val="clear" w:color="F2F2F2" w:fill="FFFFFF"/>
            <w:vAlign w:val="center"/>
          </w:tcPr>
          <w:p w14:paraId="3C6D83F3"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384" w:type="dxa"/>
            <w:gridSpan w:val="3"/>
            <w:tcBorders>
              <w:top w:val="single" w:sz="4" w:space="0" w:color="012169"/>
              <w:bottom w:val="single" w:sz="4" w:space="0" w:color="012169"/>
            </w:tcBorders>
            <w:shd w:val="clear" w:color="F2F2F2" w:fill="FFFFFF"/>
            <w:vAlign w:val="center"/>
          </w:tcPr>
          <w:p w14:paraId="506BCE27"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560" w:type="dxa"/>
            <w:gridSpan w:val="3"/>
            <w:tcBorders>
              <w:top w:val="single" w:sz="4" w:space="0" w:color="012169"/>
              <w:bottom w:val="single" w:sz="4" w:space="0" w:color="012169"/>
            </w:tcBorders>
            <w:shd w:val="clear" w:color="auto" w:fill="auto"/>
            <w:vAlign w:val="center"/>
          </w:tcPr>
          <w:p w14:paraId="52D095F1" w14:textId="77777777" w:rsidR="00116C61" w:rsidRPr="00EA1201" w:rsidRDefault="00116C61" w:rsidP="00116C61">
            <w:pPr>
              <w:spacing w:after="0" w:line="240" w:lineRule="auto"/>
              <w:jc w:val="right"/>
              <w:rPr>
                <w:color w:val="17365D"/>
                <w:sz w:val="18"/>
                <w:szCs w:val="18"/>
              </w:rPr>
            </w:pPr>
            <w:r>
              <w:rPr>
                <w:color w:val="17365D"/>
                <w:sz w:val="18"/>
                <w:szCs w:val="18"/>
              </w:rPr>
              <w:t>0</w:t>
            </w:r>
            <w:r w:rsidRPr="00EA1201">
              <w:rPr>
                <w:color w:val="17365D"/>
                <w:sz w:val="18"/>
                <w:szCs w:val="18"/>
              </w:rPr>
              <w:t> </w:t>
            </w:r>
          </w:p>
        </w:tc>
        <w:tc>
          <w:tcPr>
            <w:tcW w:w="1152" w:type="dxa"/>
            <w:tcBorders>
              <w:top w:val="single" w:sz="4" w:space="0" w:color="012169"/>
              <w:bottom w:val="single" w:sz="4" w:space="0" w:color="012169"/>
            </w:tcBorders>
            <w:shd w:val="clear" w:color="auto" w:fill="auto"/>
            <w:vAlign w:val="center"/>
          </w:tcPr>
          <w:p w14:paraId="27152E58" w14:textId="77777777" w:rsidR="00116C61" w:rsidRPr="00EA1201" w:rsidRDefault="00116C61" w:rsidP="00116C61">
            <w:pPr>
              <w:spacing w:after="0" w:line="240" w:lineRule="auto"/>
              <w:jc w:val="right"/>
              <w:rPr>
                <w:color w:val="17365D"/>
                <w:sz w:val="18"/>
                <w:szCs w:val="18"/>
              </w:rPr>
            </w:pPr>
            <w:r w:rsidRPr="00EA1201">
              <w:rPr>
                <w:color w:val="17365D"/>
                <w:sz w:val="18"/>
                <w:szCs w:val="18"/>
              </w:rPr>
              <w:t>83 772</w:t>
            </w:r>
          </w:p>
        </w:tc>
      </w:tr>
      <w:tr w:rsidR="00116C61" w:rsidRPr="00587EA8" w14:paraId="5F67DB42" w14:textId="77777777" w:rsidTr="009A4177">
        <w:trPr>
          <w:gridAfter w:val="1"/>
          <w:wAfter w:w="6" w:type="dxa"/>
          <w:trHeight w:val="261"/>
        </w:trPr>
        <w:tc>
          <w:tcPr>
            <w:tcW w:w="2551" w:type="dxa"/>
            <w:gridSpan w:val="2"/>
            <w:tcBorders>
              <w:top w:val="single" w:sz="4" w:space="0" w:color="012169"/>
              <w:bottom w:val="single" w:sz="4" w:space="0" w:color="012169"/>
            </w:tcBorders>
            <w:shd w:val="clear" w:color="auto" w:fill="auto"/>
            <w:vAlign w:val="center"/>
          </w:tcPr>
          <w:p w14:paraId="7599B95A" w14:textId="77DAE179" w:rsidR="00116C61" w:rsidRPr="00587EA8" w:rsidRDefault="00116C61" w:rsidP="00116C61">
            <w:pPr>
              <w:spacing w:after="0" w:line="240" w:lineRule="auto"/>
              <w:rPr>
                <w:rFonts w:eastAsia="Times New Roman" w:cs="Times New Roman"/>
                <w:color w:val="17365D"/>
                <w:sz w:val="18"/>
                <w:szCs w:val="18"/>
              </w:rPr>
            </w:pPr>
            <w:r>
              <w:rPr>
                <w:color w:val="17365D"/>
                <w:sz w:val="18"/>
                <w:szCs w:val="18"/>
              </w:rPr>
              <w:t>Pārējie izdevumi</w:t>
            </w:r>
          </w:p>
        </w:tc>
        <w:tc>
          <w:tcPr>
            <w:tcW w:w="1417" w:type="dxa"/>
            <w:tcBorders>
              <w:top w:val="single" w:sz="4" w:space="0" w:color="012169"/>
              <w:bottom w:val="single" w:sz="4" w:space="0" w:color="012169"/>
            </w:tcBorders>
            <w:shd w:val="clear" w:color="auto" w:fill="auto"/>
            <w:vAlign w:val="center"/>
          </w:tcPr>
          <w:p w14:paraId="2568A11E" w14:textId="77777777" w:rsidR="00116C61" w:rsidRPr="00EA1201" w:rsidRDefault="00116C61" w:rsidP="00116C61">
            <w:pPr>
              <w:spacing w:after="0" w:line="240" w:lineRule="auto"/>
              <w:jc w:val="right"/>
              <w:rPr>
                <w:color w:val="17365D"/>
                <w:sz w:val="18"/>
                <w:szCs w:val="18"/>
              </w:rPr>
            </w:pPr>
            <w:r w:rsidRPr="00EA1201">
              <w:rPr>
                <w:color w:val="17365D"/>
                <w:sz w:val="18"/>
                <w:szCs w:val="18"/>
              </w:rPr>
              <w:t>-10 304 221 857</w:t>
            </w:r>
          </w:p>
        </w:tc>
        <w:tc>
          <w:tcPr>
            <w:tcW w:w="1451" w:type="dxa"/>
            <w:gridSpan w:val="4"/>
            <w:tcBorders>
              <w:top w:val="single" w:sz="4" w:space="0" w:color="012169"/>
              <w:bottom w:val="single" w:sz="4" w:space="0" w:color="012169"/>
            </w:tcBorders>
            <w:shd w:val="clear" w:color="F2F2F2" w:fill="FFFFFF"/>
            <w:vAlign w:val="center"/>
          </w:tcPr>
          <w:p w14:paraId="39F9B345" w14:textId="77777777" w:rsidR="00116C61" w:rsidRPr="00EA1201" w:rsidRDefault="00116C61" w:rsidP="00116C61">
            <w:pPr>
              <w:spacing w:after="0" w:line="240" w:lineRule="auto"/>
              <w:jc w:val="right"/>
              <w:rPr>
                <w:color w:val="17365D"/>
                <w:sz w:val="18"/>
                <w:szCs w:val="18"/>
              </w:rPr>
            </w:pPr>
            <w:r w:rsidRPr="00EA1201">
              <w:rPr>
                <w:color w:val="17365D"/>
                <w:sz w:val="18"/>
                <w:szCs w:val="18"/>
              </w:rPr>
              <w:t>-9 919 882 464</w:t>
            </w:r>
          </w:p>
        </w:tc>
        <w:tc>
          <w:tcPr>
            <w:tcW w:w="1384" w:type="dxa"/>
            <w:gridSpan w:val="3"/>
            <w:tcBorders>
              <w:top w:val="single" w:sz="4" w:space="0" w:color="012169"/>
              <w:bottom w:val="single" w:sz="4" w:space="0" w:color="012169"/>
            </w:tcBorders>
            <w:shd w:val="clear" w:color="F2F2F2" w:fill="FFFFFF"/>
            <w:vAlign w:val="center"/>
          </w:tcPr>
          <w:p w14:paraId="3B5F40D3" w14:textId="77777777" w:rsidR="00116C61" w:rsidRPr="00EA1201" w:rsidRDefault="00116C61" w:rsidP="00116C61">
            <w:pPr>
              <w:spacing w:after="0" w:line="240" w:lineRule="auto"/>
              <w:jc w:val="right"/>
              <w:rPr>
                <w:color w:val="17365D"/>
                <w:sz w:val="18"/>
                <w:szCs w:val="18"/>
              </w:rPr>
            </w:pPr>
            <w:r w:rsidRPr="00EA1201">
              <w:rPr>
                <w:color w:val="17365D"/>
                <w:sz w:val="18"/>
                <w:szCs w:val="18"/>
              </w:rPr>
              <w:t>-7 365 565 253</w:t>
            </w:r>
          </w:p>
        </w:tc>
        <w:tc>
          <w:tcPr>
            <w:tcW w:w="1560" w:type="dxa"/>
            <w:gridSpan w:val="3"/>
            <w:tcBorders>
              <w:top w:val="single" w:sz="4" w:space="0" w:color="012169"/>
              <w:bottom w:val="single" w:sz="4" w:space="0" w:color="012169"/>
            </w:tcBorders>
            <w:shd w:val="clear" w:color="auto" w:fill="auto"/>
            <w:vAlign w:val="center"/>
          </w:tcPr>
          <w:p w14:paraId="5046A190" w14:textId="77777777" w:rsidR="00116C61" w:rsidRPr="00EA1201" w:rsidRDefault="00116C61" w:rsidP="00116C61">
            <w:pPr>
              <w:spacing w:after="0" w:line="240" w:lineRule="auto"/>
              <w:jc w:val="right"/>
              <w:rPr>
                <w:color w:val="17365D"/>
                <w:sz w:val="18"/>
                <w:szCs w:val="18"/>
              </w:rPr>
            </w:pPr>
            <w:r w:rsidRPr="00EA1201">
              <w:rPr>
                <w:color w:val="17365D"/>
                <w:sz w:val="18"/>
                <w:szCs w:val="18"/>
              </w:rPr>
              <w:t>-6 875 539 765</w:t>
            </w:r>
          </w:p>
        </w:tc>
        <w:tc>
          <w:tcPr>
            <w:tcW w:w="1152" w:type="dxa"/>
            <w:tcBorders>
              <w:top w:val="single" w:sz="4" w:space="0" w:color="012169"/>
              <w:bottom w:val="single" w:sz="4" w:space="0" w:color="012169"/>
            </w:tcBorders>
            <w:shd w:val="clear" w:color="auto" w:fill="auto"/>
            <w:vAlign w:val="center"/>
          </w:tcPr>
          <w:p w14:paraId="40B0F305" w14:textId="77777777" w:rsidR="00116C61" w:rsidRPr="00EA1201" w:rsidRDefault="00116C61" w:rsidP="00116C61">
            <w:pPr>
              <w:spacing w:after="0" w:line="240" w:lineRule="auto"/>
              <w:jc w:val="right"/>
              <w:rPr>
                <w:color w:val="17365D"/>
                <w:sz w:val="18"/>
                <w:szCs w:val="18"/>
              </w:rPr>
            </w:pPr>
            <w:r w:rsidRPr="00EA1201">
              <w:rPr>
                <w:color w:val="17365D"/>
                <w:sz w:val="18"/>
                <w:szCs w:val="18"/>
              </w:rPr>
              <w:t>6 197 809</w:t>
            </w:r>
          </w:p>
        </w:tc>
      </w:tr>
      <w:tr w:rsidR="00116C61" w:rsidRPr="00E6180B" w14:paraId="1B49BD4A" w14:textId="77777777" w:rsidTr="00116C61">
        <w:trPr>
          <w:trHeight w:val="206"/>
        </w:trPr>
        <w:tc>
          <w:tcPr>
            <w:tcW w:w="5409" w:type="dxa"/>
            <w:gridSpan w:val="6"/>
            <w:tcBorders>
              <w:top w:val="single" w:sz="4" w:space="0" w:color="17365D"/>
            </w:tcBorders>
            <w:shd w:val="clear" w:color="auto" w:fill="B8CCE4" w:themeFill="accent1" w:themeFillTint="66"/>
            <w:vAlign w:val="center"/>
          </w:tcPr>
          <w:p w14:paraId="2E536804" w14:textId="77777777" w:rsidR="00116C61" w:rsidRPr="00A27896" w:rsidRDefault="00116C61" w:rsidP="00116C61">
            <w:pPr>
              <w:spacing w:after="0" w:line="240" w:lineRule="auto"/>
              <w:rPr>
                <w:rFonts w:eastAsia="Arial Unicode MS" w:cs="Times New Roman"/>
                <w:b/>
                <w:color w:val="17365D"/>
                <w:sz w:val="18"/>
                <w:szCs w:val="18"/>
              </w:rPr>
            </w:pPr>
          </w:p>
        </w:tc>
        <w:tc>
          <w:tcPr>
            <w:tcW w:w="1984" w:type="dxa"/>
            <w:gridSpan w:val="6"/>
            <w:tcBorders>
              <w:top w:val="single" w:sz="4" w:space="0" w:color="17365D"/>
              <w:left w:val="nil"/>
              <w:bottom w:val="nil"/>
              <w:right w:val="nil"/>
            </w:tcBorders>
            <w:shd w:val="clear" w:color="auto" w:fill="B8CCE4" w:themeFill="accent1" w:themeFillTint="66"/>
            <w:noWrap/>
            <w:vAlign w:val="center"/>
          </w:tcPr>
          <w:p w14:paraId="50CA30A7" w14:textId="77777777" w:rsidR="00116C61" w:rsidRPr="00A27896" w:rsidRDefault="00116C61" w:rsidP="00116C61">
            <w:pPr>
              <w:spacing w:after="0" w:line="240" w:lineRule="auto"/>
              <w:jc w:val="right"/>
              <w:rPr>
                <w:rFonts w:eastAsia="Arial Unicode MS" w:cs="Times New Roman"/>
                <w:b/>
                <w:color w:val="17365D"/>
                <w:sz w:val="18"/>
                <w:szCs w:val="18"/>
              </w:rPr>
            </w:pPr>
          </w:p>
        </w:tc>
        <w:tc>
          <w:tcPr>
            <w:tcW w:w="2128" w:type="dxa"/>
            <w:gridSpan w:val="3"/>
            <w:tcBorders>
              <w:top w:val="single" w:sz="4" w:space="0" w:color="17365D"/>
              <w:left w:val="nil"/>
              <w:bottom w:val="nil"/>
              <w:right w:val="nil"/>
            </w:tcBorders>
            <w:shd w:val="clear" w:color="auto" w:fill="B8CCE4" w:themeFill="accent1" w:themeFillTint="66"/>
            <w:vAlign w:val="center"/>
          </w:tcPr>
          <w:p w14:paraId="77B95047" w14:textId="77777777" w:rsidR="00116C61" w:rsidRPr="00A27896" w:rsidRDefault="00116C61" w:rsidP="00116C61">
            <w:pPr>
              <w:spacing w:after="0" w:line="240" w:lineRule="auto"/>
              <w:jc w:val="right"/>
              <w:rPr>
                <w:rFonts w:eastAsia="Arial Unicode MS" w:cs="Times New Roman"/>
                <w:b/>
                <w:color w:val="17365D"/>
                <w:sz w:val="18"/>
                <w:szCs w:val="18"/>
              </w:rPr>
            </w:pPr>
          </w:p>
        </w:tc>
      </w:tr>
    </w:tbl>
    <w:p w14:paraId="202EE227" w14:textId="0BE2C53A" w:rsidR="00FB11FC" w:rsidRDefault="003B475A" w:rsidP="00C7199B">
      <w:pPr>
        <w:pStyle w:val="Pamatteksts1"/>
        <w:numPr>
          <w:ilvl w:val="0"/>
          <w:numId w:val="12"/>
        </w:numPr>
      </w:pPr>
      <w:r w:rsidRPr="00A27896">
        <w:br w:type="page"/>
      </w:r>
    </w:p>
    <w:p w14:paraId="4119C12A" w14:textId="77777777" w:rsidR="00FB11FC" w:rsidRPr="00177E3C" w:rsidRDefault="00FB11FC" w:rsidP="00FB11FC">
      <w:pPr>
        <w:pStyle w:val="Heading3"/>
      </w:pPr>
      <w:r w:rsidRPr="00177E3C">
        <w:lastRenderedPageBreak/>
        <w:t>Paskaidrojumi konsolidētā naudas plūsmas pārskata posteņiem</w:t>
      </w:r>
    </w:p>
    <w:p w14:paraId="14143A4F" w14:textId="77777777" w:rsidR="00FB11FC" w:rsidRPr="00106788" w:rsidRDefault="00FB11FC" w:rsidP="00106788">
      <w:pPr>
        <w:pStyle w:val="Pamatteksts1"/>
      </w:pPr>
      <w:r w:rsidRPr="00106788">
        <w:t>Konsolidētajā naudas plūsmas pārskatā dati salīdzināti ar 2023. gada datiem.</w:t>
      </w:r>
    </w:p>
    <w:p w14:paraId="670D9834" w14:textId="69AAD2BA" w:rsidR="00FB11FC" w:rsidRPr="00106788" w:rsidRDefault="00AF2352" w:rsidP="00106788">
      <w:pPr>
        <w:pStyle w:val="Pamatteksts1"/>
      </w:pPr>
      <w:r w:rsidRPr="00106788">
        <w:t>2024</w:t>
      </w:r>
      <w:r w:rsidR="00FB11FC" w:rsidRPr="00106788">
        <w:t>. gadā konsolidētais naudas līdzekļu ieņēmumu pārsniegums pār izdevumiem uzrādīts 527</w:t>
      </w:r>
      <w:r w:rsidR="00F810A4" w:rsidRPr="00106788">
        <w:t>,5</w:t>
      </w:r>
      <w:r w:rsidR="006E6B94" w:rsidRPr="00106788">
        <w:t> </w:t>
      </w:r>
      <w:r w:rsidR="00F810A4" w:rsidRPr="00106788">
        <w:t>milj.</w:t>
      </w:r>
      <w:r w:rsidR="00E24982" w:rsidRPr="00106788">
        <w:t xml:space="preserve"> </w:t>
      </w:r>
      <w:r w:rsidR="00FB11FC" w:rsidRPr="00106788">
        <w:rPr>
          <w:i/>
          <w:iCs/>
        </w:rPr>
        <w:t>euro</w:t>
      </w:r>
      <w:r w:rsidR="00FB11FC" w:rsidRPr="00106788">
        <w:t xml:space="preserve"> vērtībā.</w:t>
      </w:r>
    </w:p>
    <w:p w14:paraId="0F94E2E1" w14:textId="77777777" w:rsidR="00FB11FC" w:rsidRPr="00177E3C" w:rsidRDefault="00FB11FC" w:rsidP="00FB11FC">
      <w:pPr>
        <w:pStyle w:val="Heading3"/>
      </w:pPr>
      <w:r w:rsidRPr="00177E3C">
        <w:t xml:space="preserve">Naudas līdzekļu plūsma no pamatdarbības </w:t>
      </w:r>
    </w:p>
    <w:p w14:paraId="5DD07900" w14:textId="77777777" w:rsidR="00FB11FC" w:rsidRPr="00177E3C" w:rsidRDefault="00FB11FC" w:rsidP="00324AC5">
      <w:pPr>
        <w:pStyle w:val="Tabnosauk"/>
      </w:pPr>
      <w:r w:rsidRPr="00177E3C">
        <w:t>3.1. tabula. Ieņēmumi un izdevumi no pamatdarbības (euro)</w:t>
      </w:r>
    </w:p>
    <w:tbl>
      <w:tblPr>
        <w:tblW w:w="9498" w:type="dxa"/>
        <w:tblLayout w:type="fixed"/>
        <w:tblLook w:val="04A0" w:firstRow="1" w:lastRow="0" w:firstColumn="1" w:lastColumn="0" w:noHBand="0" w:noVBand="1"/>
      </w:tblPr>
      <w:tblGrid>
        <w:gridCol w:w="2694"/>
        <w:gridCol w:w="851"/>
        <w:gridCol w:w="1558"/>
        <w:gridCol w:w="1560"/>
        <w:gridCol w:w="1560"/>
        <w:gridCol w:w="1275"/>
      </w:tblGrid>
      <w:tr w:rsidR="00FB11FC" w:rsidRPr="00177E3C" w14:paraId="548DA30B" w14:textId="77777777" w:rsidTr="00D81CD0">
        <w:trPr>
          <w:trHeight w:hRule="exact" w:val="20"/>
          <w:tblHeader/>
        </w:trPr>
        <w:tc>
          <w:tcPr>
            <w:tcW w:w="2694" w:type="dxa"/>
            <w:vMerge w:val="restart"/>
            <w:shd w:val="clear" w:color="auto" w:fill="B9CDE5"/>
            <w:vAlign w:val="center"/>
            <w:hideMark/>
          </w:tcPr>
          <w:p w14:paraId="21BED5BC" w14:textId="06906682" w:rsidR="00FB11FC" w:rsidRPr="00177E3C" w:rsidRDefault="00104640" w:rsidP="00C7199B">
            <w:pPr>
              <w:spacing w:after="0" w:line="240" w:lineRule="auto"/>
              <w:ind w:hanging="62"/>
              <w:jc w:val="center"/>
              <w:rPr>
                <w:rFonts w:cs="Times New Roman"/>
                <w:b/>
                <w:color w:val="17365D"/>
                <w:sz w:val="18"/>
                <w:szCs w:val="18"/>
                <w:lang w:eastAsia="lv-LV"/>
              </w:rPr>
            </w:pPr>
            <w:r>
              <w:rPr>
                <w:rFonts w:eastAsia="Times New Roman" w:cs="Times New Roman"/>
                <w:b/>
                <w:bCs/>
                <w:color w:val="17365D"/>
                <w:sz w:val="18"/>
                <w:szCs w:val="18"/>
                <w:lang w:eastAsia="lv-LV"/>
              </w:rPr>
              <w:t>Posteņa nosaukums</w:t>
            </w:r>
          </w:p>
        </w:tc>
        <w:tc>
          <w:tcPr>
            <w:tcW w:w="851" w:type="dxa"/>
            <w:vMerge w:val="restart"/>
            <w:shd w:val="clear" w:color="auto" w:fill="B9CDE5"/>
            <w:vAlign w:val="center"/>
            <w:hideMark/>
          </w:tcPr>
          <w:p w14:paraId="311A53E1" w14:textId="77777777" w:rsidR="00FB11FC" w:rsidRPr="00177E3C" w:rsidRDefault="00FB11FC" w:rsidP="00C7199B">
            <w:pPr>
              <w:spacing w:after="0" w:line="240" w:lineRule="auto"/>
              <w:ind w:right="-109"/>
              <w:jc w:val="center"/>
              <w:rPr>
                <w:rFonts w:cs="Times New Roman"/>
                <w:b/>
                <w:color w:val="17365D"/>
                <w:sz w:val="18"/>
                <w:szCs w:val="18"/>
                <w:lang w:eastAsia="lv-LV"/>
              </w:rPr>
            </w:pPr>
            <w:r w:rsidRPr="00177E3C">
              <w:rPr>
                <w:rFonts w:cs="Times New Roman"/>
                <w:b/>
                <w:color w:val="17365D"/>
                <w:sz w:val="18"/>
                <w:szCs w:val="18"/>
                <w:lang w:eastAsia="lv-LV"/>
              </w:rPr>
              <w:t>Piezīmes Nr.</w:t>
            </w:r>
          </w:p>
        </w:tc>
        <w:tc>
          <w:tcPr>
            <w:tcW w:w="1558" w:type="dxa"/>
            <w:vMerge w:val="restart"/>
            <w:shd w:val="clear" w:color="auto" w:fill="B9CDE5"/>
            <w:vAlign w:val="center"/>
            <w:hideMark/>
          </w:tcPr>
          <w:p w14:paraId="5A10BC9F"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Pārskata periods</w:t>
            </w:r>
          </w:p>
        </w:tc>
        <w:tc>
          <w:tcPr>
            <w:tcW w:w="1560" w:type="dxa"/>
            <w:vMerge w:val="restart"/>
            <w:shd w:val="clear" w:color="auto" w:fill="B9CDE5"/>
            <w:vAlign w:val="center"/>
            <w:hideMark/>
          </w:tcPr>
          <w:p w14:paraId="4F211074"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Iepriekšējais pārskata periods</w:t>
            </w:r>
          </w:p>
        </w:tc>
        <w:tc>
          <w:tcPr>
            <w:tcW w:w="1560" w:type="dxa"/>
            <w:vMerge w:val="restart"/>
            <w:shd w:val="clear" w:color="auto" w:fill="B9CDE5"/>
            <w:vAlign w:val="center"/>
            <w:hideMark/>
          </w:tcPr>
          <w:p w14:paraId="4281132C" w14:textId="77777777" w:rsidR="00FB11FC" w:rsidRPr="00177E3C" w:rsidRDefault="00FB11FC" w:rsidP="00C7199B">
            <w:pPr>
              <w:spacing w:after="0" w:line="240" w:lineRule="auto"/>
              <w:ind w:left="-108" w:right="-108"/>
              <w:jc w:val="center"/>
              <w:rPr>
                <w:rFonts w:cs="Times New Roman"/>
                <w:b/>
                <w:color w:val="17365D"/>
                <w:sz w:val="18"/>
                <w:szCs w:val="18"/>
                <w:lang w:eastAsia="lv-LV"/>
              </w:rPr>
            </w:pPr>
            <w:r w:rsidRPr="00177E3C">
              <w:rPr>
                <w:rFonts w:cs="Times New Roman"/>
                <w:b/>
                <w:color w:val="17365D"/>
                <w:sz w:val="18"/>
                <w:szCs w:val="18"/>
                <w:lang w:eastAsia="lv-LV"/>
              </w:rPr>
              <w:t>Palielinājums (+), samazinājums (-) (1. - 2.)</w:t>
            </w:r>
          </w:p>
        </w:tc>
        <w:tc>
          <w:tcPr>
            <w:tcW w:w="1275" w:type="dxa"/>
            <w:vMerge w:val="restart"/>
            <w:shd w:val="clear" w:color="auto" w:fill="B9CDE5"/>
            <w:vAlign w:val="center"/>
            <w:hideMark/>
          </w:tcPr>
          <w:p w14:paraId="6CC96170" w14:textId="77777777" w:rsidR="00FB11FC" w:rsidRPr="00177E3C" w:rsidRDefault="00FB11FC" w:rsidP="00C7199B">
            <w:pPr>
              <w:spacing w:after="0" w:line="240" w:lineRule="auto"/>
              <w:ind w:left="-107" w:right="-108"/>
              <w:jc w:val="center"/>
              <w:rPr>
                <w:rFonts w:cs="Times New Roman"/>
                <w:b/>
                <w:color w:val="17365D"/>
                <w:sz w:val="18"/>
                <w:szCs w:val="18"/>
                <w:lang w:eastAsia="lv-LV"/>
              </w:rPr>
            </w:pPr>
            <w:r w:rsidRPr="00177E3C">
              <w:rPr>
                <w:rFonts w:cs="Times New Roman"/>
                <w:b/>
                <w:color w:val="17365D"/>
                <w:sz w:val="18"/>
                <w:szCs w:val="18"/>
                <w:lang w:eastAsia="lv-LV"/>
              </w:rPr>
              <w:t xml:space="preserve">Procentuālās izmaiņas </w:t>
            </w:r>
          </w:p>
          <w:p w14:paraId="04ABF975"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(3. / 2. x 100)</w:t>
            </w:r>
          </w:p>
        </w:tc>
      </w:tr>
      <w:tr w:rsidR="00FB11FC" w:rsidRPr="00177E3C" w14:paraId="1892CD10" w14:textId="77777777" w:rsidTr="00D81CD0">
        <w:trPr>
          <w:trHeight w:val="517"/>
        </w:trPr>
        <w:tc>
          <w:tcPr>
            <w:tcW w:w="2694" w:type="dxa"/>
            <w:vMerge/>
            <w:shd w:val="clear" w:color="auto" w:fill="B9CDE5"/>
            <w:vAlign w:val="center"/>
            <w:hideMark/>
          </w:tcPr>
          <w:p w14:paraId="58B4B6E9" w14:textId="77777777" w:rsidR="00FB11FC" w:rsidRPr="00177E3C" w:rsidRDefault="00FB11FC" w:rsidP="00C7199B">
            <w:pPr>
              <w:spacing w:after="0" w:line="240" w:lineRule="auto"/>
              <w:rPr>
                <w:rFonts w:cs="Times New Roman"/>
                <w:b/>
                <w:color w:val="17365D"/>
                <w:sz w:val="18"/>
                <w:szCs w:val="18"/>
                <w:lang w:eastAsia="lv-LV"/>
              </w:rPr>
            </w:pPr>
          </w:p>
        </w:tc>
        <w:tc>
          <w:tcPr>
            <w:tcW w:w="851" w:type="dxa"/>
            <w:vMerge/>
            <w:shd w:val="clear" w:color="auto" w:fill="B9CDE5"/>
            <w:vAlign w:val="center"/>
            <w:hideMark/>
          </w:tcPr>
          <w:p w14:paraId="27D9E149" w14:textId="77777777" w:rsidR="00FB11FC" w:rsidRPr="00177E3C" w:rsidRDefault="00FB11FC" w:rsidP="00C7199B">
            <w:pPr>
              <w:spacing w:after="0" w:line="240" w:lineRule="auto"/>
              <w:rPr>
                <w:rFonts w:cs="Times New Roman"/>
                <w:b/>
                <w:color w:val="17365D"/>
                <w:sz w:val="18"/>
                <w:szCs w:val="18"/>
                <w:lang w:eastAsia="lv-LV"/>
              </w:rPr>
            </w:pPr>
          </w:p>
        </w:tc>
        <w:tc>
          <w:tcPr>
            <w:tcW w:w="1558" w:type="dxa"/>
            <w:vMerge/>
            <w:shd w:val="clear" w:color="auto" w:fill="B9CDE5"/>
            <w:vAlign w:val="center"/>
            <w:hideMark/>
          </w:tcPr>
          <w:p w14:paraId="6CA482C9" w14:textId="77777777" w:rsidR="00FB11FC" w:rsidRPr="00177E3C" w:rsidRDefault="00FB11FC" w:rsidP="00C7199B">
            <w:pPr>
              <w:spacing w:after="0" w:line="240" w:lineRule="auto"/>
              <w:rPr>
                <w:rFonts w:cs="Times New Roman"/>
                <w:b/>
                <w:color w:val="17365D"/>
                <w:sz w:val="18"/>
                <w:szCs w:val="18"/>
                <w:lang w:eastAsia="lv-LV"/>
              </w:rPr>
            </w:pPr>
          </w:p>
        </w:tc>
        <w:tc>
          <w:tcPr>
            <w:tcW w:w="1560" w:type="dxa"/>
            <w:vMerge/>
            <w:shd w:val="clear" w:color="auto" w:fill="B9CDE5"/>
            <w:vAlign w:val="center"/>
            <w:hideMark/>
          </w:tcPr>
          <w:p w14:paraId="7E3A4DFB" w14:textId="77777777" w:rsidR="00FB11FC" w:rsidRPr="00177E3C" w:rsidRDefault="00FB11FC" w:rsidP="00C7199B">
            <w:pPr>
              <w:spacing w:after="0" w:line="240" w:lineRule="auto"/>
              <w:rPr>
                <w:rFonts w:cs="Times New Roman"/>
                <w:b/>
                <w:color w:val="17365D"/>
                <w:sz w:val="18"/>
                <w:szCs w:val="18"/>
                <w:lang w:eastAsia="lv-LV"/>
              </w:rPr>
            </w:pPr>
          </w:p>
        </w:tc>
        <w:tc>
          <w:tcPr>
            <w:tcW w:w="1560" w:type="dxa"/>
            <w:vMerge/>
            <w:shd w:val="clear" w:color="auto" w:fill="B9CDE5"/>
            <w:vAlign w:val="center"/>
            <w:hideMark/>
          </w:tcPr>
          <w:p w14:paraId="1DCE84DB" w14:textId="77777777" w:rsidR="00FB11FC" w:rsidRPr="00177E3C" w:rsidRDefault="00FB11FC" w:rsidP="00C7199B">
            <w:pPr>
              <w:spacing w:after="0" w:line="240" w:lineRule="auto"/>
              <w:rPr>
                <w:rFonts w:cs="Times New Roman"/>
                <w:b/>
                <w:color w:val="17365D"/>
                <w:sz w:val="18"/>
                <w:szCs w:val="18"/>
                <w:lang w:eastAsia="lv-LV"/>
              </w:rPr>
            </w:pPr>
          </w:p>
        </w:tc>
        <w:tc>
          <w:tcPr>
            <w:tcW w:w="1275" w:type="dxa"/>
            <w:vMerge/>
            <w:shd w:val="clear" w:color="auto" w:fill="B9CDE5"/>
            <w:vAlign w:val="center"/>
            <w:hideMark/>
          </w:tcPr>
          <w:p w14:paraId="16CB83FA" w14:textId="77777777" w:rsidR="00FB11FC" w:rsidRPr="00177E3C" w:rsidRDefault="00FB11FC" w:rsidP="00C7199B">
            <w:pPr>
              <w:spacing w:after="0" w:line="240" w:lineRule="auto"/>
              <w:rPr>
                <w:rFonts w:cs="Times New Roman"/>
                <w:b/>
                <w:color w:val="17365D"/>
                <w:sz w:val="18"/>
                <w:szCs w:val="18"/>
                <w:lang w:eastAsia="lv-LV"/>
              </w:rPr>
            </w:pPr>
          </w:p>
        </w:tc>
      </w:tr>
      <w:tr w:rsidR="00FB11FC" w:rsidRPr="00177E3C" w14:paraId="023D89B9" w14:textId="77777777" w:rsidTr="009A4177">
        <w:trPr>
          <w:trHeight w:val="517"/>
        </w:trPr>
        <w:tc>
          <w:tcPr>
            <w:tcW w:w="2694" w:type="dxa"/>
            <w:vMerge/>
            <w:tcBorders>
              <w:bottom w:val="single" w:sz="4" w:space="0" w:color="17365D"/>
            </w:tcBorders>
            <w:shd w:val="clear" w:color="auto" w:fill="B9CDE5"/>
            <w:vAlign w:val="center"/>
            <w:hideMark/>
          </w:tcPr>
          <w:p w14:paraId="52D19DFA" w14:textId="77777777" w:rsidR="00FB11FC" w:rsidRPr="00177E3C" w:rsidRDefault="00FB11FC" w:rsidP="00C7199B">
            <w:pPr>
              <w:spacing w:after="0" w:line="240" w:lineRule="auto"/>
              <w:rPr>
                <w:rFonts w:cs="Times New Roman"/>
                <w:b/>
                <w:color w:val="17365D"/>
                <w:sz w:val="18"/>
                <w:szCs w:val="18"/>
                <w:lang w:eastAsia="lv-LV"/>
              </w:rPr>
            </w:pPr>
          </w:p>
        </w:tc>
        <w:tc>
          <w:tcPr>
            <w:tcW w:w="851" w:type="dxa"/>
            <w:vMerge/>
            <w:tcBorders>
              <w:bottom w:val="single" w:sz="4" w:space="0" w:color="17365D"/>
            </w:tcBorders>
            <w:shd w:val="clear" w:color="auto" w:fill="B9CDE5"/>
            <w:vAlign w:val="center"/>
            <w:hideMark/>
          </w:tcPr>
          <w:p w14:paraId="4EA65E61" w14:textId="77777777" w:rsidR="00FB11FC" w:rsidRPr="00177E3C" w:rsidRDefault="00FB11FC" w:rsidP="00C7199B">
            <w:pPr>
              <w:spacing w:after="0" w:line="240" w:lineRule="auto"/>
              <w:rPr>
                <w:rFonts w:cs="Times New Roman"/>
                <w:b/>
                <w:color w:val="17365D"/>
                <w:sz w:val="18"/>
                <w:szCs w:val="18"/>
                <w:lang w:eastAsia="lv-LV"/>
              </w:rPr>
            </w:pPr>
          </w:p>
        </w:tc>
        <w:tc>
          <w:tcPr>
            <w:tcW w:w="1558" w:type="dxa"/>
            <w:vMerge/>
            <w:tcBorders>
              <w:bottom w:val="single" w:sz="4" w:space="0" w:color="17365D"/>
            </w:tcBorders>
            <w:shd w:val="clear" w:color="auto" w:fill="B9CDE5"/>
            <w:vAlign w:val="center"/>
            <w:hideMark/>
          </w:tcPr>
          <w:p w14:paraId="5F7F91EB" w14:textId="77777777" w:rsidR="00FB11FC" w:rsidRPr="00177E3C" w:rsidRDefault="00FB11FC" w:rsidP="00C7199B">
            <w:pPr>
              <w:spacing w:after="0" w:line="240" w:lineRule="auto"/>
              <w:rPr>
                <w:rFonts w:cs="Times New Roman"/>
                <w:b/>
                <w:color w:val="17365D"/>
                <w:sz w:val="18"/>
                <w:szCs w:val="18"/>
                <w:lang w:eastAsia="lv-LV"/>
              </w:rPr>
            </w:pPr>
          </w:p>
        </w:tc>
        <w:tc>
          <w:tcPr>
            <w:tcW w:w="1560" w:type="dxa"/>
            <w:vMerge/>
            <w:tcBorders>
              <w:bottom w:val="single" w:sz="4" w:space="0" w:color="17365D"/>
            </w:tcBorders>
            <w:shd w:val="clear" w:color="auto" w:fill="B9CDE5"/>
            <w:vAlign w:val="center"/>
            <w:hideMark/>
          </w:tcPr>
          <w:p w14:paraId="3C0DC6AD" w14:textId="77777777" w:rsidR="00FB11FC" w:rsidRPr="00177E3C" w:rsidRDefault="00FB11FC" w:rsidP="00C7199B">
            <w:pPr>
              <w:spacing w:after="0" w:line="240" w:lineRule="auto"/>
              <w:rPr>
                <w:rFonts w:cs="Times New Roman"/>
                <w:b/>
                <w:color w:val="17365D"/>
                <w:sz w:val="18"/>
                <w:szCs w:val="18"/>
                <w:lang w:eastAsia="lv-LV"/>
              </w:rPr>
            </w:pPr>
          </w:p>
        </w:tc>
        <w:tc>
          <w:tcPr>
            <w:tcW w:w="1560" w:type="dxa"/>
            <w:vMerge/>
            <w:tcBorders>
              <w:bottom w:val="single" w:sz="4" w:space="0" w:color="17365D"/>
            </w:tcBorders>
            <w:shd w:val="clear" w:color="auto" w:fill="B9CDE5"/>
            <w:vAlign w:val="center"/>
            <w:hideMark/>
          </w:tcPr>
          <w:p w14:paraId="778BC0AC" w14:textId="77777777" w:rsidR="00FB11FC" w:rsidRPr="00177E3C" w:rsidRDefault="00FB11FC" w:rsidP="00C7199B">
            <w:pPr>
              <w:spacing w:after="0" w:line="240" w:lineRule="auto"/>
              <w:rPr>
                <w:rFonts w:cs="Times New Roman"/>
                <w:b/>
                <w:color w:val="17365D"/>
                <w:sz w:val="18"/>
                <w:szCs w:val="18"/>
                <w:lang w:eastAsia="lv-LV"/>
              </w:rPr>
            </w:pPr>
          </w:p>
        </w:tc>
        <w:tc>
          <w:tcPr>
            <w:tcW w:w="1275" w:type="dxa"/>
            <w:vMerge/>
            <w:tcBorders>
              <w:bottom w:val="single" w:sz="4" w:space="0" w:color="17365D"/>
            </w:tcBorders>
            <w:shd w:val="clear" w:color="auto" w:fill="B9CDE5"/>
            <w:vAlign w:val="center"/>
            <w:hideMark/>
          </w:tcPr>
          <w:p w14:paraId="476B80EB" w14:textId="77777777" w:rsidR="00FB11FC" w:rsidRPr="00177E3C" w:rsidRDefault="00FB11FC" w:rsidP="00C7199B">
            <w:pPr>
              <w:spacing w:after="0" w:line="240" w:lineRule="auto"/>
              <w:rPr>
                <w:rFonts w:cs="Times New Roman"/>
                <w:b/>
                <w:color w:val="17365D"/>
                <w:sz w:val="18"/>
                <w:szCs w:val="18"/>
                <w:lang w:eastAsia="lv-LV"/>
              </w:rPr>
            </w:pPr>
          </w:p>
        </w:tc>
      </w:tr>
      <w:tr w:rsidR="00FB11FC" w:rsidRPr="00177E3C" w14:paraId="6A925AAD" w14:textId="77777777" w:rsidTr="00D81CD0">
        <w:trPr>
          <w:trHeight w:val="60"/>
        </w:trPr>
        <w:tc>
          <w:tcPr>
            <w:tcW w:w="2694" w:type="dxa"/>
            <w:tcBorders>
              <w:top w:val="single" w:sz="4" w:space="0" w:color="17365D"/>
              <w:bottom w:val="single" w:sz="4" w:space="0" w:color="17365D"/>
            </w:tcBorders>
            <w:shd w:val="clear" w:color="auto" w:fill="auto"/>
            <w:vAlign w:val="center"/>
            <w:hideMark/>
          </w:tcPr>
          <w:p w14:paraId="0DD9233A"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A</w:t>
            </w:r>
          </w:p>
        </w:tc>
        <w:tc>
          <w:tcPr>
            <w:tcW w:w="851" w:type="dxa"/>
            <w:tcBorders>
              <w:top w:val="single" w:sz="4" w:space="0" w:color="17365D"/>
              <w:bottom w:val="single" w:sz="4" w:space="0" w:color="17365D"/>
            </w:tcBorders>
            <w:shd w:val="clear" w:color="auto" w:fill="auto"/>
            <w:vAlign w:val="center"/>
            <w:hideMark/>
          </w:tcPr>
          <w:p w14:paraId="5E291135"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B</w:t>
            </w:r>
          </w:p>
        </w:tc>
        <w:tc>
          <w:tcPr>
            <w:tcW w:w="1558" w:type="dxa"/>
            <w:tcBorders>
              <w:top w:val="single" w:sz="4" w:space="0" w:color="17365D"/>
              <w:bottom w:val="single" w:sz="4" w:space="0" w:color="17365D"/>
            </w:tcBorders>
            <w:shd w:val="clear" w:color="auto" w:fill="auto"/>
            <w:vAlign w:val="center"/>
            <w:hideMark/>
          </w:tcPr>
          <w:p w14:paraId="68860461"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1</w:t>
            </w:r>
          </w:p>
        </w:tc>
        <w:tc>
          <w:tcPr>
            <w:tcW w:w="1560" w:type="dxa"/>
            <w:tcBorders>
              <w:top w:val="single" w:sz="4" w:space="0" w:color="17365D"/>
              <w:bottom w:val="single" w:sz="4" w:space="0" w:color="17365D"/>
            </w:tcBorders>
            <w:shd w:val="clear" w:color="auto" w:fill="auto"/>
            <w:noWrap/>
            <w:vAlign w:val="center"/>
            <w:hideMark/>
          </w:tcPr>
          <w:p w14:paraId="7862ED2E"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2</w:t>
            </w:r>
          </w:p>
        </w:tc>
        <w:tc>
          <w:tcPr>
            <w:tcW w:w="1560" w:type="dxa"/>
            <w:tcBorders>
              <w:top w:val="single" w:sz="4" w:space="0" w:color="17365D"/>
              <w:bottom w:val="single" w:sz="4" w:space="0" w:color="17365D"/>
            </w:tcBorders>
            <w:shd w:val="clear" w:color="auto" w:fill="auto"/>
            <w:vAlign w:val="center"/>
            <w:hideMark/>
          </w:tcPr>
          <w:p w14:paraId="0631E5CA"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3</w:t>
            </w:r>
          </w:p>
        </w:tc>
        <w:tc>
          <w:tcPr>
            <w:tcW w:w="1275" w:type="dxa"/>
            <w:tcBorders>
              <w:top w:val="single" w:sz="4" w:space="0" w:color="17365D"/>
              <w:bottom w:val="single" w:sz="4" w:space="0" w:color="17365D"/>
            </w:tcBorders>
            <w:shd w:val="clear" w:color="auto" w:fill="auto"/>
            <w:noWrap/>
            <w:vAlign w:val="center"/>
            <w:hideMark/>
          </w:tcPr>
          <w:p w14:paraId="43493566"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4</w:t>
            </w:r>
          </w:p>
        </w:tc>
      </w:tr>
      <w:tr w:rsidR="00FB11FC" w:rsidRPr="00177E3C" w14:paraId="53BDF4A6" w14:textId="77777777" w:rsidTr="00D81CD0">
        <w:trPr>
          <w:trHeight w:val="239"/>
        </w:trPr>
        <w:tc>
          <w:tcPr>
            <w:tcW w:w="2694" w:type="dxa"/>
            <w:tcBorders>
              <w:top w:val="single" w:sz="4" w:space="0" w:color="17365D"/>
              <w:bottom w:val="single" w:sz="4" w:space="0" w:color="17365D"/>
            </w:tcBorders>
            <w:shd w:val="clear" w:color="auto" w:fill="auto"/>
            <w:vAlign w:val="center"/>
            <w:hideMark/>
          </w:tcPr>
          <w:p w14:paraId="0BAD89C6" w14:textId="77777777" w:rsidR="00FB11FC" w:rsidRPr="00177E3C" w:rsidRDefault="00FB11FC" w:rsidP="00C7199B">
            <w:pPr>
              <w:spacing w:after="0" w:line="240" w:lineRule="auto"/>
              <w:rPr>
                <w:rFonts w:cs="Times New Roman"/>
                <w:b/>
                <w:color w:val="17365D"/>
                <w:sz w:val="18"/>
                <w:szCs w:val="18"/>
                <w:lang w:eastAsia="lv-LV"/>
              </w:rPr>
            </w:pPr>
            <w:r w:rsidRPr="00177E3C">
              <w:rPr>
                <w:rFonts w:cs="Times New Roman"/>
                <w:b/>
                <w:color w:val="17365D"/>
                <w:sz w:val="18"/>
                <w:szCs w:val="18"/>
                <w:lang w:eastAsia="lv-LV"/>
              </w:rPr>
              <w:t xml:space="preserve">Ieņēmumi no pamatdarbības </w:t>
            </w:r>
          </w:p>
        </w:tc>
        <w:tc>
          <w:tcPr>
            <w:tcW w:w="851" w:type="dxa"/>
            <w:tcBorders>
              <w:top w:val="single" w:sz="4" w:space="0" w:color="17365D"/>
              <w:bottom w:val="single" w:sz="4" w:space="0" w:color="17365D"/>
            </w:tcBorders>
            <w:shd w:val="clear" w:color="auto" w:fill="auto"/>
            <w:vAlign w:val="center"/>
            <w:hideMark/>
          </w:tcPr>
          <w:p w14:paraId="1B8B2C20" w14:textId="77777777" w:rsidR="00FB11FC" w:rsidRPr="00177E3C" w:rsidRDefault="00FB11FC" w:rsidP="00C7199B">
            <w:pPr>
              <w:spacing w:after="0" w:line="240" w:lineRule="auto"/>
              <w:jc w:val="center"/>
              <w:rPr>
                <w:rFonts w:cs="Times New Roman"/>
                <w:b/>
                <w:color w:val="17365D"/>
                <w:sz w:val="18"/>
                <w:szCs w:val="18"/>
                <w:lang w:eastAsia="lv-LV"/>
              </w:rPr>
            </w:pPr>
          </w:p>
        </w:tc>
        <w:tc>
          <w:tcPr>
            <w:tcW w:w="1558" w:type="dxa"/>
            <w:tcBorders>
              <w:top w:val="single" w:sz="4" w:space="0" w:color="17365D"/>
              <w:bottom w:val="single" w:sz="4" w:space="0" w:color="17365D"/>
            </w:tcBorders>
            <w:shd w:val="clear" w:color="auto" w:fill="auto"/>
            <w:noWrap/>
            <w:vAlign w:val="center"/>
            <w:hideMark/>
          </w:tcPr>
          <w:p w14:paraId="45288E22" w14:textId="77777777" w:rsidR="00FB11FC" w:rsidRPr="00177E3C" w:rsidRDefault="00FB11FC" w:rsidP="00C7199B">
            <w:pPr>
              <w:spacing w:after="0" w:line="240" w:lineRule="auto"/>
              <w:jc w:val="right"/>
              <w:rPr>
                <w:rFonts w:cs="Times New Roman"/>
                <w:b/>
                <w:bCs/>
                <w:color w:val="17365D"/>
                <w:sz w:val="18"/>
                <w:szCs w:val="18"/>
              </w:rPr>
            </w:pPr>
            <w:r w:rsidRPr="00177E3C">
              <w:rPr>
                <w:rFonts w:cs="Times New Roman"/>
                <w:b/>
                <w:bCs/>
                <w:color w:val="17365D"/>
                <w:sz w:val="18"/>
                <w:szCs w:val="18"/>
              </w:rPr>
              <w:t>18 052 042 227</w:t>
            </w:r>
          </w:p>
        </w:tc>
        <w:tc>
          <w:tcPr>
            <w:tcW w:w="1560" w:type="dxa"/>
            <w:tcBorders>
              <w:top w:val="single" w:sz="4" w:space="0" w:color="17365D"/>
              <w:bottom w:val="single" w:sz="4" w:space="0" w:color="17365D"/>
            </w:tcBorders>
            <w:shd w:val="clear" w:color="auto" w:fill="auto"/>
            <w:noWrap/>
            <w:vAlign w:val="center"/>
            <w:hideMark/>
          </w:tcPr>
          <w:p w14:paraId="3FE18545" w14:textId="77777777" w:rsidR="00FB11FC" w:rsidRPr="00177E3C" w:rsidRDefault="00FB11FC" w:rsidP="00C7199B">
            <w:pPr>
              <w:spacing w:after="0" w:line="240" w:lineRule="auto"/>
              <w:jc w:val="right"/>
              <w:rPr>
                <w:rFonts w:cs="Times New Roman"/>
                <w:b/>
                <w:bCs/>
                <w:color w:val="17365D"/>
                <w:sz w:val="18"/>
                <w:szCs w:val="18"/>
              </w:rPr>
            </w:pPr>
            <w:r w:rsidRPr="00177E3C">
              <w:rPr>
                <w:rFonts w:cs="Times New Roman"/>
                <w:b/>
                <w:bCs/>
                <w:color w:val="17365D"/>
                <w:sz w:val="18"/>
                <w:szCs w:val="18"/>
              </w:rPr>
              <w:t>16 413 349 718</w:t>
            </w:r>
          </w:p>
        </w:tc>
        <w:tc>
          <w:tcPr>
            <w:tcW w:w="1560" w:type="dxa"/>
            <w:tcBorders>
              <w:top w:val="single" w:sz="4" w:space="0" w:color="17365D"/>
              <w:bottom w:val="single" w:sz="4" w:space="0" w:color="17365D"/>
            </w:tcBorders>
            <w:shd w:val="clear" w:color="auto" w:fill="auto"/>
            <w:noWrap/>
            <w:vAlign w:val="center"/>
            <w:hideMark/>
          </w:tcPr>
          <w:p w14:paraId="49C27684" w14:textId="77777777" w:rsidR="00FB11FC" w:rsidRPr="00177E3C" w:rsidRDefault="00FB11FC" w:rsidP="00C7199B">
            <w:pPr>
              <w:spacing w:after="0" w:line="240" w:lineRule="auto"/>
              <w:jc w:val="right"/>
              <w:rPr>
                <w:rFonts w:cs="Times New Roman"/>
                <w:b/>
                <w:bCs/>
                <w:color w:val="17365D"/>
                <w:sz w:val="18"/>
                <w:szCs w:val="18"/>
              </w:rPr>
            </w:pPr>
            <w:r w:rsidRPr="00177E3C">
              <w:rPr>
                <w:rFonts w:cs="Times New Roman"/>
                <w:b/>
                <w:bCs/>
                <w:color w:val="17365D"/>
                <w:sz w:val="18"/>
                <w:szCs w:val="18"/>
              </w:rPr>
              <w:t>1 638 692 509</w:t>
            </w:r>
          </w:p>
        </w:tc>
        <w:tc>
          <w:tcPr>
            <w:tcW w:w="1275" w:type="dxa"/>
            <w:tcBorders>
              <w:top w:val="single" w:sz="4" w:space="0" w:color="17365D"/>
              <w:bottom w:val="single" w:sz="4" w:space="0" w:color="17365D"/>
            </w:tcBorders>
            <w:shd w:val="clear" w:color="auto" w:fill="auto"/>
            <w:noWrap/>
            <w:vAlign w:val="center"/>
            <w:hideMark/>
          </w:tcPr>
          <w:p w14:paraId="4449869C" w14:textId="77777777" w:rsidR="00FB11FC" w:rsidRPr="00177E3C" w:rsidRDefault="00FB11FC" w:rsidP="00C7199B">
            <w:pPr>
              <w:spacing w:after="0" w:line="240" w:lineRule="auto"/>
              <w:jc w:val="right"/>
              <w:rPr>
                <w:rFonts w:cs="Times New Roman"/>
                <w:b/>
                <w:bCs/>
                <w:color w:val="17365D"/>
                <w:sz w:val="18"/>
                <w:szCs w:val="18"/>
              </w:rPr>
            </w:pPr>
            <w:r w:rsidRPr="00177E3C">
              <w:rPr>
                <w:rFonts w:cs="Times New Roman"/>
                <w:b/>
                <w:bCs/>
                <w:color w:val="17365D"/>
                <w:sz w:val="18"/>
                <w:szCs w:val="18"/>
              </w:rPr>
              <w:t>9.98</w:t>
            </w:r>
          </w:p>
        </w:tc>
      </w:tr>
      <w:tr w:rsidR="00FB11FC" w:rsidRPr="00177E3C" w14:paraId="0FB01AC6"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395F6650"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Nodokļu ieņēmumi</w:t>
            </w:r>
          </w:p>
        </w:tc>
        <w:tc>
          <w:tcPr>
            <w:tcW w:w="851" w:type="dxa"/>
            <w:tcBorders>
              <w:top w:val="single" w:sz="4" w:space="0" w:color="17365D"/>
              <w:bottom w:val="single" w:sz="4" w:space="0" w:color="17365D"/>
            </w:tcBorders>
            <w:shd w:val="clear" w:color="auto" w:fill="auto"/>
            <w:vAlign w:val="center"/>
            <w:hideMark/>
          </w:tcPr>
          <w:p w14:paraId="1BE4D505" w14:textId="77777777" w:rsidR="00FB11FC" w:rsidRPr="00177E3C" w:rsidRDefault="00FB11FC" w:rsidP="00C7199B">
            <w:pPr>
              <w:pStyle w:val="Tabulasteksts"/>
              <w:jc w:val="center"/>
              <w:rPr>
                <w:color w:val="17365D"/>
                <w:sz w:val="18"/>
                <w:szCs w:val="18"/>
                <w:lang w:eastAsia="lv-LV"/>
              </w:rPr>
            </w:pPr>
          </w:p>
        </w:tc>
        <w:tc>
          <w:tcPr>
            <w:tcW w:w="1558" w:type="dxa"/>
            <w:tcBorders>
              <w:top w:val="single" w:sz="4" w:space="0" w:color="17365D"/>
              <w:bottom w:val="single" w:sz="4" w:space="0" w:color="17365D"/>
            </w:tcBorders>
            <w:shd w:val="clear" w:color="auto" w:fill="auto"/>
            <w:noWrap/>
            <w:vAlign w:val="center"/>
            <w:hideMark/>
          </w:tcPr>
          <w:p w14:paraId="34CCDF02"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14 430 239 613</w:t>
            </w:r>
          </w:p>
        </w:tc>
        <w:tc>
          <w:tcPr>
            <w:tcW w:w="1560" w:type="dxa"/>
            <w:tcBorders>
              <w:top w:val="single" w:sz="4" w:space="0" w:color="17365D"/>
              <w:bottom w:val="single" w:sz="4" w:space="0" w:color="17365D"/>
            </w:tcBorders>
            <w:shd w:val="clear" w:color="auto" w:fill="auto"/>
            <w:noWrap/>
            <w:vAlign w:val="center"/>
            <w:hideMark/>
          </w:tcPr>
          <w:p w14:paraId="3294206D"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13 376 194 906</w:t>
            </w:r>
          </w:p>
        </w:tc>
        <w:tc>
          <w:tcPr>
            <w:tcW w:w="1560" w:type="dxa"/>
            <w:tcBorders>
              <w:top w:val="single" w:sz="4" w:space="0" w:color="17365D"/>
              <w:bottom w:val="single" w:sz="4" w:space="0" w:color="17365D"/>
            </w:tcBorders>
            <w:shd w:val="clear" w:color="auto" w:fill="auto"/>
            <w:noWrap/>
            <w:vAlign w:val="center"/>
            <w:hideMark/>
          </w:tcPr>
          <w:p w14:paraId="77ACC11F"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1 054 044 707</w:t>
            </w:r>
          </w:p>
        </w:tc>
        <w:tc>
          <w:tcPr>
            <w:tcW w:w="1275" w:type="dxa"/>
            <w:tcBorders>
              <w:top w:val="single" w:sz="4" w:space="0" w:color="17365D"/>
              <w:bottom w:val="single" w:sz="4" w:space="0" w:color="17365D"/>
            </w:tcBorders>
            <w:shd w:val="clear" w:color="auto" w:fill="auto"/>
            <w:noWrap/>
            <w:vAlign w:val="center"/>
            <w:hideMark/>
          </w:tcPr>
          <w:p w14:paraId="3979C610"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7.28</w:t>
            </w:r>
          </w:p>
        </w:tc>
      </w:tr>
      <w:tr w:rsidR="00FB11FC" w:rsidRPr="00177E3C" w14:paraId="28C2ADD1"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71FFD1ED" w14:textId="77777777" w:rsidR="00FB11FC" w:rsidRPr="00177E3C" w:rsidRDefault="00FB11FC" w:rsidP="00C7199B">
            <w:pPr>
              <w:pStyle w:val="Tabulasteksts"/>
              <w:rPr>
                <w:bCs/>
                <w:color w:val="17365D"/>
                <w:sz w:val="18"/>
                <w:szCs w:val="18"/>
                <w:lang w:eastAsia="lv-LV"/>
              </w:rPr>
            </w:pPr>
            <w:proofErr w:type="spellStart"/>
            <w:r w:rsidRPr="00177E3C">
              <w:rPr>
                <w:bCs/>
                <w:color w:val="17365D"/>
                <w:sz w:val="18"/>
                <w:szCs w:val="18"/>
                <w:lang w:eastAsia="lv-LV"/>
              </w:rPr>
              <w:t>Nenodokļu</w:t>
            </w:r>
            <w:proofErr w:type="spellEnd"/>
            <w:r w:rsidRPr="00177E3C">
              <w:rPr>
                <w:bCs/>
                <w:color w:val="17365D"/>
                <w:sz w:val="18"/>
                <w:szCs w:val="18"/>
                <w:lang w:eastAsia="lv-LV"/>
              </w:rPr>
              <w:t xml:space="preserve"> ieņēmumi</w:t>
            </w:r>
          </w:p>
        </w:tc>
        <w:tc>
          <w:tcPr>
            <w:tcW w:w="851" w:type="dxa"/>
            <w:tcBorders>
              <w:top w:val="single" w:sz="4" w:space="0" w:color="17365D"/>
              <w:bottom w:val="single" w:sz="4" w:space="0" w:color="17365D"/>
            </w:tcBorders>
            <w:shd w:val="clear" w:color="auto" w:fill="auto"/>
            <w:vAlign w:val="center"/>
            <w:hideMark/>
          </w:tcPr>
          <w:p w14:paraId="7E25738B" w14:textId="77777777" w:rsidR="00FB11FC" w:rsidRPr="00177E3C" w:rsidRDefault="00FB11FC" w:rsidP="00C7199B">
            <w:pPr>
              <w:pStyle w:val="Tabulasteksts"/>
              <w:jc w:val="center"/>
              <w:rPr>
                <w:color w:val="17365D"/>
                <w:sz w:val="18"/>
                <w:szCs w:val="18"/>
                <w:lang w:eastAsia="lv-LV"/>
              </w:rPr>
            </w:pPr>
            <w:r w:rsidRPr="00177E3C">
              <w:rPr>
                <w:color w:val="17365D"/>
                <w:sz w:val="18"/>
                <w:szCs w:val="18"/>
                <w:lang w:eastAsia="lv-LV"/>
              </w:rPr>
              <w:t>NP.A12.</w:t>
            </w:r>
          </w:p>
        </w:tc>
        <w:tc>
          <w:tcPr>
            <w:tcW w:w="1558" w:type="dxa"/>
            <w:tcBorders>
              <w:top w:val="single" w:sz="4" w:space="0" w:color="17365D"/>
              <w:bottom w:val="single" w:sz="4" w:space="0" w:color="17365D"/>
            </w:tcBorders>
            <w:shd w:val="clear" w:color="auto" w:fill="auto"/>
            <w:noWrap/>
            <w:vAlign w:val="center"/>
            <w:hideMark/>
          </w:tcPr>
          <w:p w14:paraId="7DCEA4D6"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1 010 227 083</w:t>
            </w:r>
          </w:p>
        </w:tc>
        <w:tc>
          <w:tcPr>
            <w:tcW w:w="1560" w:type="dxa"/>
            <w:tcBorders>
              <w:top w:val="single" w:sz="4" w:space="0" w:color="17365D"/>
              <w:bottom w:val="single" w:sz="4" w:space="0" w:color="17365D"/>
            </w:tcBorders>
            <w:shd w:val="clear" w:color="auto" w:fill="auto"/>
            <w:noWrap/>
            <w:vAlign w:val="center"/>
            <w:hideMark/>
          </w:tcPr>
          <w:p w14:paraId="7B96A3FE"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907 575 600</w:t>
            </w:r>
          </w:p>
        </w:tc>
        <w:tc>
          <w:tcPr>
            <w:tcW w:w="1560" w:type="dxa"/>
            <w:tcBorders>
              <w:top w:val="single" w:sz="4" w:space="0" w:color="17365D"/>
              <w:bottom w:val="single" w:sz="4" w:space="0" w:color="17365D"/>
            </w:tcBorders>
            <w:shd w:val="clear" w:color="auto" w:fill="auto"/>
            <w:noWrap/>
            <w:vAlign w:val="center"/>
            <w:hideMark/>
          </w:tcPr>
          <w:p w14:paraId="5D1E4A06"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102 651 483</w:t>
            </w:r>
          </w:p>
        </w:tc>
        <w:tc>
          <w:tcPr>
            <w:tcW w:w="1275" w:type="dxa"/>
            <w:tcBorders>
              <w:top w:val="single" w:sz="4" w:space="0" w:color="17365D"/>
              <w:bottom w:val="single" w:sz="4" w:space="0" w:color="17365D"/>
            </w:tcBorders>
            <w:shd w:val="clear" w:color="auto" w:fill="auto"/>
            <w:noWrap/>
            <w:vAlign w:val="center"/>
            <w:hideMark/>
          </w:tcPr>
          <w:p w14:paraId="6E0AA0AB"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11.31</w:t>
            </w:r>
          </w:p>
        </w:tc>
      </w:tr>
      <w:tr w:rsidR="00FB11FC" w:rsidRPr="00177E3C" w14:paraId="57163181"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4F9301C4" w14:textId="77777777" w:rsidR="00FB11FC" w:rsidRPr="00177E3C" w:rsidRDefault="00FB11FC" w:rsidP="00C7199B">
            <w:pPr>
              <w:pStyle w:val="Tabulasteksts"/>
              <w:rPr>
                <w:bCs/>
                <w:color w:val="17365D"/>
                <w:sz w:val="18"/>
                <w:szCs w:val="18"/>
                <w:lang w:eastAsia="lv-LV"/>
              </w:rPr>
            </w:pPr>
            <w:r w:rsidRPr="00177E3C">
              <w:rPr>
                <w:color w:val="17365D"/>
                <w:sz w:val="18"/>
                <w:szCs w:val="18"/>
                <w:lang w:eastAsia="lv-LV"/>
              </w:rPr>
              <w:t>Maksas pakalpojumi un citi pašu ieņēmumi</w:t>
            </w:r>
          </w:p>
        </w:tc>
        <w:tc>
          <w:tcPr>
            <w:tcW w:w="851" w:type="dxa"/>
            <w:tcBorders>
              <w:top w:val="single" w:sz="4" w:space="0" w:color="17365D"/>
              <w:bottom w:val="single" w:sz="4" w:space="0" w:color="17365D"/>
            </w:tcBorders>
            <w:shd w:val="clear" w:color="auto" w:fill="auto"/>
            <w:vAlign w:val="center"/>
            <w:hideMark/>
          </w:tcPr>
          <w:p w14:paraId="55B7AA0C" w14:textId="77777777" w:rsidR="00FB11FC" w:rsidRPr="00177E3C" w:rsidRDefault="00FB11FC" w:rsidP="00C7199B">
            <w:pPr>
              <w:pStyle w:val="Tabulasteksts"/>
              <w:jc w:val="center"/>
              <w:rPr>
                <w:color w:val="17365D"/>
                <w:sz w:val="18"/>
                <w:szCs w:val="18"/>
                <w:lang w:eastAsia="lv-LV"/>
              </w:rPr>
            </w:pPr>
          </w:p>
        </w:tc>
        <w:tc>
          <w:tcPr>
            <w:tcW w:w="1558" w:type="dxa"/>
            <w:tcBorders>
              <w:top w:val="single" w:sz="4" w:space="0" w:color="17365D"/>
              <w:bottom w:val="single" w:sz="4" w:space="0" w:color="17365D"/>
            </w:tcBorders>
            <w:shd w:val="clear" w:color="auto" w:fill="auto"/>
            <w:noWrap/>
            <w:vAlign w:val="center"/>
            <w:hideMark/>
          </w:tcPr>
          <w:p w14:paraId="02037324"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533 803 377</w:t>
            </w:r>
          </w:p>
        </w:tc>
        <w:tc>
          <w:tcPr>
            <w:tcW w:w="1560" w:type="dxa"/>
            <w:tcBorders>
              <w:top w:val="single" w:sz="4" w:space="0" w:color="17365D"/>
              <w:bottom w:val="single" w:sz="4" w:space="0" w:color="17365D"/>
            </w:tcBorders>
            <w:shd w:val="clear" w:color="auto" w:fill="auto"/>
            <w:noWrap/>
            <w:vAlign w:val="center"/>
            <w:hideMark/>
          </w:tcPr>
          <w:p w14:paraId="5964EB51"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493 679 494</w:t>
            </w:r>
          </w:p>
        </w:tc>
        <w:tc>
          <w:tcPr>
            <w:tcW w:w="1560" w:type="dxa"/>
            <w:tcBorders>
              <w:top w:val="single" w:sz="4" w:space="0" w:color="17365D"/>
              <w:bottom w:val="single" w:sz="4" w:space="0" w:color="17365D"/>
            </w:tcBorders>
            <w:shd w:val="clear" w:color="auto" w:fill="auto"/>
            <w:noWrap/>
            <w:vAlign w:val="center"/>
            <w:hideMark/>
          </w:tcPr>
          <w:p w14:paraId="0FA467F6"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40 123 883</w:t>
            </w:r>
          </w:p>
        </w:tc>
        <w:tc>
          <w:tcPr>
            <w:tcW w:w="1275" w:type="dxa"/>
            <w:tcBorders>
              <w:top w:val="single" w:sz="4" w:space="0" w:color="17365D"/>
              <w:bottom w:val="single" w:sz="4" w:space="0" w:color="17365D"/>
            </w:tcBorders>
            <w:shd w:val="clear" w:color="auto" w:fill="auto"/>
            <w:noWrap/>
            <w:vAlign w:val="center"/>
            <w:hideMark/>
          </w:tcPr>
          <w:p w14:paraId="3134F134"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8.13</w:t>
            </w:r>
          </w:p>
        </w:tc>
      </w:tr>
      <w:tr w:rsidR="00FB11FC" w:rsidRPr="00177E3C" w14:paraId="476BEFFA"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097604FF" w14:textId="77777777" w:rsidR="00FB11FC" w:rsidRPr="00177E3C" w:rsidRDefault="00FB11FC" w:rsidP="00C7199B">
            <w:pPr>
              <w:pStyle w:val="Tabulasteksts"/>
              <w:rPr>
                <w:color w:val="17365D"/>
                <w:sz w:val="18"/>
                <w:szCs w:val="18"/>
                <w:lang w:eastAsia="lv-LV"/>
              </w:rPr>
            </w:pPr>
            <w:r w:rsidRPr="00177E3C">
              <w:rPr>
                <w:color w:val="17365D"/>
                <w:sz w:val="18"/>
                <w:szCs w:val="18"/>
                <w:lang w:eastAsia="lv-LV"/>
              </w:rPr>
              <w:t>Ārvalstu finanšu palīdzība</w:t>
            </w:r>
          </w:p>
        </w:tc>
        <w:tc>
          <w:tcPr>
            <w:tcW w:w="851" w:type="dxa"/>
            <w:tcBorders>
              <w:top w:val="single" w:sz="4" w:space="0" w:color="17365D"/>
              <w:bottom w:val="single" w:sz="4" w:space="0" w:color="17365D"/>
            </w:tcBorders>
            <w:shd w:val="clear" w:color="auto" w:fill="auto"/>
            <w:vAlign w:val="center"/>
            <w:hideMark/>
          </w:tcPr>
          <w:p w14:paraId="0FAA6A08" w14:textId="77777777" w:rsidR="00FB11FC" w:rsidRPr="00177E3C" w:rsidRDefault="00FB11FC" w:rsidP="00C7199B">
            <w:pPr>
              <w:pStyle w:val="Tabulasteksts"/>
              <w:jc w:val="center"/>
              <w:rPr>
                <w:color w:val="17365D"/>
                <w:sz w:val="18"/>
                <w:szCs w:val="18"/>
                <w:lang w:eastAsia="lv-LV"/>
              </w:rPr>
            </w:pPr>
            <w:r w:rsidRPr="00177E3C">
              <w:rPr>
                <w:color w:val="17365D"/>
                <w:sz w:val="18"/>
                <w:szCs w:val="18"/>
                <w:lang w:eastAsia="lv-LV"/>
              </w:rPr>
              <w:t>NP.A14.</w:t>
            </w:r>
          </w:p>
        </w:tc>
        <w:tc>
          <w:tcPr>
            <w:tcW w:w="1558" w:type="dxa"/>
            <w:tcBorders>
              <w:top w:val="single" w:sz="4" w:space="0" w:color="17365D"/>
              <w:bottom w:val="single" w:sz="4" w:space="0" w:color="17365D"/>
            </w:tcBorders>
            <w:shd w:val="clear" w:color="auto" w:fill="auto"/>
            <w:noWrap/>
            <w:vAlign w:val="center"/>
            <w:hideMark/>
          </w:tcPr>
          <w:p w14:paraId="17B25BA6"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1 863 745 559</w:t>
            </w:r>
          </w:p>
        </w:tc>
        <w:tc>
          <w:tcPr>
            <w:tcW w:w="1560" w:type="dxa"/>
            <w:tcBorders>
              <w:top w:val="single" w:sz="4" w:space="0" w:color="17365D"/>
              <w:bottom w:val="single" w:sz="4" w:space="0" w:color="17365D"/>
            </w:tcBorders>
            <w:shd w:val="clear" w:color="auto" w:fill="auto"/>
            <w:noWrap/>
            <w:vAlign w:val="center"/>
            <w:hideMark/>
          </w:tcPr>
          <w:p w14:paraId="30729F43"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1 489 939 693</w:t>
            </w:r>
          </w:p>
        </w:tc>
        <w:tc>
          <w:tcPr>
            <w:tcW w:w="1560" w:type="dxa"/>
            <w:tcBorders>
              <w:top w:val="single" w:sz="4" w:space="0" w:color="17365D"/>
              <w:bottom w:val="single" w:sz="4" w:space="0" w:color="17365D"/>
            </w:tcBorders>
            <w:shd w:val="clear" w:color="auto" w:fill="auto"/>
            <w:noWrap/>
            <w:vAlign w:val="center"/>
            <w:hideMark/>
          </w:tcPr>
          <w:p w14:paraId="38548A68"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374 005 866</w:t>
            </w:r>
          </w:p>
        </w:tc>
        <w:tc>
          <w:tcPr>
            <w:tcW w:w="1275" w:type="dxa"/>
            <w:tcBorders>
              <w:top w:val="single" w:sz="4" w:space="0" w:color="17365D"/>
              <w:bottom w:val="single" w:sz="4" w:space="0" w:color="17365D"/>
            </w:tcBorders>
            <w:shd w:val="clear" w:color="auto" w:fill="auto"/>
            <w:noWrap/>
            <w:vAlign w:val="center"/>
            <w:hideMark/>
          </w:tcPr>
          <w:p w14:paraId="1E4E930C"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25.10</w:t>
            </w:r>
          </w:p>
        </w:tc>
      </w:tr>
      <w:tr w:rsidR="00FB11FC" w:rsidRPr="00177E3C" w14:paraId="787E8FA7"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12E221A4" w14:textId="77777777" w:rsidR="00FB11FC" w:rsidRPr="00177E3C" w:rsidRDefault="00FB11FC" w:rsidP="00C7199B">
            <w:pPr>
              <w:pStyle w:val="Tabulasteksts"/>
              <w:rPr>
                <w:color w:val="17365D"/>
                <w:sz w:val="18"/>
                <w:szCs w:val="18"/>
                <w:lang w:eastAsia="lv-LV"/>
              </w:rPr>
            </w:pPr>
            <w:proofErr w:type="spellStart"/>
            <w:r w:rsidRPr="00177E3C">
              <w:rPr>
                <w:color w:val="17365D"/>
                <w:sz w:val="18"/>
                <w:szCs w:val="18"/>
                <w:lang w:eastAsia="lv-LV"/>
              </w:rPr>
              <w:t>Transferti</w:t>
            </w:r>
            <w:proofErr w:type="spellEnd"/>
          </w:p>
        </w:tc>
        <w:tc>
          <w:tcPr>
            <w:tcW w:w="851" w:type="dxa"/>
            <w:tcBorders>
              <w:top w:val="single" w:sz="4" w:space="0" w:color="17365D"/>
              <w:bottom w:val="single" w:sz="4" w:space="0" w:color="17365D"/>
            </w:tcBorders>
            <w:shd w:val="clear" w:color="auto" w:fill="auto"/>
            <w:vAlign w:val="center"/>
            <w:hideMark/>
          </w:tcPr>
          <w:p w14:paraId="08313F90" w14:textId="77777777" w:rsidR="00FB11FC" w:rsidRPr="00177E3C" w:rsidRDefault="00FB11FC" w:rsidP="00C7199B">
            <w:pPr>
              <w:pStyle w:val="Tabulasteksts"/>
              <w:jc w:val="center"/>
              <w:rPr>
                <w:color w:val="17365D"/>
                <w:sz w:val="18"/>
                <w:szCs w:val="18"/>
                <w:lang w:eastAsia="lv-LV"/>
              </w:rPr>
            </w:pPr>
          </w:p>
        </w:tc>
        <w:tc>
          <w:tcPr>
            <w:tcW w:w="1558" w:type="dxa"/>
            <w:tcBorders>
              <w:top w:val="single" w:sz="4" w:space="0" w:color="17365D"/>
              <w:bottom w:val="single" w:sz="4" w:space="0" w:color="17365D"/>
            </w:tcBorders>
            <w:shd w:val="clear" w:color="auto" w:fill="auto"/>
            <w:noWrap/>
            <w:vAlign w:val="center"/>
            <w:hideMark/>
          </w:tcPr>
          <w:p w14:paraId="64602684"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0</w:t>
            </w:r>
          </w:p>
        </w:tc>
        <w:tc>
          <w:tcPr>
            <w:tcW w:w="1560" w:type="dxa"/>
            <w:tcBorders>
              <w:top w:val="single" w:sz="4" w:space="0" w:color="17365D"/>
              <w:bottom w:val="single" w:sz="4" w:space="0" w:color="17365D"/>
            </w:tcBorders>
            <w:shd w:val="clear" w:color="auto" w:fill="auto"/>
            <w:noWrap/>
            <w:vAlign w:val="center"/>
            <w:hideMark/>
          </w:tcPr>
          <w:p w14:paraId="57B2806D"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132 454</w:t>
            </w:r>
          </w:p>
        </w:tc>
        <w:tc>
          <w:tcPr>
            <w:tcW w:w="1560" w:type="dxa"/>
            <w:tcBorders>
              <w:top w:val="single" w:sz="4" w:space="0" w:color="17365D"/>
              <w:bottom w:val="single" w:sz="4" w:space="0" w:color="17365D"/>
            </w:tcBorders>
            <w:shd w:val="clear" w:color="auto" w:fill="auto"/>
            <w:noWrap/>
            <w:vAlign w:val="center"/>
            <w:hideMark/>
          </w:tcPr>
          <w:p w14:paraId="75F5B3B4"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-132 454</w:t>
            </w:r>
          </w:p>
        </w:tc>
        <w:tc>
          <w:tcPr>
            <w:tcW w:w="1275" w:type="dxa"/>
            <w:tcBorders>
              <w:top w:val="single" w:sz="4" w:space="0" w:color="17365D"/>
              <w:bottom w:val="single" w:sz="4" w:space="0" w:color="17365D"/>
            </w:tcBorders>
            <w:shd w:val="clear" w:color="auto" w:fill="auto"/>
            <w:noWrap/>
            <w:vAlign w:val="center"/>
            <w:hideMark/>
          </w:tcPr>
          <w:p w14:paraId="6DFC05FC"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-100.00</w:t>
            </w:r>
          </w:p>
        </w:tc>
      </w:tr>
      <w:tr w:rsidR="00FB11FC" w:rsidRPr="00042BFA" w14:paraId="3F8AB572"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2A59E44B" w14:textId="77777777" w:rsidR="00FB11FC" w:rsidRPr="00042BFA" w:rsidRDefault="00FB11FC" w:rsidP="00C7199B">
            <w:pPr>
              <w:pStyle w:val="Tabulasteksts"/>
              <w:rPr>
                <w:color w:val="17365D"/>
                <w:sz w:val="18"/>
                <w:szCs w:val="18"/>
                <w:lang w:eastAsia="lv-LV"/>
              </w:rPr>
            </w:pPr>
            <w:r w:rsidRPr="00042BFA">
              <w:rPr>
                <w:color w:val="17365D"/>
                <w:sz w:val="18"/>
                <w:szCs w:val="18"/>
                <w:lang w:eastAsia="lv-LV"/>
              </w:rPr>
              <w:t>Ziedojumi un dāvinājumi</w:t>
            </w:r>
          </w:p>
        </w:tc>
        <w:tc>
          <w:tcPr>
            <w:tcW w:w="851" w:type="dxa"/>
            <w:tcBorders>
              <w:top w:val="single" w:sz="4" w:space="0" w:color="17365D"/>
              <w:bottom w:val="single" w:sz="4" w:space="0" w:color="17365D"/>
            </w:tcBorders>
            <w:shd w:val="clear" w:color="auto" w:fill="auto"/>
            <w:vAlign w:val="center"/>
            <w:hideMark/>
          </w:tcPr>
          <w:p w14:paraId="5597D701" w14:textId="77777777" w:rsidR="00FB11FC" w:rsidRPr="00042BFA" w:rsidRDefault="00FB11FC" w:rsidP="00C7199B">
            <w:pPr>
              <w:pStyle w:val="Tabulasteksts"/>
              <w:jc w:val="center"/>
              <w:rPr>
                <w:color w:val="17365D"/>
                <w:sz w:val="18"/>
                <w:szCs w:val="18"/>
                <w:lang w:eastAsia="lv-LV"/>
              </w:rPr>
            </w:pPr>
          </w:p>
        </w:tc>
        <w:tc>
          <w:tcPr>
            <w:tcW w:w="1558" w:type="dxa"/>
            <w:tcBorders>
              <w:top w:val="single" w:sz="4" w:space="0" w:color="17365D"/>
              <w:bottom w:val="single" w:sz="4" w:space="0" w:color="17365D"/>
            </w:tcBorders>
            <w:shd w:val="clear" w:color="auto" w:fill="auto"/>
            <w:noWrap/>
            <w:vAlign w:val="center"/>
            <w:hideMark/>
          </w:tcPr>
          <w:p w14:paraId="3D201F53"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1 837 088</w:t>
            </w:r>
          </w:p>
        </w:tc>
        <w:tc>
          <w:tcPr>
            <w:tcW w:w="1560" w:type="dxa"/>
            <w:tcBorders>
              <w:top w:val="single" w:sz="4" w:space="0" w:color="17365D"/>
              <w:bottom w:val="single" w:sz="4" w:space="0" w:color="17365D"/>
            </w:tcBorders>
            <w:shd w:val="clear" w:color="auto" w:fill="auto"/>
            <w:noWrap/>
            <w:vAlign w:val="center"/>
            <w:hideMark/>
          </w:tcPr>
          <w:p w14:paraId="145E8474"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1 840 698</w:t>
            </w:r>
          </w:p>
        </w:tc>
        <w:tc>
          <w:tcPr>
            <w:tcW w:w="1560" w:type="dxa"/>
            <w:tcBorders>
              <w:top w:val="single" w:sz="4" w:space="0" w:color="17365D"/>
              <w:bottom w:val="single" w:sz="4" w:space="0" w:color="17365D"/>
            </w:tcBorders>
            <w:shd w:val="clear" w:color="auto" w:fill="auto"/>
            <w:noWrap/>
            <w:vAlign w:val="center"/>
            <w:hideMark/>
          </w:tcPr>
          <w:p w14:paraId="090C0CB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-3 610</w:t>
            </w:r>
          </w:p>
        </w:tc>
        <w:tc>
          <w:tcPr>
            <w:tcW w:w="1275" w:type="dxa"/>
            <w:tcBorders>
              <w:top w:val="single" w:sz="4" w:space="0" w:color="17365D"/>
              <w:bottom w:val="single" w:sz="4" w:space="0" w:color="17365D"/>
            </w:tcBorders>
            <w:shd w:val="clear" w:color="auto" w:fill="auto"/>
            <w:noWrap/>
            <w:vAlign w:val="center"/>
            <w:hideMark/>
          </w:tcPr>
          <w:p w14:paraId="2E4F9EC5"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-0.20</w:t>
            </w:r>
          </w:p>
        </w:tc>
      </w:tr>
      <w:tr w:rsidR="00FB11FC" w:rsidRPr="00042BFA" w14:paraId="4B357643" w14:textId="77777777" w:rsidTr="00D81CD0">
        <w:trPr>
          <w:trHeight w:val="255"/>
        </w:trPr>
        <w:tc>
          <w:tcPr>
            <w:tcW w:w="2694" w:type="dxa"/>
            <w:tcBorders>
              <w:top w:val="single" w:sz="4" w:space="0" w:color="17365D"/>
              <w:bottom w:val="single" w:sz="4" w:space="0" w:color="17365D"/>
            </w:tcBorders>
            <w:shd w:val="clear" w:color="auto" w:fill="auto"/>
            <w:vAlign w:val="center"/>
          </w:tcPr>
          <w:p w14:paraId="475FB400" w14:textId="77777777" w:rsidR="00FB11FC" w:rsidRPr="00042BFA" w:rsidRDefault="00FB11FC" w:rsidP="00C7199B">
            <w:pPr>
              <w:pStyle w:val="Tabulasteksts"/>
              <w:rPr>
                <w:color w:val="17365D"/>
                <w:sz w:val="18"/>
                <w:szCs w:val="18"/>
                <w:lang w:eastAsia="lv-LV"/>
              </w:rPr>
            </w:pPr>
            <w:r w:rsidRPr="00042BFA">
              <w:rPr>
                <w:color w:val="17365D"/>
                <w:sz w:val="18"/>
                <w:szCs w:val="18"/>
                <w:lang w:eastAsia="lv-LV"/>
              </w:rPr>
              <w:t>Aizdevumu atmaksas</w:t>
            </w:r>
          </w:p>
        </w:tc>
        <w:tc>
          <w:tcPr>
            <w:tcW w:w="851" w:type="dxa"/>
            <w:tcBorders>
              <w:top w:val="single" w:sz="4" w:space="0" w:color="17365D"/>
              <w:bottom w:val="single" w:sz="4" w:space="0" w:color="17365D"/>
            </w:tcBorders>
            <w:shd w:val="clear" w:color="auto" w:fill="auto"/>
            <w:vAlign w:val="center"/>
          </w:tcPr>
          <w:p w14:paraId="3D8938D2" w14:textId="77777777" w:rsidR="00FB11FC" w:rsidRPr="00042BFA" w:rsidRDefault="00FB11FC" w:rsidP="00C7199B">
            <w:pPr>
              <w:pStyle w:val="Tabulasteksts"/>
              <w:jc w:val="center"/>
              <w:rPr>
                <w:color w:val="17365D"/>
                <w:sz w:val="18"/>
                <w:szCs w:val="18"/>
                <w:lang w:eastAsia="lv-LV"/>
              </w:rPr>
            </w:pPr>
          </w:p>
        </w:tc>
        <w:tc>
          <w:tcPr>
            <w:tcW w:w="1558" w:type="dxa"/>
            <w:tcBorders>
              <w:top w:val="single" w:sz="4" w:space="0" w:color="17365D"/>
              <w:bottom w:val="single" w:sz="4" w:space="0" w:color="17365D"/>
            </w:tcBorders>
            <w:shd w:val="clear" w:color="auto" w:fill="auto"/>
            <w:noWrap/>
            <w:vAlign w:val="center"/>
          </w:tcPr>
          <w:p w14:paraId="54559B7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91 961 347</w:t>
            </w:r>
          </w:p>
        </w:tc>
        <w:tc>
          <w:tcPr>
            <w:tcW w:w="1560" w:type="dxa"/>
            <w:tcBorders>
              <w:top w:val="single" w:sz="4" w:space="0" w:color="17365D"/>
              <w:bottom w:val="single" w:sz="4" w:space="0" w:color="17365D"/>
            </w:tcBorders>
            <w:shd w:val="clear" w:color="auto" w:fill="auto"/>
            <w:noWrap/>
            <w:vAlign w:val="center"/>
          </w:tcPr>
          <w:p w14:paraId="73391F0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33 132 811</w:t>
            </w:r>
          </w:p>
        </w:tc>
        <w:tc>
          <w:tcPr>
            <w:tcW w:w="1560" w:type="dxa"/>
            <w:tcBorders>
              <w:top w:val="single" w:sz="4" w:space="0" w:color="17365D"/>
              <w:bottom w:val="single" w:sz="4" w:space="0" w:color="17365D"/>
            </w:tcBorders>
            <w:shd w:val="clear" w:color="auto" w:fill="auto"/>
            <w:noWrap/>
            <w:vAlign w:val="center"/>
          </w:tcPr>
          <w:p w14:paraId="71676B36"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58 828 536</w:t>
            </w:r>
          </w:p>
        </w:tc>
        <w:tc>
          <w:tcPr>
            <w:tcW w:w="1275" w:type="dxa"/>
            <w:tcBorders>
              <w:top w:val="single" w:sz="4" w:space="0" w:color="17365D"/>
              <w:bottom w:val="single" w:sz="4" w:space="0" w:color="17365D"/>
            </w:tcBorders>
            <w:shd w:val="clear" w:color="auto" w:fill="auto"/>
            <w:noWrap/>
            <w:vAlign w:val="center"/>
          </w:tcPr>
          <w:p w14:paraId="2788EE94"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177.55</w:t>
            </w:r>
          </w:p>
        </w:tc>
      </w:tr>
      <w:tr w:rsidR="00FB11FC" w:rsidRPr="00042BFA" w14:paraId="6B961DA7" w14:textId="77777777" w:rsidTr="00D81CD0">
        <w:trPr>
          <w:trHeight w:val="255"/>
        </w:trPr>
        <w:tc>
          <w:tcPr>
            <w:tcW w:w="2694" w:type="dxa"/>
            <w:tcBorders>
              <w:top w:val="single" w:sz="4" w:space="0" w:color="17365D"/>
              <w:bottom w:val="single" w:sz="4" w:space="0" w:color="17365D"/>
            </w:tcBorders>
            <w:shd w:val="clear" w:color="auto" w:fill="auto"/>
            <w:vAlign w:val="center"/>
          </w:tcPr>
          <w:p w14:paraId="5D06C1A7" w14:textId="77777777" w:rsidR="00FB11FC" w:rsidRPr="00042BFA" w:rsidRDefault="00FB11FC" w:rsidP="00C7199B">
            <w:pPr>
              <w:pStyle w:val="Tabulasteksts"/>
              <w:rPr>
                <w:bCs/>
                <w:color w:val="17365D"/>
                <w:sz w:val="18"/>
                <w:szCs w:val="18"/>
                <w:lang w:eastAsia="lv-LV"/>
              </w:rPr>
            </w:pPr>
            <w:r w:rsidRPr="00042BFA">
              <w:rPr>
                <w:bCs/>
                <w:color w:val="17365D"/>
                <w:sz w:val="18"/>
                <w:szCs w:val="18"/>
                <w:lang w:eastAsia="lv-LV"/>
              </w:rPr>
              <w:t>Procentu ieņēmumi</w:t>
            </w:r>
          </w:p>
        </w:tc>
        <w:tc>
          <w:tcPr>
            <w:tcW w:w="851" w:type="dxa"/>
            <w:tcBorders>
              <w:top w:val="single" w:sz="4" w:space="0" w:color="17365D"/>
              <w:bottom w:val="single" w:sz="4" w:space="0" w:color="17365D"/>
            </w:tcBorders>
            <w:shd w:val="clear" w:color="auto" w:fill="auto"/>
            <w:vAlign w:val="center"/>
          </w:tcPr>
          <w:p w14:paraId="67401149"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1FE413C2"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111 075 455</w:t>
            </w:r>
          </w:p>
        </w:tc>
        <w:tc>
          <w:tcPr>
            <w:tcW w:w="1560" w:type="dxa"/>
            <w:tcBorders>
              <w:top w:val="single" w:sz="4" w:space="0" w:color="17365D"/>
              <w:bottom w:val="single" w:sz="4" w:space="0" w:color="17365D"/>
            </w:tcBorders>
            <w:shd w:val="clear" w:color="auto" w:fill="auto"/>
            <w:noWrap/>
            <w:vAlign w:val="center"/>
          </w:tcPr>
          <w:p w14:paraId="0BD6C515"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90 508 704</w:t>
            </w:r>
          </w:p>
        </w:tc>
        <w:tc>
          <w:tcPr>
            <w:tcW w:w="1560" w:type="dxa"/>
            <w:tcBorders>
              <w:top w:val="single" w:sz="4" w:space="0" w:color="17365D"/>
              <w:bottom w:val="single" w:sz="4" w:space="0" w:color="17365D"/>
            </w:tcBorders>
            <w:shd w:val="clear" w:color="auto" w:fill="auto"/>
            <w:noWrap/>
            <w:vAlign w:val="center"/>
          </w:tcPr>
          <w:p w14:paraId="495374AB"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20 566 751</w:t>
            </w:r>
          </w:p>
        </w:tc>
        <w:tc>
          <w:tcPr>
            <w:tcW w:w="1275" w:type="dxa"/>
            <w:tcBorders>
              <w:top w:val="single" w:sz="4" w:space="0" w:color="17365D"/>
              <w:bottom w:val="single" w:sz="4" w:space="0" w:color="17365D"/>
            </w:tcBorders>
            <w:shd w:val="clear" w:color="auto" w:fill="auto"/>
            <w:noWrap/>
            <w:vAlign w:val="center"/>
          </w:tcPr>
          <w:p w14:paraId="21AFAD3F"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22.72</w:t>
            </w:r>
          </w:p>
        </w:tc>
      </w:tr>
      <w:tr w:rsidR="00FB11FC" w:rsidRPr="00042BFA" w14:paraId="385BC50A" w14:textId="77777777" w:rsidTr="00D81CD0">
        <w:trPr>
          <w:trHeight w:val="255"/>
        </w:trPr>
        <w:tc>
          <w:tcPr>
            <w:tcW w:w="2694" w:type="dxa"/>
            <w:tcBorders>
              <w:top w:val="single" w:sz="4" w:space="0" w:color="17365D"/>
              <w:bottom w:val="single" w:sz="4" w:space="0" w:color="17365D"/>
            </w:tcBorders>
            <w:shd w:val="clear" w:color="auto" w:fill="auto"/>
            <w:vAlign w:val="center"/>
            <w:hideMark/>
          </w:tcPr>
          <w:p w14:paraId="78FC92B7" w14:textId="77777777" w:rsidR="00FB11FC" w:rsidRPr="00042BFA" w:rsidRDefault="00FB11FC" w:rsidP="00C7199B">
            <w:pPr>
              <w:pStyle w:val="Tabulasteksts"/>
              <w:rPr>
                <w:color w:val="17365D"/>
                <w:sz w:val="18"/>
                <w:szCs w:val="18"/>
                <w:lang w:eastAsia="lv-LV"/>
              </w:rPr>
            </w:pPr>
            <w:r w:rsidRPr="00042BFA">
              <w:rPr>
                <w:color w:val="17365D"/>
                <w:sz w:val="18"/>
                <w:szCs w:val="18"/>
                <w:lang w:eastAsia="lv-LV"/>
              </w:rPr>
              <w:t>Citi ieņēmumi no pamatdarbības</w:t>
            </w:r>
          </w:p>
        </w:tc>
        <w:tc>
          <w:tcPr>
            <w:tcW w:w="851" w:type="dxa"/>
            <w:tcBorders>
              <w:top w:val="single" w:sz="4" w:space="0" w:color="17365D"/>
              <w:bottom w:val="single" w:sz="4" w:space="0" w:color="17365D"/>
            </w:tcBorders>
            <w:shd w:val="clear" w:color="auto" w:fill="auto"/>
            <w:vAlign w:val="center"/>
            <w:hideMark/>
          </w:tcPr>
          <w:p w14:paraId="0C956AD9" w14:textId="78D5FB45" w:rsidR="00FB11FC" w:rsidRPr="00042BFA" w:rsidRDefault="00FB11FC" w:rsidP="00C7199B">
            <w:pPr>
              <w:spacing w:after="0" w:line="240" w:lineRule="auto"/>
              <w:jc w:val="center"/>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hideMark/>
          </w:tcPr>
          <w:p w14:paraId="5B30BDC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8 952 705</w:t>
            </w:r>
          </w:p>
        </w:tc>
        <w:tc>
          <w:tcPr>
            <w:tcW w:w="1560" w:type="dxa"/>
            <w:tcBorders>
              <w:top w:val="single" w:sz="4" w:space="0" w:color="17365D"/>
              <w:bottom w:val="single" w:sz="4" w:space="0" w:color="17365D"/>
            </w:tcBorders>
            <w:shd w:val="clear" w:color="auto" w:fill="auto"/>
            <w:noWrap/>
            <w:vAlign w:val="center"/>
            <w:hideMark/>
          </w:tcPr>
          <w:p w14:paraId="77EC746B"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20 345 358</w:t>
            </w:r>
          </w:p>
        </w:tc>
        <w:tc>
          <w:tcPr>
            <w:tcW w:w="1560" w:type="dxa"/>
            <w:tcBorders>
              <w:top w:val="single" w:sz="4" w:space="0" w:color="17365D"/>
              <w:bottom w:val="single" w:sz="4" w:space="0" w:color="17365D"/>
            </w:tcBorders>
            <w:shd w:val="clear" w:color="auto" w:fill="auto"/>
            <w:noWrap/>
            <w:vAlign w:val="center"/>
            <w:hideMark/>
          </w:tcPr>
          <w:p w14:paraId="453B2EDF"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-11 392 653</w:t>
            </w:r>
          </w:p>
        </w:tc>
        <w:tc>
          <w:tcPr>
            <w:tcW w:w="1275" w:type="dxa"/>
            <w:tcBorders>
              <w:top w:val="single" w:sz="4" w:space="0" w:color="17365D"/>
              <w:bottom w:val="single" w:sz="4" w:space="0" w:color="17365D"/>
            </w:tcBorders>
            <w:shd w:val="clear" w:color="auto" w:fill="auto"/>
            <w:noWrap/>
            <w:vAlign w:val="center"/>
            <w:hideMark/>
          </w:tcPr>
          <w:p w14:paraId="0A82008D"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-56.00</w:t>
            </w:r>
          </w:p>
        </w:tc>
      </w:tr>
      <w:tr w:rsidR="00FB11FC" w:rsidRPr="00042BFA" w14:paraId="0CCFB02A" w14:textId="77777777" w:rsidTr="00D81CD0">
        <w:trPr>
          <w:trHeight w:val="255"/>
        </w:trPr>
        <w:tc>
          <w:tcPr>
            <w:tcW w:w="2694" w:type="dxa"/>
            <w:tcBorders>
              <w:top w:val="single" w:sz="4" w:space="0" w:color="17365D"/>
              <w:bottom w:val="single" w:sz="4" w:space="0" w:color="17365D"/>
            </w:tcBorders>
            <w:shd w:val="clear" w:color="auto" w:fill="auto"/>
            <w:vAlign w:val="center"/>
          </w:tcPr>
          <w:p w14:paraId="33A2E3BB" w14:textId="77777777" w:rsidR="00FB11FC" w:rsidRPr="00042BFA" w:rsidRDefault="00FB11FC" w:rsidP="00C7199B">
            <w:pPr>
              <w:pStyle w:val="Tabulasteksts"/>
              <w:rPr>
                <w:color w:val="17365D"/>
                <w:sz w:val="18"/>
                <w:szCs w:val="18"/>
                <w:lang w:eastAsia="lv-LV"/>
              </w:rPr>
            </w:pPr>
            <w:r w:rsidRPr="00042BFA">
              <w:rPr>
                <w:b/>
                <w:color w:val="17365D"/>
                <w:sz w:val="18"/>
                <w:szCs w:val="18"/>
                <w:lang w:eastAsia="lv-LV"/>
              </w:rPr>
              <w:t xml:space="preserve">Izdevumi no pamatdarbības </w:t>
            </w:r>
          </w:p>
        </w:tc>
        <w:tc>
          <w:tcPr>
            <w:tcW w:w="851" w:type="dxa"/>
            <w:tcBorders>
              <w:top w:val="single" w:sz="4" w:space="0" w:color="17365D"/>
              <w:bottom w:val="single" w:sz="4" w:space="0" w:color="17365D"/>
            </w:tcBorders>
            <w:shd w:val="clear" w:color="auto" w:fill="auto"/>
            <w:vAlign w:val="center"/>
          </w:tcPr>
          <w:p w14:paraId="0B074146" w14:textId="77777777" w:rsidR="00FB11FC" w:rsidRPr="00042BFA" w:rsidRDefault="00FB11FC" w:rsidP="00C7199B">
            <w:pPr>
              <w:spacing w:after="0" w:line="240" w:lineRule="auto"/>
              <w:jc w:val="center"/>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305FC0B8"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b/>
                <w:bCs/>
                <w:color w:val="17365D"/>
                <w:sz w:val="18"/>
                <w:szCs w:val="18"/>
              </w:rPr>
              <w:t>16 847 930 650</w:t>
            </w:r>
          </w:p>
        </w:tc>
        <w:tc>
          <w:tcPr>
            <w:tcW w:w="1560" w:type="dxa"/>
            <w:tcBorders>
              <w:top w:val="single" w:sz="4" w:space="0" w:color="17365D"/>
              <w:bottom w:val="single" w:sz="4" w:space="0" w:color="17365D"/>
            </w:tcBorders>
            <w:shd w:val="clear" w:color="auto" w:fill="auto"/>
            <w:noWrap/>
            <w:vAlign w:val="center"/>
          </w:tcPr>
          <w:p w14:paraId="647125B6"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b/>
                <w:bCs/>
                <w:color w:val="17365D"/>
                <w:sz w:val="18"/>
                <w:szCs w:val="18"/>
              </w:rPr>
              <w:t>16 140 304 686</w:t>
            </w:r>
          </w:p>
        </w:tc>
        <w:tc>
          <w:tcPr>
            <w:tcW w:w="1560" w:type="dxa"/>
            <w:tcBorders>
              <w:top w:val="single" w:sz="4" w:space="0" w:color="17365D"/>
              <w:bottom w:val="single" w:sz="4" w:space="0" w:color="17365D"/>
            </w:tcBorders>
            <w:shd w:val="clear" w:color="auto" w:fill="auto"/>
            <w:noWrap/>
            <w:vAlign w:val="center"/>
          </w:tcPr>
          <w:p w14:paraId="63C0B346"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b/>
                <w:color w:val="17365D"/>
                <w:sz w:val="18"/>
                <w:szCs w:val="18"/>
                <w:lang w:eastAsia="lv-LV"/>
              </w:rPr>
              <w:t>707 625 964</w:t>
            </w:r>
          </w:p>
        </w:tc>
        <w:tc>
          <w:tcPr>
            <w:tcW w:w="1275" w:type="dxa"/>
            <w:tcBorders>
              <w:top w:val="single" w:sz="4" w:space="0" w:color="17365D"/>
              <w:bottom w:val="single" w:sz="4" w:space="0" w:color="17365D"/>
            </w:tcBorders>
            <w:shd w:val="clear" w:color="auto" w:fill="auto"/>
            <w:noWrap/>
            <w:vAlign w:val="center"/>
          </w:tcPr>
          <w:p w14:paraId="72AA5D7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b/>
                <w:bCs/>
                <w:color w:val="17365D"/>
                <w:sz w:val="18"/>
                <w:szCs w:val="18"/>
              </w:rPr>
              <w:t>4</w:t>
            </w:r>
            <w:r w:rsidRPr="00042BFA">
              <w:rPr>
                <w:rFonts w:cs="Times New Roman"/>
                <w:color w:val="17365D"/>
                <w:sz w:val="18"/>
                <w:szCs w:val="18"/>
              </w:rPr>
              <w:t>.38</w:t>
            </w:r>
          </w:p>
        </w:tc>
      </w:tr>
      <w:tr w:rsidR="00FB11FC" w:rsidRPr="00042BFA" w14:paraId="5E1A7679" w14:textId="77777777" w:rsidTr="00D81CD0">
        <w:trPr>
          <w:trHeight w:val="255"/>
        </w:trPr>
        <w:tc>
          <w:tcPr>
            <w:tcW w:w="2694" w:type="dxa"/>
            <w:tcBorders>
              <w:top w:val="single" w:sz="4" w:space="0" w:color="17365D"/>
              <w:bottom w:val="single" w:sz="4" w:space="0" w:color="17365D"/>
            </w:tcBorders>
            <w:shd w:val="clear" w:color="auto" w:fill="auto"/>
            <w:vAlign w:val="center"/>
          </w:tcPr>
          <w:p w14:paraId="16A5F555" w14:textId="77777777" w:rsidR="00FB11FC" w:rsidRPr="00042BFA" w:rsidRDefault="00FB11FC" w:rsidP="00C7199B">
            <w:pPr>
              <w:pStyle w:val="Tabulasteksts"/>
              <w:rPr>
                <w:color w:val="17365D"/>
                <w:sz w:val="18"/>
                <w:szCs w:val="18"/>
                <w:lang w:eastAsia="lv-LV"/>
              </w:rPr>
            </w:pPr>
            <w:r w:rsidRPr="00042BFA">
              <w:rPr>
                <w:color w:val="17365D"/>
                <w:sz w:val="18"/>
                <w:szCs w:val="18"/>
              </w:rPr>
              <w:t>Atalgojums</w:t>
            </w:r>
          </w:p>
        </w:tc>
        <w:tc>
          <w:tcPr>
            <w:tcW w:w="851" w:type="dxa"/>
            <w:tcBorders>
              <w:top w:val="single" w:sz="4" w:space="0" w:color="17365D"/>
              <w:bottom w:val="single" w:sz="4" w:space="0" w:color="17365D"/>
            </w:tcBorders>
            <w:shd w:val="clear" w:color="auto" w:fill="auto"/>
            <w:vAlign w:val="center"/>
          </w:tcPr>
          <w:p w14:paraId="77C16896" w14:textId="77777777" w:rsidR="00FB11FC" w:rsidRPr="00042BFA" w:rsidRDefault="00FB11FC" w:rsidP="00C7199B">
            <w:pPr>
              <w:spacing w:after="0" w:line="240" w:lineRule="auto"/>
              <w:jc w:val="right"/>
              <w:rPr>
                <w:rFonts w:cs="Times New Roman"/>
                <w:color w:val="17365D"/>
                <w:sz w:val="18"/>
                <w:szCs w:val="18"/>
              </w:rPr>
            </w:pPr>
            <w:r w:rsidRPr="00042BFA">
              <w:rPr>
                <w:color w:val="17365D"/>
                <w:sz w:val="18"/>
                <w:szCs w:val="18"/>
                <w:lang w:eastAsia="lv-LV"/>
              </w:rPr>
              <w:t>NP.A21.</w:t>
            </w:r>
          </w:p>
        </w:tc>
        <w:tc>
          <w:tcPr>
            <w:tcW w:w="1558" w:type="dxa"/>
            <w:tcBorders>
              <w:top w:val="single" w:sz="4" w:space="0" w:color="17365D"/>
              <w:bottom w:val="single" w:sz="4" w:space="0" w:color="17365D"/>
            </w:tcBorders>
            <w:shd w:val="clear" w:color="auto" w:fill="auto"/>
            <w:noWrap/>
            <w:vAlign w:val="center"/>
          </w:tcPr>
          <w:p w14:paraId="51D630DC"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3 056 034 223</w:t>
            </w:r>
          </w:p>
        </w:tc>
        <w:tc>
          <w:tcPr>
            <w:tcW w:w="1560" w:type="dxa"/>
            <w:tcBorders>
              <w:top w:val="single" w:sz="4" w:space="0" w:color="17365D"/>
              <w:bottom w:val="single" w:sz="4" w:space="0" w:color="17365D"/>
            </w:tcBorders>
            <w:shd w:val="clear" w:color="auto" w:fill="auto"/>
            <w:noWrap/>
            <w:vAlign w:val="center"/>
          </w:tcPr>
          <w:p w14:paraId="211D573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2 724 507 048</w:t>
            </w:r>
          </w:p>
        </w:tc>
        <w:tc>
          <w:tcPr>
            <w:tcW w:w="1560" w:type="dxa"/>
            <w:tcBorders>
              <w:top w:val="single" w:sz="4" w:space="0" w:color="17365D"/>
              <w:bottom w:val="single" w:sz="4" w:space="0" w:color="17365D"/>
            </w:tcBorders>
            <w:shd w:val="clear" w:color="auto" w:fill="auto"/>
            <w:noWrap/>
            <w:vAlign w:val="center"/>
          </w:tcPr>
          <w:p w14:paraId="7DA6C285"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331 527 175</w:t>
            </w:r>
          </w:p>
        </w:tc>
        <w:tc>
          <w:tcPr>
            <w:tcW w:w="1275" w:type="dxa"/>
            <w:tcBorders>
              <w:top w:val="single" w:sz="4" w:space="0" w:color="17365D"/>
              <w:bottom w:val="single" w:sz="4" w:space="0" w:color="17365D"/>
            </w:tcBorders>
            <w:shd w:val="clear" w:color="auto" w:fill="auto"/>
            <w:noWrap/>
            <w:vAlign w:val="center"/>
          </w:tcPr>
          <w:p w14:paraId="018172B7"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12.17</w:t>
            </w:r>
          </w:p>
        </w:tc>
      </w:tr>
      <w:tr w:rsidR="00FB11FC" w:rsidRPr="00042BFA" w14:paraId="0365560F" w14:textId="77777777" w:rsidTr="00D81CD0">
        <w:trPr>
          <w:trHeight w:val="255"/>
        </w:trPr>
        <w:tc>
          <w:tcPr>
            <w:tcW w:w="2694" w:type="dxa"/>
            <w:tcBorders>
              <w:top w:val="single" w:sz="4" w:space="0" w:color="17365D"/>
              <w:bottom w:val="single" w:sz="4" w:space="0" w:color="17365D"/>
            </w:tcBorders>
            <w:shd w:val="clear" w:color="auto" w:fill="auto"/>
            <w:vAlign w:val="center"/>
          </w:tcPr>
          <w:p w14:paraId="383FEF4D" w14:textId="77777777" w:rsidR="00FB11FC" w:rsidRPr="00042BFA" w:rsidRDefault="00FB11FC" w:rsidP="00C7199B">
            <w:pPr>
              <w:pStyle w:val="Tabulasteksts"/>
              <w:rPr>
                <w:color w:val="17365D"/>
                <w:sz w:val="18"/>
                <w:szCs w:val="18"/>
                <w:lang w:eastAsia="lv-LV"/>
              </w:rPr>
            </w:pPr>
            <w:r w:rsidRPr="00042BFA">
              <w:rPr>
                <w:color w:val="17365D"/>
                <w:sz w:val="18"/>
                <w:szCs w:val="18"/>
              </w:rPr>
              <w:t>Darba devēja sociālās apdrošināšanas iemaksas, pabalsti un kompensācijas</w:t>
            </w:r>
          </w:p>
        </w:tc>
        <w:tc>
          <w:tcPr>
            <w:tcW w:w="851" w:type="dxa"/>
            <w:tcBorders>
              <w:top w:val="single" w:sz="4" w:space="0" w:color="17365D"/>
              <w:bottom w:val="single" w:sz="4" w:space="0" w:color="17365D"/>
            </w:tcBorders>
            <w:shd w:val="clear" w:color="auto" w:fill="auto"/>
            <w:vAlign w:val="center"/>
          </w:tcPr>
          <w:p w14:paraId="07CC3F22" w14:textId="77777777" w:rsidR="00FB11FC" w:rsidRPr="00042BFA" w:rsidRDefault="00FB11FC" w:rsidP="00C7199B">
            <w:pPr>
              <w:spacing w:after="0" w:line="240" w:lineRule="auto"/>
              <w:jc w:val="right"/>
              <w:rPr>
                <w:rFonts w:cs="Times New Roman"/>
                <w:color w:val="17365D"/>
                <w:sz w:val="18"/>
                <w:szCs w:val="18"/>
              </w:rPr>
            </w:pPr>
            <w:r w:rsidRPr="00042BFA">
              <w:rPr>
                <w:color w:val="17365D"/>
                <w:sz w:val="18"/>
                <w:szCs w:val="18"/>
                <w:lang w:eastAsia="lv-LV"/>
              </w:rPr>
              <w:t>NP.A22.</w:t>
            </w:r>
          </w:p>
        </w:tc>
        <w:tc>
          <w:tcPr>
            <w:tcW w:w="1558" w:type="dxa"/>
            <w:tcBorders>
              <w:top w:val="single" w:sz="4" w:space="0" w:color="17365D"/>
              <w:bottom w:val="single" w:sz="4" w:space="0" w:color="17365D"/>
            </w:tcBorders>
            <w:shd w:val="clear" w:color="auto" w:fill="auto"/>
            <w:noWrap/>
            <w:vAlign w:val="center"/>
          </w:tcPr>
          <w:p w14:paraId="419EACE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1 864 767 939</w:t>
            </w:r>
          </w:p>
        </w:tc>
        <w:tc>
          <w:tcPr>
            <w:tcW w:w="1560" w:type="dxa"/>
            <w:tcBorders>
              <w:top w:val="single" w:sz="4" w:space="0" w:color="17365D"/>
              <w:bottom w:val="single" w:sz="4" w:space="0" w:color="17365D"/>
            </w:tcBorders>
            <w:shd w:val="clear" w:color="auto" w:fill="auto"/>
            <w:noWrap/>
            <w:vAlign w:val="center"/>
          </w:tcPr>
          <w:p w14:paraId="7F5B100C"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1 641 182 356</w:t>
            </w:r>
          </w:p>
        </w:tc>
        <w:tc>
          <w:tcPr>
            <w:tcW w:w="1560" w:type="dxa"/>
            <w:tcBorders>
              <w:top w:val="single" w:sz="4" w:space="0" w:color="17365D"/>
              <w:bottom w:val="single" w:sz="4" w:space="0" w:color="17365D"/>
            </w:tcBorders>
            <w:shd w:val="clear" w:color="auto" w:fill="auto"/>
            <w:noWrap/>
            <w:vAlign w:val="center"/>
          </w:tcPr>
          <w:p w14:paraId="6383942B"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223 585 583</w:t>
            </w:r>
          </w:p>
        </w:tc>
        <w:tc>
          <w:tcPr>
            <w:tcW w:w="1275" w:type="dxa"/>
            <w:tcBorders>
              <w:top w:val="single" w:sz="4" w:space="0" w:color="17365D"/>
              <w:bottom w:val="single" w:sz="4" w:space="0" w:color="17365D"/>
            </w:tcBorders>
            <w:shd w:val="clear" w:color="auto" w:fill="auto"/>
            <w:noWrap/>
            <w:vAlign w:val="center"/>
          </w:tcPr>
          <w:p w14:paraId="49D8208B"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13.62</w:t>
            </w:r>
          </w:p>
        </w:tc>
      </w:tr>
      <w:tr w:rsidR="00FB11FC" w:rsidRPr="00042BFA" w14:paraId="65478B52" w14:textId="77777777" w:rsidTr="00D81CD0">
        <w:trPr>
          <w:trHeight w:val="255"/>
        </w:trPr>
        <w:tc>
          <w:tcPr>
            <w:tcW w:w="2694" w:type="dxa"/>
            <w:tcBorders>
              <w:top w:val="single" w:sz="4" w:space="0" w:color="17365D"/>
              <w:bottom w:val="single" w:sz="4" w:space="0" w:color="17365D"/>
            </w:tcBorders>
            <w:shd w:val="clear" w:color="auto" w:fill="auto"/>
            <w:vAlign w:val="center"/>
          </w:tcPr>
          <w:p w14:paraId="61A31D97" w14:textId="77777777" w:rsidR="00FB11FC" w:rsidRPr="00042BFA" w:rsidRDefault="00FB11FC" w:rsidP="00C7199B">
            <w:pPr>
              <w:pStyle w:val="Tabulasteksts"/>
              <w:rPr>
                <w:color w:val="17365D"/>
                <w:sz w:val="18"/>
                <w:szCs w:val="18"/>
                <w:lang w:eastAsia="lv-LV"/>
              </w:rPr>
            </w:pPr>
            <w:r w:rsidRPr="00042BFA">
              <w:rPr>
                <w:color w:val="17365D"/>
                <w:sz w:val="18"/>
                <w:szCs w:val="18"/>
              </w:rPr>
              <w:t>Mācību, darba un dienesta komandējumi un dienesta, darba braucieni</w:t>
            </w:r>
          </w:p>
        </w:tc>
        <w:tc>
          <w:tcPr>
            <w:tcW w:w="851" w:type="dxa"/>
            <w:tcBorders>
              <w:top w:val="single" w:sz="4" w:space="0" w:color="17365D"/>
              <w:bottom w:val="single" w:sz="4" w:space="0" w:color="17365D"/>
            </w:tcBorders>
            <w:shd w:val="clear" w:color="auto" w:fill="auto"/>
            <w:vAlign w:val="center"/>
          </w:tcPr>
          <w:p w14:paraId="49B32723"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78F13829"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44 628 839</w:t>
            </w:r>
          </w:p>
        </w:tc>
        <w:tc>
          <w:tcPr>
            <w:tcW w:w="1560" w:type="dxa"/>
            <w:tcBorders>
              <w:top w:val="single" w:sz="4" w:space="0" w:color="17365D"/>
              <w:bottom w:val="single" w:sz="4" w:space="0" w:color="17365D"/>
            </w:tcBorders>
            <w:shd w:val="clear" w:color="auto" w:fill="auto"/>
            <w:noWrap/>
            <w:vAlign w:val="center"/>
          </w:tcPr>
          <w:p w14:paraId="590483EA"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45 051 025</w:t>
            </w:r>
          </w:p>
        </w:tc>
        <w:tc>
          <w:tcPr>
            <w:tcW w:w="1560" w:type="dxa"/>
            <w:tcBorders>
              <w:top w:val="single" w:sz="4" w:space="0" w:color="17365D"/>
              <w:bottom w:val="single" w:sz="4" w:space="0" w:color="17365D"/>
            </w:tcBorders>
            <w:shd w:val="clear" w:color="auto" w:fill="auto"/>
            <w:noWrap/>
            <w:vAlign w:val="center"/>
          </w:tcPr>
          <w:p w14:paraId="1D458E23"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-422 186</w:t>
            </w:r>
          </w:p>
        </w:tc>
        <w:tc>
          <w:tcPr>
            <w:tcW w:w="1275" w:type="dxa"/>
            <w:tcBorders>
              <w:top w:val="single" w:sz="4" w:space="0" w:color="17365D"/>
              <w:bottom w:val="single" w:sz="4" w:space="0" w:color="17365D"/>
            </w:tcBorders>
            <w:shd w:val="clear" w:color="auto" w:fill="auto"/>
            <w:noWrap/>
            <w:vAlign w:val="center"/>
          </w:tcPr>
          <w:p w14:paraId="106A9E4C"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-0.94</w:t>
            </w:r>
          </w:p>
        </w:tc>
      </w:tr>
      <w:tr w:rsidR="00FB11FC" w:rsidRPr="00042BFA" w14:paraId="7F0991AC" w14:textId="77777777" w:rsidTr="00D81CD0">
        <w:trPr>
          <w:trHeight w:val="255"/>
        </w:trPr>
        <w:tc>
          <w:tcPr>
            <w:tcW w:w="2694" w:type="dxa"/>
            <w:tcBorders>
              <w:top w:val="single" w:sz="4" w:space="0" w:color="17365D"/>
              <w:bottom w:val="single" w:sz="4" w:space="0" w:color="17365D"/>
            </w:tcBorders>
            <w:shd w:val="clear" w:color="auto" w:fill="auto"/>
            <w:vAlign w:val="center"/>
          </w:tcPr>
          <w:p w14:paraId="04B8AE19" w14:textId="77777777" w:rsidR="00FB11FC" w:rsidRPr="00042BFA" w:rsidRDefault="00FB11FC" w:rsidP="00C7199B">
            <w:pPr>
              <w:pStyle w:val="Tabulasteksts"/>
              <w:rPr>
                <w:color w:val="17365D"/>
                <w:sz w:val="18"/>
                <w:szCs w:val="18"/>
                <w:lang w:eastAsia="lv-LV"/>
              </w:rPr>
            </w:pPr>
            <w:r w:rsidRPr="00042BFA">
              <w:rPr>
                <w:color w:val="17365D"/>
                <w:sz w:val="18"/>
                <w:szCs w:val="18"/>
              </w:rPr>
              <w:t>Pakalpojumi</w:t>
            </w:r>
          </w:p>
        </w:tc>
        <w:tc>
          <w:tcPr>
            <w:tcW w:w="851" w:type="dxa"/>
            <w:tcBorders>
              <w:top w:val="single" w:sz="4" w:space="0" w:color="17365D"/>
              <w:bottom w:val="single" w:sz="4" w:space="0" w:color="17365D"/>
            </w:tcBorders>
            <w:shd w:val="clear" w:color="auto" w:fill="auto"/>
            <w:vAlign w:val="center"/>
          </w:tcPr>
          <w:p w14:paraId="3BFB9860"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3E11638E"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1 367 452 154</w:t>
            </w:r>
          </w:p>
        </w:tc>
        <w:tc>
          <w:tcPr>
            <w:tcW w:w="1560" w:type="dxa"/>
            <w:tcBorders>
              <w:top w:val="single" w:sz="4" w:space="0" w:color="17365D"/>
              <w:bottom w:val="single" w:sz="4" w:space="0" w:color="17365D"/>
            </w:tcBorders>
            <w:shd w:val="clear" w:color="auto" w:fill="auto"/>
            <w:noWrap/>
            <w:vAlign w:val="center"/>
          </w:tcPr>
          <w:p w14:paraId="3C251FC5"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1 458 457 160</w:t>
            </w:r>
          </w:p>
        </w:tc>
        <w:tc>
          <w:tcPr>
            <w:tcW w:w="1560" w:type="dxa"/>
            <w:tcBorders>
              <w:top w:val="single" w:sz="4" w:space="0" w:color="17365D"/>
              <w:bottom w:val="single" w:sz="4" w:space="0" w:color="17365D"/>
            </w:tcBorders>
            <w:shd w:val="clear" w:color="auto" w:fill="auto"/>
            <w:noWrap/>
            <w:vAlign w:val="center"/>
          </w:tcPr>
          <w:p w14:paraId="77409298" w14:textId="41C3545D" w:rsidR="00FB11FC" w:rsidRPr="00042BFA" w:rsidRDefault="0079522F" w:rsidP="00C7199B">
            <w:pPr>
              <w:spacing w:after="0" w:line="240" w:lineRule="auto"/>
              <w:jc w:val="right"/>
              <w:rPr>
                <w:rFonts w:cs="Times New Roman"/>
                <w:color w:val="17365D"/>
                <w:sz w:val="18"/>
                <w:szCs w:val="18"/>
              </w:rPr>
            </w:pPr>
            <w:r>
              <w:rPr>
                <w:rFonts w:cs="Times New Roman"/>
                <w:color w:val="17365D"/>
                <w:sz w:val="18"/>
                <w:szCs w:val="18"/>
              </w:rPr>
              <w:t>-</w:t>
            </w:r>
            <w:r w:rsidR="00FB11FC" w:rsidRPr="00042BFA">
              <w:rPr>
                <w:rFonts w:cs="Times New Roman"/>
                <w:color w:val="17365D"/>
                <w:sz w:val="18"/>
                <w:szCs w:val="18"/>
              </w:rPr>
              <w:t>91 005 006</w:t>
            </w:r>
          </w:p>
        </w:tc>
        <w:tc>
          <w:tcPr>
            <w:tcW w:w="1275" w:type="dxa"/>
            <w:tcBorders>
              <w:top w:val="single" w:sz="4" w:space="0" w:color="17365D"/>
              <w:bottom w:val="single" w:sz="4" w:space="0" w:color="17365D"/>
            </w:tcBorders>
            <w:shd w:val="clear" w:color="auto" w:fill="auto"/>
            <w:noWrap/>
            <w:vAlign w:val="center"/>
          </w:tcPr>
          <w:p w14:paraId="0344BCBF"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-6.24</w:t>
            </w:r>
          </w:p>
        </w:tc>
      </w:tr>
      <w:tr w:rsidR="00FB11FC" w:rsidRPr="00042BFA" w14:paraId="11820541" w14:textId="77777777" w:rsidTr="00D81CD0">
        <w:trPr>
          <w:trHeight w:val="255"/>
        </w:trPr>
        <w:tc>
          <w:tcPr>
            <w:tcW w:w="2694" w:type="dxa"/>
            <w:tcBorders>
              <w:top w:val="single" w:sz="4" w:space="0" w:color="17365D"/>
              <w:bottom w:val="single" w:sz="4" w:space="0" w:color="17365D"/>
            </w:tcBorders>
            <w:shd w:val="clear" w:color="auto" w:fill="auto"/>
            <w:vAlign w:val="center"/>
          </w:tcPr>
          <w:p w14:paraId="2D266CB9" w14:textId="77777777" w:rsidR="00FB11FC" w:rsidRPr="00042BFA" w:rsidRDefault="00FB11FC" w:rsidP="00C7199B">
            <w:pPr>
              <w:pStyle w:val="Tabulasteksts"/>
              <w:rPr>
                <w:color w:val="17365D"/>
                <w:sz w:val="18"/>
                <w:szCs w:val="18"/>
                <w:lang w:eastAsia="lv-LV"/>
              </w:rPr>
            </w:pPr>
            <w:r w:rsidRPr="00042BFA">
              <w:rPr>
                <w:color w:val="17365D"/>
                <w:sz w:val="18"/>
                <w:szCs w:val="18"/>
              </w:rPr>
              <w:t>Krājumi, materiāli, energoresursi, preces, biroja preces un inventārs, periodika</w:t>
            </w:r>
          </w:p>
        </w:tc>
        <w:tc>
          <w:tcPr>
            <w:tcW w:w="851" w:type="dxa"/>
            <w:tcBorders>
              <w:top w:val="single" w:sz="4" w:space="0" w:color="17365D"/>
              <w:bottom w:val="single" w:sz="4" w:space="0" w:color="17365D"/>
            </w:tcBorders>
            <w:shd w:val="clear" w:color="auto" w:fill="auto"/>
            <w:vAlign w:val="center"/>
          </w:tcPr>
          <w:p w14:paraId="3625BBB7" w14:textId="73FF10B0"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609F3265"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690 710 272</w:t>
            </w:r>
          </w:p>
        </w:tc>
        <w:tc>
          <w:tcPr>
            <w:tcW w:w="1560" w:type="dxa"/>
            <w:tcBorders>
              <w:top w:val="single" w:sz="4" w:space="0" w:color="17365D"/>
              <w:bottom w:val="single" w:sz="4" w:space="0" w:color="17365D"/>
            </w:tcBorders>
            <w:shd w:val="clear" w:color="auto" w:fill="auto"/>
            <w:noWrap/>
            <w:vAlign w:val="center"/>
          </w:tcPr>
          <w:p w14:paraId="565D418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777 525 852</w:t>
            </w:r>
          </w:p>
        </w:tc>
        <w:tc>
          <w:tcPr>
            <w:tcW w:w="1560" w:type="dxa"/>
            <w:tcBorders>
              <w:top w:val="single" w:sz="4" w:space="0" w:color="17365D"/>
              <w:bottom w:val="single" w:sz="4" w:space="0" w:color="17365D"/>
            </w:tcBorders>
            <w:shd w:val="clear" w:color="auto" w:fill="auto"/>
            <w:noWrap/>
            <w:vAlign w:val="center"/>
          </w:tcPr>
          <w:p w14:paraId="52A6D285"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-86 815 580</w:t>
            </w:r>
          </w:p>
        </w:tc>
        <w:tc>
          <w:tcPr>
            <w:tcW w:w="1275" w:type="dxa"/>
            <w:tcBorders>
              <w:top w:val="single" w:sz="4" w:space="0" w:color="17365D"/>
              <w:bottom w:val="single" w:sz="4" w:space="0" w:color="17365D"/>
            </w:tcBorders>
            <w:shd w:val="clear" w:color="auto" w:fill="auto"/>
            <w:noWrap/>
            <w:vAlign w:val="center"/>
          </w:tcPr>
          <w:p w14:paraId="64E71E4B"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-11.17</w:t>
            </w:r>
          </w:p>
        </w:tc>
      </w:tr>
      <w:tr w:rsidR="00FB11FC" w:rsidRPr="00042BFA" w14:paraId="6D605AFA" w14:textId="77777777" w:rsidTr="00D81CD0">
        <w:trPr>
          <w:trHeight w:val="255"/>
        </w:trPr>
        <w:tc>
          <w:tcPr>
            <w:tcW w:w="2694" w:type="dxa"/>
            <w:tcBorders>
              <w:top w:val="single" w:sz="4" w:space="0" w:color="17365D"/>
              <w:bottom w:val="single" w:sz="4" w:space="0" w:color="17365D"/>
            </w:tcBorders>
            <w:shd w:val="clear" w:color="auto" w:fill="auto"/>
            <w:vAlign w:val="center"/>
          </w:tcPr>
          <w:p w14:paraId="44105891" w14:textId="77777777" w:rsidR="00FB11FC" w:rsidRPr="00042BFA" w:rsidRDefault="00FB11FC" w:rsidP="00C7199B">
            <w:pPr>
              <w:pStyle w:val="Tabulasteksts"/>
              <w:rPr>
                <w:color w:val="17365D"/>
                <w:sz w:val="18"/>
                <w:szCs w:val="18"/>
                <w:lang w:eastAsia="lv-LV"/>
              </w:rPr>
            </w:pPr>
            <w:r w:rsidRPr="00042BFA">
              <w:rPr>
                <w:color w:val="17365D"/>
                <w:sz w:val="18"/>
                <w:szCs w:val="18"/>
              </w:rPr>
              <w:t>Nodokļu, nodevu un naudas sodu maksājumi</w:t>
            </w:r>
          </w:p>
        </w:tc>
        <w:tc>
          <w:tcPr>
            <w:tcW w:w="851" w:type="dxa"/>
            <w:tcBorders>
              <w:top w:val="single" w:sz="4" w:space="0" w:color="17365D"/>
              <w:bottom w:val="single" w:sz="4" w:space="0" w:color="17365D"/>
            </w:tcBorders>
            <w:shd w:val="clear" w:color="auto" w:fill="auto"/>
            <w:vAlign w:val="center"/>
          </w:tcPr>
          <w:p w14:paraId="4222973B"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44108322"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25 784 354</w:t>
            </w:r>
          </w:p>
        </w:tc>
        <w:tc>
          <w:tcPr>
            <w:tcW w:w="1560" w:type="dxa"/>
            <w:tcBorders>
              <w:top w:val="single" w:sz="4" w:space="0" w:color="17365D"/>
              <w:bottom w:val="single" w:sz="4" w:space="0" w:color="17365D"/>
            </w:tcBorders>
            <w:shd w:val="clear" w:color="auto" w:fill="auto"/>
            <w:noWrap/>
            <w:vAlign w:val="center"/>
          </w:tcPr>
          <w:p w14:paraId="48837AE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27 298 872</w:t>
            </w:r>
          </w:p>
        </w:tc>
        <w:tc>
          <w:tcPr>
            <w:tcW w:w="1560" w:type="dxa"/>
            <w:tcBorders>
              <w:top w:val="single" w:sz="4" w:space="0" w:color="17365D"/>
              <w:bottom w:val="single" w:sz="4" w:space="0" w:color="17365D"/>
            </w:tcBorders>
            <w:shd w:val="clear" w:color="auto" w:fill="auto"/>
            <w:noWrap/>
            <w:vAlign w:val="center"/>
          </w:tcPr>
          <w:p w14:paraId="770DE72C"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-1 514 518</w:t>
            </w:r>
          </w:p>
        </w:tc>
        <w:tc>
          <w:tcPr>
            <w:tcW w:w="1275" w:type="dxa"/>
            <w:tcBorders>
              <w:top w:val="single" w:sz="4" w:space="0" w:color="17365D"/>
              <w:bottom w:val="single" w:sz="4" w:space="0" w:color="17365D"/>
            </w:tcBorders>
            <w:shd w:val="clear" w:color="auto" w:fill="auto"/>
            <w:noWrap/>
            <w:vAlign w:val="center"/>
          </w:tcPr>
          <w:p w14:paraId="6B6A703A"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-5.55</w:t>
            </w:r>
          </w:p>
        </w:tc>
      </w:tr>
      <w:tr w:rsidR="00FB11FC" w:rsidRPr="00042BFA" w14:paraId="0C3307AC" w14:textId="77777777" w:rsidTr="00D81CD0">
        <w:trPr>
          <w:trHeight w:val="255"/>
        </w:trPr>
        <w:tc>
          <w:tcPr>
            <w:tcW w:w="2694" w:type="dxa"/>
            <w:tcBorders>
              <w:top w:val="single" w:sz="4" w:space="0" w:color="17365D"/>
              <w:bottom w:val="single" w:sz="4" w:space="0" w:color="17365D"/>
            </w:tcBorders>
            <w:shd w:val="clear" w:color="auto" w:fill="auto"/>
            <w:vAlign w:val="center"/>
          </w:tcPr>
          <w:p w14:paraId="248F170B" w14:textId="77777777" w:rsidR="00FB11FC" w:rsidRPr="00042BFA" w:rsidRDefault="00FB11FC" w:rsidP="00C7199B">
            <w:pPr>
              <w:pStyle w:val="Tabulasteksts"/>
              <w:rPr>
                <w:color w:val="17365D"/>
                <w:sz w:val="18"/>
                <w:szCs w:val="18"/>
                <w:lang w:eastAsia="lv-LV"/>
              </w:rPr>
            </w:pPr>
            <w:r w:rsidRPr="00042BFA">
              <w:rPr>
                <w:color w:val="17365D"/>
                <w:sz w:val="18"/>
                <w:szCs w:val="18"/>
              </w:rPr>
              <w:t>Subsīdijas, dotācijas un sociālie pabalsti, kārtējie maksājumi Eiropas Savienības budžetā un starptautiskā sadarbība</w:t>
            </w:r>
          </w:p>
        </w:tc>
        <w:tc>
          <w:tcPr>
            <w:tcW w:w="851" w:type="dxa"/>
            <w:tcBorders>
              <w:top w:val="single" w:sz="4" w:space="0" w:color="17365D"/>
              <w:bottom w:val="single" w:sz="4" w:space="0" w:color="17365D"/>
            </w:tcBorders>
            <w:shd w:val="clear" w:color="auto" w:fill="auto"/>
            <w:vAlign w:val="center"/>
          </w:tcPr>
          <w:p w14:paraId="2073BBF8"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12FECAB3"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9 744 280 763</w:t>
            </w:r>
          </w:p>
        </w:tc>
        <w:tc>
          <w:tcPr>
            <w:tcW w:w="1560" w:type="dxa"/>
            <w:tcBorders>
              <w:top w:val="single" w:sz="4" w:space="0" w:color="17365D"/>
              <w:bottom w:val="single" w:sz="4" w:space="0" w:color="17365D"/>
            </w:tcBorders>
            <w:shd w:val="clear" w:color="auto" w:fill="auto"/>
            <w:noWrap/>
            <w:vAlign w:val="center"/>
          </w:tcPr>
          <w:p w14:paraId="53B2F1F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9 376 903 458</w:t>
            </w:r>
          </w:p>
        </w:tc>
        <w:tc>
          <w:tcPr>
            <w:tcW w:w="1560" w:type="dxa"/>
            <w:tcBorders>
              <w:top w:val="single" w:sz="4" w:space="0" w:color="17365D"/>
              <w:bottom w:val="single" w:sz="4" w:space="0" w:color="17365D"/>
            </w:tcBorders>
            <w:shd w:val="clear" w:color="auto" w:fill="auto"/>
            <w:noWrap/>
            <w:vAlign w:val="center"/>
          </w:tcPr>
          <w:p w14:paraId="12F89E3E"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367 377 305</w:t>
            </w:r>
          </w:p>
        </w:tc>
        <w:tc>
          <w:tcPr>
            <w:tcW w:w="1275" w:type="dxa"/>
            <w:tcBorders>
              <w:top w:val="single" w:sz="4" w:space="0" w:color="17365D"/>
              <w:bottom w:val="single" w:sz="4" w:space="0" w:color="17365D"/>
            </w:tcBorders>
            <w:shd w:val="clear" w:color="auto" w:fill="auto"/>
            <w:noWrap/>
            <w:vAlign w:val="center"/>
          </w:tcPr>
          <w:p w14:paraId="66DB756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3.92</w:t>
            </w:r>
          </w:p>
        </w:tc>
      </w:tr>
      <w:tr w:rsidR="00FB11FC" w:rsidRPr="00042BFA" w14:paraId="1294E986" w14:textId="77777777" w:rsidTr="00D81CD0">
        <w:trPr>
          <w:trHeight w:val="255"/>
        </w:trPr>
        <w:tc>
          <w:tcPr>
            <w:tcW w:w="2694" w:type="dxa"/>
            <w:tcBorders>
              <w:top w:val="single" w:sz="4" w:space="0" w:color="17365D"/>
              <w:bottom w:val="single" w:sz="4" w:space="0" w:color="17365D"/>
            </w:tcBorders>
            <w:shd w:val="clear" w:color="auto" w:fill="auto"/>
            <w:vAlign w:val="center"/>
          </w:tcPr>
          <w:p w14:paraId="1CBA0783" w14:textId="77777777" w:rsidR="00FB11FC" w:rsidRPr="00042BFA" w:rsidRDefault="00FB11FC" w:rsidP="00C7199B">
            <w:pPr>
              <w:pStyle w:val="Tabulasteksts"/>
              <w:rPr>
                <w:color w:val="17365D"/>
                <w:sz w:val="18"/>
                <w:szCs w:val="18"/>
                <w:lang w:eastAsia="lv-LV"/>
              </w:rPr>
            </w:pPr>
            <w:r w:rsidRPr="00042BFA">
              <w:rPr>
                <w:color w:val="17365D"/>
                <w:sz w:val="18"/>
                <w:szCs w:val="18"/>
              </w:rPr>
              <w:t>Procentu izdevumi</w:t>
            </w:r>
          </w:p>
        </w:tc>
        <w:tc>
          <w:tcPr>
            <w:tcW w:w="851" w:type="dxa"/>
            <w:tcBorders>
              <w:top w:val="single" w:sz="4" w:space="0" w:color="17365D"/>
              <w:bottom w:val="single" w:sz="4" w:space="0" w:color="17365D"/>
            </w:tcBorders>
            <w:shd w:val="clear" w:color="auto" w:fill="auto"/>
            <w:vAlign w:val="center"/>
          </w:tcPr>
          <w:p w14:paraId="27BEDEA5"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6070204E"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39 149</w:t>
            </w:r>
          </w:p>
        </w:tc>
        <w:tc>
          <w:tcPr>
            <w:tcW w:w="1560" w:type="dxa"/>
            <w:tcBorders>
              <w:top w:val="single" w:sz="4" w:space="0" w:color="17365D"/>
              <w:bottom w:val="single" w:sz="4" w:space="0" w:color="17365D"/>
            </w:tcBorders>
            <w:shd w:val="clear" w:color="auto" w:fill="auto"/>
            <w:noWrap/>
            <w:vAlign w:val="center"/>
          </w:tcPr>
          <w:p w14:paraId="48942B4C"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449 344</w:t>
            </w:r>
          </w:p>
        </w:tc>
        <w:tc>
          <w:tcPr>
            <w:tcW w:w="1560" w:type="dxa"/>
            <w:tcBorders>
              <w:top w:val="single" w:sz="4" w:space="0" w:color="17365D"/>
              <w:bottom w:val="single" w:sz="4" w:space="0" w:color="17365D"/>
            </w:tcBorders>
            <w:shd w:val="clear" w:color="auto" w:fill="auto"/>
            <w:noWrap/>
            <w:vAlign w:val="center"/>
          </w:tcPr>
          <w:p w14:paraId="774DF014"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-410 195</w:t>
            </w:r>
          </w:p>
        </w:tc>
        <w:tc>
          <w:tcPr>
            <w:tcW w:w="1275" w:type="dxa"/>
            <w:tcBorders>
              <w:top w:val="single" w:sz="4" w:space="0" w:color="17365D"/>
              <w:bottom w:val="single" w:sz="4" w:space="0" w:color="17365D"/>
            </w:tcBorders>
            <w:shd w:val="clear" w:color="auto" w:fill="auto"/>
            <w:noWrap/>
            <w:vAlign w:val="center"/>
          </w:tcPr>
          <w:p w14:paraId="04001792"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-91.29</w:t>
            </w:r>
          </w:p>
        </w:tc>
      </w:tr>
      <w:tr w:rsidR="00FB11FC" w:rsidRPr="00042BFA" w14:paraId="4DCC5CC1" w14:textId="77777777" w:rsidTr="00D81CD0">
        <w:trPr>
          <w:trHeight w:val="255"/>
        </w:trPr>
        <w:tc>
          <w:tcPr>
            <w:tcW w:w="2694" w:type="dxa"/>
            <w:tcBorders>
              <w:top w:val="single" w:sz="4" w:space="0" w:color="17365D"/>
              <w:bottom w:val="single" w:sz="4" w:space="0" w:color="17365D"/>
            </w:tcBorders>
            <w:shd w:val="clear" w:color="auto" w:fill="auto"/>
            <w:vAlign w:val="center"/>
          </w:tcPr>
          <w:p w14:paraId="75CF76F8" w14:textId="77777777" w:rsidR="00FB11FC" w:rsidRPr="00042BFA" w:rsidRDefault="00FB11FC" w:rsidP="00C7199B">
            <w:pPr>
              <w:pStyle w:val="Tabulasteksts"/>
              <w:rPr>
                <w:color w:val="17365D"/>
                <w:sz w:val="18"/>
                <w:szCs w:val="18"/>
                <w:lang w:eastAsia="lv-LV"/>
              </w:rPr>
            </w:pPr>
            <w:r w:rsidRPr="00042BFA">
              <w:rPr>
                <w:color w:val="17365D"/>
                <w:sz w:val="18"/>
                <w:szCs w:val="18"/>
              </w:rPr>
              <w:t>Aizdevumu izsniegšana</w:t>
            </w:r>
          </w:p>
        </w:tc>
        <w:tc>
          <w:tcPr>
            <w:tcW w:w="851" w:type="dxa"/>
            <w:tcBorders>
              <w:top w:val="single" w:sz="4" w:space="0" w:color="17365D"/>
              <w:bottom w:val="single" w:sz="4" w:space="0" w:color="17365D"/>
            </w:tcBorders>
            <w:shd w:val="clear" w:color="auto" w:fill="auto"/>
            <w:vAlign w:val="center"/>
          </w:tcPr>
          <w:p w14:paraId="3313F843" w14:textId="77777777" w:rsidR="00FB11FC" w:rsidRPr="00042BFA"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2027F909"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53 156 796</w:t>
            </w:r>
          </w:p>
        </w:tc>
        <w:tc>
          <w:tcPr>
            <w:tcW w:w="1560" w:type="dxa"/>
            <w:tcBorders>
              <w:top w:val="single" w:sz="4" w:space="0" w:color="17365D"/>
              <w:bottom w:val="single" w:sz="4" w:space="0" w:color="17365D"/>
            </w:tcBorders>
            <w:shd w:val="clear" w:color="auto" w:fill="auto"/>
            <w:noWrap/>
            <w:vAlign w:val="center"/>
          </w:tcPr>
          <w:p w14:paraId="388987D1"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85 588 881</w:t>
            </w:r>
          </w:p>
        </w:tc>
        <w:tc>
          <w:tcPr>
            <w:tcW w:w="1560" w:type="dxa"/>
            <w:tcBorders>
              <w:top w:val="single" w:sz="4" w:space="0" w:color="17365D"/>
              <w:bottom w:val="single" w:sz="4" w:space="0" w:color="17365D"/>
            </w:tcBorders>
            <w:shd w:val="clear" w:color="auto" w:fill="auto"/>
            <w:noWrap/>
            <w:vAlign w:val="center"/>
          </w:tcPr>
          <w:p w14:paraId="0F2C2396"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-32 432 085</w:t>
            </w:r>
          </w:p>
        </w:tc>
        <w:tc>
          <w:tcPr>
            <w:tcW w:w="1275" w:type="dxa"/>
            <w:tcBorders>
              <w:top w:val="single" w:sz="4" w:space="0" w:color="17365D"/>
              <w:bottom w:val="single" w:sz="4" w:space="0" w:color="17365D"/>
            </w:tcBorders>
            <w:shd w:val="clear" w:color="auto" w:fill="auto"/>
            <w:noWrap/>
            <w:vAlign w:val="center"/>
          </w:tcPr>
          <w:p w14:paraId="2B5DEFFC" w14:textId="77777777" w:rsidR="00FB11FC" w:rsidRPr="00042BFA" w:rsidRDefault="00FB11FC" w:rsidP="00C7199B">
            <w:pPr>
              <w:spacing w:after="0" w:line="240" w:lineRule="auto"/>
              <w:jc w:val="right"/>
              <w:rPr>
                <w:rFonts w:cs="Times New Roman"/>
                <w:color w:val="17365D"/>
                <w:sz w:val="18"/>
                <w:szCs w:val="18"/>
              </w:rPr>
            </w:pPr>
            <w:r w:rsidRPr="00042BFA">
              <w:rPr>
                <w:rFonts w:cs="Times New Roman"/>
                <w:color w:val="17365D"/>
                <w:sz w:val="18"/>
                <w:szCs w:val="18"/>
              </w:rPr>
              <w:t>-37.89</w:t>
            </w:r>
          </w:p>
        </w:tc>
      </w:tr>
      <w:tr w:rsidR="00FB11FC" w:rsidRPr="00177E3C" w14:paraId="7B1F6290" w14:textId="77777777" w:rsidTr="00D81CD0">
        <w:trPr>
          <w:trHeight w:val="255"/>
        </w:trPr>
        <w:tc>
          <w:tcPr>
            <w:tcW w:w="2694" w:type="dxa"/>
            <w:tcBorders>
              <w:top w:val="single" w:sz="4" w:space="0" w:color="17365D"/>
              <w:bottom w:val="single" w:sz="4" w:space="0" w:color="17365D"/>
            </w:tcBorders>
            <w:shd w:val="clear" w:color="auto" w:fill="auto"/>
            <w:vAlign w:val="center"/>
          </w:tcPr>
          <w:p w14:paraId="340F3985" w14:textId="77777777" w:rsidR="00FB11FC" w:rsidRPr="00177E3C" w:rsidRDefault="00FB11FC" w:rsidP="00C7199B">
            <w:pPr>
              <w:pStyle w:val="Tabulasteksts"/>
              <w:rPr>
                <w:color w:val="17365D"/>
                <w:sz w:val="18"/>
                <w:szCs w:val="18"/>
                <w:lang w:eastAsia="lv-LV"/>
              </w:rPr>
            </w:pPr>
            <w:r w:rsidRPr="00177E3C">
              <w:rPr>
                <w:color w:val="17365D"/>
                <w:sz w:val="18"/>
                <w:szCs w:val="18"/>
              </w:rPr>
              <w:t>Citi izdevumi no pamatdarbības</w:t>
            </w:r>
          </w:p>
        </w:tc>
        <w:tc>
          <w:tcPr>
            <w:tcW w:w="851" w:type="dxa"/>
            <w:tcBorders>
              <w:top w:val="single" w:sz="4" w:space="0" w:color="17365D"/>
              <w:bottom w:val="single" w:sz="4" w:space="0" w:color="17365D"/>
            </w:tcBorders>
            <w:shd w:val="clear" w:color="auto" w:fill="auto"/>
            <w:vAlign w:val="center"/>
          </w:tcPr>
          <w:p w14:paraId="471E8240" w14:textId="5CA6CC83" w:rsidR="00FB11FC" w:rsidRPr="00177E3C" w:rsidRDefault="00FB11FC" w:rsidP="00C7199B">
            <w:pPr>
              <w:spacing w:after="0" w:line="240" w:lineRule="auto"/>
              <w:jc w:val="right"/>
              <w:rPr>
                <w:rFonts w:cs="Times New Roman"/>
                <w:color w:val="17365D"/>
                <w:sz w:val="18"/>
                <w:szCs w:val="18"/>
              </w:rPr>
            </w:pPr>
          </w:p>
        </w:tc>
        <w:tc>
          <w:tcPr>
            <w:tcW w:w="1558" w:type="dxa"/>
            <w:tcBorders>
              <w:top w:val="single" w:sz="4" w:space="0" w:color="17365D"/>
              <w:bottom w:val="single" w:sz="4" w:space="0" w:color="17365D"/>
            </w:tcBorders>
            <w:shd w:val="clear" w:color="auto" w:fill="auto"/>
            <w:noWrap/>
            <w:vAlign w:val="center"/>
          </w:tcPr>
          <w:p w14:paraId="7877B068"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1 076 161</w:t>
            </w:r>
          </w:p>
        </w:tc>
        <w:tc>
          <w:tcPr>
            <w:tcW w:w="1560" w:type="dxa"/>
            <w:tcBorders>
              <w:top w:val="single" w:sz="4" w:space="0" w:color="17365D"/>
              <w:bottom w:val="single" w:sz="4" w:space="0" w:color="17365D"/>
            </w:tcBorders>
            <w:shd w:val="clear" w:color="auto" w:fill="auto"/>
            <w:noWrap/>
            <w:vAlign w:val="center"/>
          </w:tcPr>
          <w:p w14:paraId="22B779D9"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3 340 690</w:t>
            </w:r>
          </w:p>
        </w:tc>
        <w:tc>
          <w:tcPr>
            <w:tcW w:w="1560" w:type="dxa"/>
            <w:tcBorders>
              <w:top w:val="single" w:sz="4" w:space="0" w:color="17365D"/>
              <w:bottom w:val="single" w:sz="4" w:space="0" w:color="17365D"/>
            </w:tcBorders>
            <w:shd w:val="clear" w:color="auto" w:fill="auto"/>
            <w:noWrap/>
            <w:vAlign w:val="center"/>
          </w:tcPr>
          <w:p w14:paraId="73CA3B3E"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-2 264 529</w:t>
            </w:r>
          </w:p>
        </w:tc>
        <w:tc>
          <w:tcPr>
            <w:tcW w:w="1275" w:type="dxa"/>
            <w:tcBorders>
              <w:top w:val="single" w:sz="4" w:space="0" w:color="17365D"/>
              <w:bottom w:val="single" w:sz="4" w:space="0" w:color="17365D"/>
            </w:tcBorders>
            <w:shd w:val="clear" w:color="auto" w:fill="auto"/>
            <w:noWrap/>
            <w:vAlign w:val="center"/>
          </w:tcPr>
          <w:p w14:paraId="304FA951"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-67.79</w:t>
            </w:r>
          </w:p>
        </w:tc>
      </w:tr>
      <w:tr w:rsidR="00FB11FC" w:rsidRPr="00177E3C" w14:paraId="490F1DA4" w14:textId="77777777" w:rsidTr="008B3485">
        <w:trPr>
          <w:trHeight w:val="64"/>
        </w:trPr>
        <w:tc>
          <w:tcPr>
            <w:tcW w:w="2694" w:type="dxa"/>
            <w:tcBorders>
              <w:top w:val="single" w:sz="4" w:space="0" w:color="17365D"/>
            </w:tcBorders>
            <w:shd w:val="clear" w:color="auto" w:fill="B9CDE5"/>
            <w:vAlign w:val="center"/>
          </w:tcPr>
          <w:p w14:paraId="7E151BDB" w14:textId="77777777" w:rsidR="00FB11FC" w:rsidRPr="00177E3C" w:rsidRDefault="00FB11FC" w:rsidP="00C7199B">
            <w:pPr>
              <w:pStyle w:val="Tabulasteksts"/>
              <w:rPr>
                <w:color w:val="17365D"/>
                <w:sz w:val="18"/>
                <w:szCs w:val="18"/>
                <w:lang w:eastAsia="lv-LV"/>
              </w:rPr>
            </w:pPr>
          </w:p>
        </w:tc>
        <w:tc>
          <w:tcPr>
            <w:tcW w:w="851" w:type="dxa"/>
            <w:tcBorders>
              <w:top w:val="single" w:sz="4" w:space="0" w:color="17365D"/>
            </w:tcBorders>
            <w:shd w:val="clear" w:color="auto" w:fill="B9CDE5"/>
            <w:vAlign w:val="center"/>
          </w:tcPr>
          <w:p w14:paraId="0ADA8FFB" w14:textId="77777777" w:rsidR="00FB11FC" w:rsidRPr="00177E3C" w:rsidRDefault="00FB11FC" w:rsidP="00C7199B">
            <w:pPr>
              <w:pStyle w:val="Tabulasteksts"/>
              <w:jc w:val="center"/>
              <w:rPr>
                <w:color w:val="17365D"/>
                <w:sz w:val="18"/>
                <w:szCs w:val="18"/>
                <w:lang w:eastAsia="lv-LV"/>
              </w:rPr>
            </w:pPr>
          </w:p>
        </w:tc>
        <w:tc>
          <w:tcPr>
            <w:tcW w:w="1558" w:type="dxa"/>
            <w:tcBorders>
              <w:top w:val="single" w:sz="4" w:space="0" w:color="17365D"/>
            </w:tcBorders>
            <w:shd w:val="clear" w:color="auto" w:fill="B9CDE5"/>
            <w:noWrap/>
            <w:vAlign w:val="center"/>
          </w:tcPr>
          <w:p w14:paraId="7DD2478D" w14:textId="77777777" w:rsidR="00FB11FC" w:rsidRPr="008B3485" w:rsidRDefault="00FB11FC" w:rsidP="00C7199B">
            <w:pPr>
              <w:spacing w:after="0" w:line="240" w:lineRule="auto"/>
              <w:jc w:val="right"/>
              <w:rPr>
                <w:rFonts w:cs="Times New Roman"/>
                <w:color w:val="17365D"/>
                <w:sz w:val="12"/>
                <w:szCs w:val="12"/>
              </w:rPr>
            </w:pPr>
          </w:p>
        </w:tc>
        <w:tc>
          <w:tcPr>
            <w:tcW w:w="1560" w:type="dxa"/>
            <w:tcBorders>
              <w:top w:val="single" w:sz="4" w:space="0" w:color="17365D"/>
            </w:tcBorders>
            <w:shd w:val="clear" w:color="auto" w:fill="B9CDE5"/>
            <w:noWrap/>
            <w:vAlign w:val="center"/>
          </w:tcPr>
          <w:p w14:paraId="070FF558" w14:textId="77777777" w:rsidR="00FB11FC" w:rsidRPr="00177E3C" w:rsidRDefault="00FB11FC" w:rsidP="00C7199B">
            <w:pPr>
              <w:spacing w:after="0" w:line="240" w:lineRule="auto"/>
              <w:jc w:val="right"/>
              <w:rPr>
                <w:rFonts w:cs="Times New Roman"/>
                <w:color w:val="17365D"/>
                <w:sz w:val="18"/>
                <w:szCs w:val="18"/>
              </w:rPr>
            </w:pPr>
          </w:p>
        </w:tc>
        <w:tc>
          <w:tcPr>
            <w:tcW w:w="1560" w:type="dxa"/>
            <w:tcBorders>
              <w:top w:val="single" w:sz="4" w:space="0" w:color="17365D"/>
            </w:tcBorders>
            <w:shd w:val="clear" w:color="auto" w:fill="B9CDE5"/>
            <w:noWrap/>
            <w:vAlign w:val="center"/>
          </w:tcPr>
          <w:p w14:paraId="0A43F408" w14:textId="77777777" w:rsidR="00FB11FC" w:rsidRPr="00177E3C" w:rsidRDefault="00FB11FC" w:rsidP="00C7199B">
            <w:pPr>
              <w:spacing w:after="0" w:line="240" w:lineRule="auto"/>
              <w:jc w:val="right"/>
              <w:rPr>
                <w:rFonts w:cs="Times New Roman"/>
                <w:color w:val="17365D"/>
                <w:sz w:val="18"/>
                <w:szCs w:val="18"/>
              </w:rPr>
            </w:pPr>
          </w:p>
        </w:tc>
        <w:tc>
          <w:tcPr>
            <w:tcW w:w="1275" w:type="dxa"/>
            <w:tcBorders>
              <w:top w:val="single" w:sz="4" w:space="0" w:color="17365D"/>
            </w:tcBorders>
            <w:shd w:val="clear" w:color="auto" w:fill="B9CDE5"/>
            <w:noWrap/>
            <w:vAlign w:val="center"/>
          </w:tcPr>
          <w:p w14:paraId="6BF5A02F" w14:textId="77777777" w:rsidR="00FB11FC" w:rsidRPr="00177E3C" w:rsidRDefault="00FB11FC" w:rsidP="00C7199B">
            <w:pPr>
              <w:spacing w:after="0" w:line="240" w:lineRule="auto"/>
              <w:jc w:val="right"/>
              <w:rPr>
                <w:rFonts w:cs="Times New Roman"/>
                <w:color w:val="17365D"/>
                <w:sz w:val="18"/>
                <w:szCs w:val="18"/>
              </w:rPr>
            </w:pPr>
          </w:p>
        </w:tc>
      </w:tr>
    </w:tbl>
    <w:p w14:paraId="44490EA3" w14:textId="77777777" w:rsidR="0079522F" w:rsidRPr="008B3485" w:rsidRDefault="0079522F" w:rsidP="00106788">
      <w:pPr>
        <w:pStyle w:val="Pamatteksts1"/>
        <w:rPr>
          <w:sz w:val="6"/>
          <w:szCs w:val="4"/>
        </w:rPr>
      </w:pPr>
    </w:p>
    <w:p w14:paraId="63F0EC13" w14:textId="05590CB4" w:rsidR="00FB11FC" w:rsidRPr="00106788" w:rsidRDefault="00FB11FC" w:rsidP="00106788">
      <w:pPr>
        <w:pStyle w:val="Pamatteksts1"/>
      </w:pPr>
      <w:r w:rsidRPr="00106788">
        <w:t>Valsts budžeta nodokļu un pašvaldību nodokļu ieņēmumu izpilde, t.sk. informācija par izmaiņām, atklāta 2. sējuma skaidrojumā “Skaidrojums par konsolidēto valsts budžeta izpildi” un “Skaidrojums par pašvaldību konsolidētā budžeta izpildi”.</w:t>
      </w:r>
    </w:p>
    <w:p w14:paraId="235E7022" w14:textId="77777777" w:rsidR="00FB11FC" w:rsidRPr="00177E3C" w:rsidRDefault="00FB11FC" w:rsidP="00FB11FC">
      <w:pPr>
        <w:pStyle w:val="Heading4"/>
        <w:rPr>
          <w:rFonts w:cs="Times New Roman"/>
        </w:rPr>
      </w:pPr>
      <w:r w:rsidRPr="00177E3C">
        <w:rPr>
          <w:rFonts w:cs="Times New Roman"/>
        </w:rPr>
        <w:t xml:space="preserve">Piezīme Nr. NP.A12. </w:t>
      </w:r>
      <w:proofErr w:type="spellStart"/>
      <w:r w:rsidRPr="00177E3C">
        <w:rPr>
          <w:rFonts w:cs="Times New Roman"/>
        </w:rPr>
        <w:t>Nenodokļu</w:t>
      </w:r>
      <w:proofErr w:type="spellEnd"/>
      <w:r w:rsidRPr="00177E3C">
        <w:rPr>
          <w:rFonts w:cs="Times New Roman"/>
        </w:rPr>
        <w:t xml:space="preserve"> ieņēmumi</w:t>
      </w:r>
    </w:p>
    <w:p w14:paraId="790098F9" w14:textId="77777777" w:rsidR="00FB11FC" w:rsidRPr="00106788" w:rsidRDefault="00FB11FC" w:rsidP="00106788">
      <w:pPr>
        <w:pStyle w:val="Pamatteksts1"/>
      </w:pPr>
      <w:r w:rsidRPr="00106788">
        <w:t>Šī posteņa būtiskākais palielinājums ir Valsts ieņēmumu dienesta administrēto valsts budžeta ieņēmumu uzskaitē par:</w:t>
      </w:r>
    </w:p>
    <w:p w14:paraId="26F97362" w14:textId="0C28D2D6" w:rsidR="00FB11FC" w:rsidRPr="00177E3C" w:rsidRDefault="00FB11FC" w:rsidP="00106788">
      <w:pPr>
        <w:pStyle w:val="Bullets"/>
      </w:pPr>
      <w:r w:rsidRPr="00177E3C">
        <w:t>speciāliem mērķiem paredzēto valsts nodev</w:t>
      </w:r>
      <w:r w:rsidR="00106788">
        <w:t>u</w:t>
      </w:r>
      <w:r w:rsidRPr="00177E3C">
        <w:t xml:space="preserve">, kas nav minēta citos koda 9.3.9.0. </w:t>
      </w:r>
      <w:proofErr w:type="spellStart"/>
      <w:r w:rsidRPr="00177E3C">
        <w:t>apakškodos</w:t>
      </w:r>
      <w:proofErr w:type="spellEnd"/>
      <w:r w:rsidR="00106788">
        <w:t>,</w:t>
      </w:r>
      <w:r w:rsidRPr="00177E3C">
        <w:t xml:space="preserve"> (Hipotekārā kredīta ņēmēju aizsardzības nodeva) 97</w:t>
      </w:r>
      <w:r w:rsidR="00893A10">
        <w:t>,5</w:t>
      </w:r>
      <w:r w:rsidRPr="00177E3C">
        <w:t> </w:t>
      </w:r>
      <w:r w:rsidR="00893A10">
        <w:t>milj.</w:t>
      </w:r>
      <w:r w:rsidRPr="00177E3C">
        <w:t> </w:t>
      </w:r>
      <w:r w:rsidRPr="00893A10">
        <w:rPr>
          <w:i/>
        </w:rPr>
        <w:t>euro</w:t>
      </w:r>
      <w:r w:rsidRPr="00177E3C">
        <w:t xml:space="preserve"> vērtībā;</w:t>
      </w:r>
    </w:p>
    <w:p w14:paraId="4ACC31DF" w14:textId="57211369" w:rsidR="00FB11FC" w:rsidRPr="00177E3C" w:rsidRDefault="00FB11FC" w:rsidP="00106788">
      <w:pPr>
        <w:pStyle w:val="Bullets"/>
      </w:pPr>
      <w:r w:rsidRPr="00177E3C">
        <w:lastRenderedPageBreak/>
        <w:t>ieņēmumiem no dividendēm par valsts kapitāla izmantošanu 34</w:t>
      </w:r>
      <w:r w:rsidR="00F810A4">
        <w:t>,1</w:t>
      </w:r>
      <w:r w:rsidRPr="00177E3C">
        <w:t> </w:t>
      </w:r>
      <w:r w:rsidR="00F810A4">
        <w:t>milj.</w:t>
      </w:r>
      <w:r w:rsidRPr="00177E3C">
        <w:t> </w:t>
      </w:r>
      <w:r w:rsidRPr="00893A10">
        <w:rPr>
          <w:i/>
        </w:rPr>
        <w:t>euro</w:t>
      </w:r>
      <w:r w:rsidRPr="00177E3C">
        <w:t xml:space="preserve"> vērtībā;</w:t>
      </w:r>
    </w:p>
    <w:p w14:paraId="16A2057E" w14:textId="2B3649FB" w:rsidR="00FB11FC" w:rsidRPr="00177E3C" w:rsidRDefault="00106788" w:rsidP="00106788">
      <w:pPr>
        <w:pStyle w:val="Bullets"/>
      </w:pPr>
      <w:r>
        <w:t xml:space="preserve">ieņēmumiem </w:t>
      </w:r>
      <w:r w:rsidR="00FB11FC" w:rsidRPr="00177E3C">
        <w:t xml:space="preserve">no konfiscēto noziedzīgi iegūto līdzekļu un papildsoda </w:t>
      </w:r>
      <w:r>
        <w:t>–</w:t>
      </w:r>
      <w:r w:rsidR="00FB11FC" w:rsidRPr="00177E3C">
        <w:t xml:space="preserve"> mantas konfiskācija – realizācijas </w:t>
      </w:r>
      <w:r w:rsidR="00AF2352">
        <w:t>40</w:t>
      </w:r>
      <w:r w:rsidR="00F810A4">
        <w:t>,6</w:t>
      </w:r>
      <w:r w:rsidR="00FB11FC" w:rsidRPr="00177E3C">
        <w:t> </w:t>
      </w:r>
      <w:r w:rsidR="00F810A4">
        <w:t>milj.</w:t>
      </w:r>
      <w:r w:rsidR="00FB11FC" w:rsidRPr="00177E3C">
        <w:t> </w:t>
      </w:r>
      <w:r w:rsidR="00FB11FC" w:rsidRPr="00893A10">
        <w:rPr>
          <w:i/>
        </w:rPr>
        <w:t xml:space="preserve">euro </w:t>
      </w:r>
      <w:r w:rsidR="00FB11FC" w:rsidRPr="00177E3C">
        <w:t>vērtībā</w:t>
      </w:r>
      <w:r>
        <w:t>.</w:t>
      </w:r>
    </w:p>
    <w:p w14:paraId="60B95F34" w14:textId="77777777" w:rsidR="00FB11FC" w:rsidRPr="00177E3C" w:rsidRDefault="00FB11FC" w:rsidP="00FB11FC">
      <w:pPr>
        <w:pStyle w:val="Pamatteksts1"/>
        <w:ind w:left="284" w:firstLine="0"/>
      </w:pPr>
      <w:r w:rsidRPr="00177E3C">
        <w:t xml:space="preserve">Lielākais samazinājums </w:t>
      </w:r>
      <w:proofErr w:type="spellStart"/>
      <w:r w:rsidRPr="00177E3C">
        <w:t>nenodokļu</w:t>
      </w:r>
      <w:proofErr w:type="spellEnd"/>
      <w:r w:rsidRPr="00177E3C">
        <w:t xml:space="preserve"> ieņēmumos ir valsts budžeta finanšu uzskaitē par:</w:t>
      </w:r>
    </w:p>
    <w:p w14:paraId="42864314" w14:textId="5CC0F906" w:rsidR="00FB11FC" w:rsidRPr="00177E3C" w:rsidRDefault="00FB11FC" w:rsidP="00106788">
      <w:pPr>
        <w:pStyle w:val="Bullets"/>
        <w:rPr>
          <w:bCs/>
        </w:rPr>
      </w:pPr>
      <w:r w:rsidRPr="00177E3C">
        <w:t>ieņēmumiem no valsts nodevas par naftas produktu drošības rezervju uzturēšanu (</w:t>
      </w:r>
      <w:r w:rsidRPr="00177E3C">
        <w:rPr>
          <w:bCs/>
        </w:rPr>
        <w:t>61</w:t>
      </w:r>
      <w:r w:rsidR="00F810A4">
        <w:rPr>
          <w:bCs/>
        </w:rPr>
        <w:t>,7</w:t>
      </w:r>
      <w:r w:rsidRPr="00177E3C">
        <w:rPr>
          <w:bCs/>
        </w:rPr>
        <w:t>) </w:t>
      </w:r>
      <w:r w:rsidR="00F810A4">
        <w:rPr>
          <w:bCs/>
        </w:rPr>
        <w:t>milj.</w:t>
      </w:r>
      <w:r w:rsidR="00E24982">
        <w:rPr>
          <w:bCs/>
        </w:rPr>
        <w:t xml:space="preserve"> </w:t>
      </w:r>
      <w:r w:rsidRPr="00177E3C">
        <w:rPr>
          <w:bCs/>
          <w:i/>
        </w:rPr>
        <w:t>euro</w:t>
      </w:r>
      <w:r w:rsidRPr="00177E3C">
        <w:rPr>
          <w:bCs/>
        </w:rPr>
        <w:t xml:space="preserve"> vērtībā;</w:t>
      </w:r>
    </w:p>
    <w:p w14:paraId="33C83367" w14:textId="721E4906" w:rsidR="00FB11FC" w:rsidRPr="00177E3C" w:rsidRDefault="00FB11FC" w:rsidP="00106788">
      <w:pPr>
        <w:pStyle w:val="Bullets"/>
        <w:rPr>
          <w:bCs/>
        </w:rPr>
      </w:pPr>
      <w:r w:rsidRPr="00177E3C">
        <w:rPr>
          <w:bCs/>
        </w:rPr>
        <w:t>iemaksām no konfiscēto noziedzīgi iegūto līdzekļu realizācijas (50</w:t>
      </w:r>
      <w:r w:rsidR="00F810A4">
        <w:rPr>
          <w:bCs/>
        </w:rPr>
        <w:t>,3</w:t>
      </w:r>
      <w:r w:rsidRPr="00177E3C">
        <w:rPr>
          <w:bCs/>
        </w:rPr>
        <w:t>) </w:t>
      </w:r>
      <w:r w:rsidR="00F810A4">
        <w:rPr>
          <w:bCs/>
        </w:rPr>
        <w:t>milj.</w:t>
      </w:r>
      <w:r w:rsidR="00E24982">
        <w:rPr>
          <w:bCs/>
        </w:rPr>
        <w:t xml:space="preserve"> </w:t>
      </w:r>
      <w:r w:rsidRPr="00177E3C">
        <w:rPr>
          <w:bCs/>
          <w:i/>
        </w:rPr>
        <w:t>euro</w:t>
      </w:r>
      <w:r w:rsidRPr="00177E3C">
        <w:rPr>
          <w:bCs/>
        </w:rPr>
        <w:t xml:space="preserve"> vērtībā;</w:t>
      </w:r>
    </w:p>
    <w:p w14:paraId="2268C7CB" w14:textId="4A1B9B90" w:rsidR="00FB11FC" w:rsidRPr="00177E3C" w:rsidRDefault="00FB11FC" w:rsidP="00106788">
      <w:pPr>
        <w:pStyle w:val="Bullets"/>
        <w:rPr>
          <w:bCs/>
        </w:rPr>
      </w:pPr>
      <w:r w:rsidRPr="00177E3C">
        <w:rPr>
          <w:bCs/>
        </w:rPr>
        <w:t>ieņēmumiem no budžeta iestādēm atmaksātiem pārējiem debitoru parādiem (27</w:t>
      </w:r>
      <w:r w:rsidR="00F810A4">
        <w:rPr>
          <w:bCs/>
        </w:rPr>
        <w:t>,3</w:t>
      </w:r>
      <w:r w:rsidRPr="00177E3C">
        <w:rPr>
          <w:bCs/>
        </w:rPr>
        <w:t>) </w:t>
      </w:r>
      <w:r w:rsidR="00F810A4">
        <w:rPr>
          <w:bCs/>
        </w:rPr>
        <w:t>milj.</w:t>
      </w:r>
      <w:r w:rsidR="009A153B">
        <w:rPr>
          <w:bCs/>
        </w:rPr>
        <w:t> </w:t>
      </w:r>
      <w:r w:rsidRPr="00177E3C">
        <w:rPr>
          <w:bCs/>
          <w:i/>
        </w:rPr>
        <w:t>euro</w:t>
      </w:r>
      <w:r w:rsidRPr="00177E3C">
        <w:rPr>
          <w:bCs/>
        </w:rPr>
        <w:t xml:space="preserve"> vērtībā</w:t>
      </w:r>
      <w:r w:rsidR="00106788">
        <w:rPr>
          <w:bCs/>
        </w:rPr>
        <w:t>.</w:t>
      </w:r>
    </w:p>
    <w:p w14:paraId="28C57444" w14:textId="77777777" w:rsidR="00FB11FC" w:rsidRPr="00177E3C" w:rsidRDefault="00FB11FC" w:rsidP="00FB11FC">
      <w:pPr>
        <w:pStyle w:val="Heading4"/>
        <w:rPr>
          <w:rFonts w:cs="Times New Roman"/>
        </w:rPr>
      </w:pPr>
      <w:r w:rsidRPr="00177E3C">
        <w:rPr>
          <w:rFonts w:cs="Times New Roman"/>
        </w:rPr>
        <w:t>Piezīme Nr. NP.A14. Ārvalstu finanšu palīdzība</w:t>
      </w:r>
    </w:p>
    <w:p w14:paraId="3A0A0D0D" w14:textId="77777777" w:rsidR="00FB11FC" w:rsidRPr="00177E3C" w:rsidRDefault="00FB11FC" w:rsidP="00FB11FC">
      <w:pPr>
        <w:pStyle w:val="Pamatteksts1"/>
        <w:ind w:left="284" w:firstLine="0"/>
      </w:pPr>
      <w:r w:rsidRPr="00177E3C">
        <w:t>Šī posteņa būtiskākais palielinājums ir valsts budžeta finanšu uzskaitē par:</w:t>
      </w:r>
    </w:p>
    <w:p w14:paraId="2EA375FA" w14:textId="54D1F248" w:rsidR="00FB11FC" w:rsidRPr="00177E3C" w:rsidRDefault="00106788" w:rsidP="00106788">
      <w:pPr>
        <w:pStyle w:val="Bullets"/>
      </w:pPr>
      <w:r>
        <w:t>p</w:t>
      </w:r>
      <w:r w:rsidR="00FB11FC" w:rsidRPr="00177E3C">
        <w:t>ārējiem ieņēmumiem no Eiropas Savienības, ko galvenokārt veido Eiropas Atveseļošanas un noturības mehānisma (RRF) noslēgtā līguma ietvaros 2024. gadā valsts budžeta ieņēmumos saņemtais finansējums no Eiropas Komisijas 362</w:t>
      </w:r>
      <w:r w:rsidR="00F810A4">
        <w:t>,7</w:t>
      </w:r>
      <w:r w:rsidR="00FB11FC" w:rsidRPr="00177E3C">
        <w:t xml:space="preserve"> </w:t>
      </w:r>
      <w:r w:rsidR="00F810A4">
        <w:t>milj.</w:t>
      </w:r>
      <w:r w:rsidR="00E24982">
        <w:t xml:space="preserve"> </w:t>
      </w:r>
      <w:r w:rsidR="00FB11FC" w:rsidRPr="00893A10">
        <w:rPr>
          <w:i/>
        </w:rPr>
        <w:t>euro</w:t>
      </w:r>
      <w:r w:rsidR="00FB11FC" w:rsidRPr="00177E3C">
        <w:t xml:space="preserve"> vērtībā;</w:t>
      </w:r>
    </w:p>
    <w:p w14:paraId="4FF1D1E2" w14:textId="2A8D2E32" w:rsidR="00FB11FC" w:rsidRPr="00177E3C" w:rsidRDefault="00106788" w:rsidP="00106788">
      <w:pPr>
        <w:pStyle w:val="Bullets"/>
      </w:pPr>
      <w:r>
        <w:t>i</w:t>
      </w:r>
      <w:r w:rsidR="00FB11FC" w:rsidRPr="00177E3C">
        <w:t>eņēmumu palielinājum</w:t>
      </w:r>
      <w:r>
        <w:t>u</w:t>
      </w:r>
      <w:r w:rsidR="00FB11FC" w:rsidRPr="00177E3C">
        <w:t xml:space="preserve"> no Kohēzijas fonda 108</w:t>
      </w:r>
      <w:r w:rsidR="00F810A4">
        <w:t>,7</w:t>
      </w:r>
      <w:r w:rsidR="00FB11FC" w:rsidRPr="00177E3C">
        <w:t> </w:t>
      </w:r>
      <w:r w:rsidR="00F810A4">
        <w:t>milj.</w:t>
      </w:r>
      <w:r w:rsidR="00FB11FC" w:rsidRPr="00177E3C">
        <w:t> </w:t>
      </w:r>
      <w:r w:rsidR="00FB11FC" w:rsidRPr="00893A10">
        <w:rPr>
          <w:i/>
        </w:rPr>
        <w:t>euro</w:t>
      </w:r>
      <w:r w:rsidR="00FB11FC" w:rsidRPr="00177E3C">
        <w:t xml:space="preserve"> vērtībā</w:t>
      </w:r>
      <w:r>
        <w:t>.</w:t>
      </w:r>
    </w:p>
    <w:p w14:paraId="0B0DB1AF" w14:textId="77777777" w:rsidR="00FB11FC" w:rsidRPr="00177E3C" w:rsidRDefault="00FB11FC" w:rsidP="00FB11FC">
      <w:pPr>
        <w:pStyle w:val="Pamatteksts1"/>
        <w:ind w:left="284" w:firstLine="0"/>
      </w:pPr>
      <w:r w:rsidRPr="00177E3C">
        <w:t>Lielākais samazinājums ir valsts budžeta finanšu uzskaitē par:</w:t>
      </w:r>
    </w:p>
    <w:p w14:paraId="27662D3D" w14:textId="05320F5B" w:rsidR="00FB11FC" w:rsidRPr="00177E3C" w:rsidRDefault="00FB11FC" w:rsidP="002A2F6E">
      <w:pPr>
        <w:pStyle w:val="Bullets"/>
        <w:rPr>
          <w:bCs/>
        </w:rPr>
      </w:pPr>
      <w:r w:rsidRPr="002A2F6E">
        <w:t>ieņēmumiem</w:t>
      </w:r>
      <w:r w:rsidRPr="00177E3C">
        <w:t xml:space="preserve"> no Eiropas Sociālā fonda (</w:t>
      </w:r>
      <w:r w:rsidRPr="00177E3C">
        <w:rPr>
          <w:bCs/>
        </w:rPr>
        <w:t>117</w:t>
      </w:r>
      <w:r w:rsidR="00F810A4">
        <w:rPr>
          <w:bCs/>
        </w:rPr>
        <w:t>,2</w:t>
      </w:r>
      <w:r w:rsidRPr="00177E3C">
        <w:rPr>
          <w:bCs/>
        </w:rPr>
        <w:t>) </w:t>
      </w:r>
      <w:r w:rsidR="00F810A4">
        <w:rPr>
          <w:bCs/>
        </w:rPr>
        <w:t>milj.</w:t>
      </w:r>
      <w:r w:rsidR="00E24982">
        <w:rPr>
          <w:bCs/>
        </w:rPr>
        <w:t xml:space="preserve"> </w:t>
      </w:r>
      <w:r w:rsidRPr="00177E3C">
        <w:rPr>
          <w:bCs/>
          <w:i/>
        </w:rPr>
        <w:t>euro</w:t>
      </w:r>
      <w:r w:rsidRPr="00177E3C">
        <w:rPr>
          <w:bCs/>
        </w:rPr>
        <w:t xml:space="preserve"> vērtībā;</w:t>
      </w:r>
    </w:p>
    <w:p w14:paraId="259DFEC8" w14:textId="6720FA8B" w:rsidR="00FB11FC" w:rsidRPr="00177E3C" w:rsidRDefault="00FB11FC" w:rsidP="00106788">
      <w:pPr>
        <w:pStyle w:val="Bullets"/>
        <w:rPr>
          <w:bCs/>
        </w:rPr>
      </w:pPr>
      <w:r w:rsidRPr="00177E3C">
        <w:rPr>
          <w:bCs/>
        </w:rPr>
        <w:t>ieņēmum</w:t>
      </w:r>
      <w:r w:rsidR="00106788">
        <w:rPr>
          <w:bCs/>
        </w:rPr>
        <w:t>iem</w:t>
      </w:r>
      <w:r w:rsidRPr="00177E3C">
        <w:rPr>
          <w:bCs/>
        </w:rPr>
        <w:t xml:space="preserve"> no Eiropas Reģionālās attīstības fonda (103</w:t>
      </w:r>
      <w:r w:rsidR="00F810A4">
        <w:rPr>
          <w:bCs/>
        </w:rPr>
        <w:t>,1</w:t>
      </w:r>
      <w:r w:rsidRPr="00177E3C">
        <w:rPr>
          <w:bCs/>
        </w:rPr>
        <w:t>) </w:t>
      </w:r>
      <w:r w:rsidR="00F810A4">
        <w:rPr>
          <w:bCs/>
        </w:rPr>
        <w:t>milj.</w:t>
      </w:r>
      <w:r w:rsidR="00E24982">
        <w:rPr>
          <w:bCs/>
        </w:rPr>
        <w:t xml:space="preserve"> </w:t>
      </w:r>
      <w:r w:rsidRPr="00177E3C">
        <w:rPr>
          <w:bCs/>
          <w:i/>
        </w:rPr>
        <w:t>euro</w:t>
      </w:r>
      <w:r w:rsidRPr="00177E3C">
        <w:rPr>
          <w:bCs/>
        </w:rPr>
        <w:t xml:space="preserve"> vērtībā</w:t>
      </w:r>
      <w:r w:rsidR="00106788">
        <w:rPr>
          <w:bCs/>
        </w:rPr>
        <w:t>.</w:t>
      </w:r>
    </w:p>
    <w:p w14:paraId="4F288E0A" w14:textId="54B103D2" w:rsidR="00FB11FC" w:rsidRPr="00106788" w:rsidRDefault="00FB11FC" w:rsidP="00106788">
      <w:pPr>
        <w:pStyle w:val="Pamatteksts1"/>
      </w:pPr>
      <w:r w:rsidRPr="00106788">
        <w:t>Saskaņā ar ministriju, centrālo valsts iestāžu un pašvaldību sniegto informāciju (3.2.tabulā) būtiskāko citu ieņēmumu no pamatdarbības summu 8</w:t>
      </w:r>
      <w:r w:rsidR="00F810A4" w:rsidRPr="00106788">
        <w:t>,6</w:t>
      </w:r>
      <w:r w:rsidRPr="00106788">
        <w:t> </w:t>
      </w:r>
      <w:r w:rsidR="00F810A4" w:rsidRPr="00106788">
        <w:t>milj.</w:t>
      </w:r>
      <w:r w:rsidRPr="00106788">
        <w:t xml:space="preserve"> </w:t>
      </w:r>
      <w:r w:rsidRPr="00106788">
        <w:rPr>
          <w:i/>
          <w:iCs/>
        </w:rPr>
        <w:t>euro</w:t>
      </w:r>
      <w:r w:rsidRPr="00106788">
        <w:t xml:space="preserve"> veido citu budžetu līdzekļi, kas uz laiku ir iestādes glabājumā.</w:t>
      </w:r>
    </w:p>
    <w:p w14:paraId="61DDE92D" w14:textId="77777777" w:rsidR="00FB11FC" w:rsidRPr="00177E3C" w:rsidRDefault="00FB11FC" w:rsidP="00FB11FC">
      <w:pPr>
        <w:pStyle w:val="Tabulasnosaukums"/>
        <w:spacing w:before="0"/>
        <w:ind w:left="720"/>
        <w:rPr>
          <w:rFonts w:eastAsia="Arial Unicode MS"/>
          <w:color w:val="17365D"/>
          <w:szCs w:val="20"/>
        </w:rPr>
      </w:pPr>
      <w:r w:rsidRPr="00177E3C">
        <w:rPr>
          <w:rFonts w:eastAsia="Arial Unicode MS"/>
          <w:color w:val="17365D"/>
          <w:szCs w:val="20"/>
        </w:rPr>
        <w:t>3.2. tabula. NP.A19. Citi ieņēmumi no pamatdarbības (euro)</w:t>
      </w:r>
    </w:p>
    <w:tbl>
      <w:tblPr>
        <w:tblW w:w="5000" w:type="pct"/>
        <w:tblInd w:w="5" w:type="dxa"/>
        <w:tblBorders>
          <w:top w:val="single" w:sz="4" w:space="0" w:color="auto"/>
          <w:bottom w:val="single" w:sz="4" w:space="0" w:color="auto"/>
          <w:insideH w:val="single" w:sz="4" w:space="0" w:color="000000"/>
        </w:tblBorders>
        <w:tblLook w:val="04A0" w:firstRow="1" w:lastRow="0" w:firstColumn="1" w:lastColumn="0" w:noHBand="0" w:noVBand="1"/>
      </w:tblPr>
      <w:tblGrid>
        <w:gridCol w:w="6282"/>
        <w:gridCol w:w="1628"/>
        <w:gridCol w:w="1585"/>
      </w:tblGrid>
      <w:tr w:rsidR="00FB11FC" w:rsidRPr="00177E3C" w14:paraId="28B7D47D" w14:textId="77777777" w:rsidTr="009A4177">
        <w:trPr>
          <w:trHeight w:val="114"/>
        </w:trPr>
        <w:tc>
          <w:tcPr>
            <w:tcW w:w="6189" w:type="dxa"/>
            <w:tcBorders>
              <w:top w:val="nil"/>
              <w:bottom w:val="single" w:sz="4" w:space="0" w:color="17365D"/>
            </w:tcBorders>
            <w:shd w:val="clear" w:color="auto" w:fill="B8CCE4" w:themeFill="accent1" w:themeFillTint="66"/>
            <w:vAlign w:val="center"/>
            <w:hideMark/>
          </w:tcPr>
          <w:p w14:paraId="1947517F"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Darījuma apraksts</w:t>
            </w:r>
          </w:p>
        </w:tc>
        <w:tc>
          <w:tcPr>
            <w:tcW w:w="1604" w:type="dxa"/>
            <w:tcBorders>
              <w:top w:val="nil"/>
              <w:bottom w:val="single" w:sz="4" w:space="0" w:color="17365D"/>
            </w:tcBorders>
            <w:shd w:val="clear" w:color="auto" w:fill="B8CCE4" w:themeFill="accent1" w:themeFillTint="66"/>
            <w:vAlign w:val="center"/>
            <w:hideMark/>
          </w:tcPr>
          <w:p w14:paraId="600E290F"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Pārskata periodā</w:t>
            </w:r>
          </w:p>
        </w:tc>
        <w:tc>
          <w:tcPr>
            <w:tcW w:w="1561" w:type="dxa"/>
            <w:tcBorders>
              <w:top w:val="nil"/>
              <w:bottom w:val="single" w:sz="4" w:space="0" w:color="17365D"/>
            </w:tcBorders>
            <w:shd w:val="clear" w:color="auto" w:fill="B8CCE4" w:themeFill="accent1" w:themeFillTint="66"/>
          </w:tcPr>
          <w:p w14:paraId="1A4A1FEF"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Iepriekšējā pārskata periodā</w:t>
            </w:r>
          </w:p>
        </w:tc>
      </w:tr>
      <w:tr w:rsidR="00FB11FC" w:rsidRPr="00177E3C" w14:paraId="26421082" w14:textId="77777777" w:rsidTr="00C7199B">
        <w:trPr>
          <w:trHeight w:val="255"/>
        </w:trPr>
        <w:tc>
          <w:tcPr>
            <w:tcW w:w="6189" w:type="dxa"/>
            <w:tcBorders>
              <w:top w:val="single" w:sz="4" w:space="0" w:color="17365D"/>
              <w:bottom w:val="single" w:sz="4" w:space="0" w:color="17365D"/>
            </w:tcBorders>
            <w:shd w:val="clear" w:color="auto" w:fill="auto"/>
            <w:vAlign w:val="center"/>
            <w:hideMark/>
          </w:tcPr>
          <w:p w14:paraId="2F5F8FE2"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A</w:t>
            </w:r>
          </w:p>
        </w:tc>
        <w:tc>
          <w:tcPr>
            <w:tcW w:w="1604" w:type="dxa"/>
            <w:tcBorders>
              <w:top w:val="single" w:sz="4" w:space="0" w:color="17365D"/>
              <w:bottom w:val="single" w:sz="4" w:space="0" w:color="17365D"/>
            </w:tcBorders>
            <w:shd w:val="clear" w:color="auto" w:fill="auto"/>
            <w:vAlign w:val="center"/>
            <w:hideMark/>
          </w:tcPr>
          <w:p w14:paraId="001FAE18"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1</w:t>
            </w:r>
          </w:p>
        </w:tc>
        <w:tc>
          <w:tcPr>
            <w:tcW w:w="1561" w:type="dxa"/>
            <w:tcBorders>
              <w:top w:val="single" w:sz="4" w:space="0" w:color="17365D"/>
              <w:bottom w:val="single" w:sz="4" w:space="0" w:color="17365D"/>
            </w:tcBorders>
            <w:vAlign w:val="center"/>
          </w:tcPr>
          <w:p w14:paraId="5A666BCA"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2</w:t>
            </w:r>
          </w:p>
        </w:tc>
      </w:tr>
      <w:tr w:rsidR="00FB11FC" w:rsidRPr="00177E3C" w14:paraId="6FA73732" w14:textId="77777777" w:rsidTr="00C7199B">
        <w:trPr>
          <w:trHeight w:val="469"/>
        </w:trPr>
        <w:tc>
          <w:tcPr>
            <w:tcW w:w="6189" w:type="dxa"/>
            <w:tcBorders>
              <w:top w:val="single" w:sz="4" w:space="0" w:color="17365D"/>
              <w:bottom w:val="single" w:sz="4" w:space="0" w:color="17365D"/>
            </w:tcBorders>
            <w:shd w:val="clear" w:color="F2F2F2" w:fill="FFFFFF"/>
            <w:vAlign w:val="center"/>
          </w:tcPr>
          <w:p w14:paraId="4F801135" w14:textId="77777777" w:rsidR="00FB11FC" w:rsidRPr="00177E3C" w:rsidRDefault="00FB11FC" w:rsidP="00C7199B">
            <w:pPr>
              <w:spacing w:after="0" w:line="240" w:lineRule="auto"/>
              <w:rPr>
                <w:bCs/>
                <w:noProof/>
                <w:color w:val="17365D"/>
                <w:sz w:val="18"/>
                <w:szCs w:val="18"/>
                <w:lang w:eastAsia="lv-LV"/>
              </w:rPr>
            </w:pPr>
            <w:r w:rsidRPr="00177E3C">
              <w:rPr>
                <w:bCs/>
                <w:noProof/>
                <w:color w:val="17365D"/>
                <w:sz w:val="18"/>
                <w:szCs w:val="18"/>
                <w:lang w:eastAsia="lv-LV"/>
              </w:rPr>
              <w:t>Citu budžetu līdzekļi, kas uz laiku ir iestādes glabājumā (konkursa vai drošības nauda, vēlēšanu drošības nauda, sociālās aprūpes iestādēs dzīvojošo pensijas, atsavinātie līdzekļi no aizturētajām personām un ieņēmumi par mantas realizāciju no krimināllietām un administratīvo pārkāpumu lietām līdz tiesas lēmumam, ieslodzīto un citu personu personīgā nauda, drošības nauda par kasācijas sūdzību) un nav pieejami iestādei lietošanai</w:t>
            </w:r>
          </w:p>
        </w:tc>
        <w:tc>
          <w:tcPr>
            <w:tcW w:w="1604" w:type="dxa"/>
            <w:tcBorders>
              <w:top w:val="single" w:sz="4" w:space="0" w:color="17365D"/>
              <w:bottom w:val="single" w:sz="4" w:space="0" w:color="17365D"/>
            </w:tcBorders>
            <w:shd w:val="clear" w:color="F2F2F2" w:fill="FFFFFF"/>
            <w:vAlign w:val="center"/>
          </w:tcPr>
          <w:p w14:paraId="7F21111E" w14:textId="77777777" w:rsidR="00FB11FC" w:rsidRPr="00177E3C" w:rsidRDefault="00FB11FC" w:rsidP="00C7199B">
            <w:pPr>
              <w:spacing w:after="0" w:line="240" w:lineRule="auto"/>
              <w:jc w:val="right"/>
              <w:rPr>
                <w:bCs/>
                <w:noProof/>
                <w:color w:val="17365D"/>
                <w:sz w:val="18"/>
                <w:szCs w:val="18"/>
                <w:lang w:eastAsia="lv-LV"/>
              </w:rPr>
            </w:pPr>
            <w:r w:rsidRPr="00177E3C">
              <w:rPr>
                <w:bCs/>
                <w:noProof/>
                <w:color w:val="17365D"/>
                <w:sz w:val="18"/>
                <w:szCs w:val="18"/>
                <w:lang w:eastAsia="lv-LV"/>
              </w:rPr>
              <w:t>8 617 235</w:t>
            </w:r>
          </w:p>
        </w:tc>
        <w:tc>
          <w:tcPr>
            <w:tcW w:w="1561" w:type="dxa"/>
            <w:tcBorders>
              <w:top w:val="single" w:sz="4" w:space="0" w:color="17365D"/>
              <w:bottom w:val="single" w:sz="4" w:space="0" w:color="17365D"/>
            </w:tcBorders>
            <w:shd w:val="clear" w:color="F2F2F2" w:fill="FFFFFF"/>
            <w:vAlign w:val="center"/>
          </w:tcPr>
          <w:p w14:paraId="329A9732" w14:textId="77777777" w:rsidR="00FB11FC" w:rsidRPr="00177E3C" w:rsidRDefault="00FB11FC" w:rsidP="00C7199B">
            <w:pPr>
              <w:spacing w:after="0" w:line="240" w:lineRule="auto"/>
              <w:jc w:val="right"/>
              <w:rPr>
                <w:bCs/>
                <w:noProof/>
                <w:color w:val="17365D"/>
                <w:sz w:val="18"/>
                <w:szCs w:val="18"/>
                <w:lang w:eastAsia="lv-LV"/>
              </w:rPr>
            </w:pPr>
            <w:r w:rsidRPr="00177E3C">
              <w:rPr>
                <w:bCs/>
                <w:noProof/>
                <w:color w:val="17365D"/>
                <w:sz w:val="18"/>
                <w:szCs w:val="18"/>
                <w:lang w:eastAsia="lv-LV"/>
              </w:rPr>
              <w:t>9 294 195</w:t>
            </w:r>
          </w:p>
        </w:tc>
      </w:tr>
      <w:tr w:rsidR="00FB11FC" w:rsidRPr="00177E3C" w14:paraId="55B929D4" w14:textId="77777777" w:rsidTr="00C7199B">
        <w:trPr>
          <w:trHeight w:val="469"/>
        </w:trPr>
        <w:tc>
          <w:tcPr>
            <w:tcW w:w="6189" w:type="dxa"/>
            <w:tcBorders>
              <w:top w:val="single" w:sz="4" w:space="0" w:color="17365D"/>
              <w:bottom w:val="single" w:sz="4" w:space="0" w:color="17365D"/>
            </w:tcBorders>
            <w:shd w:val="clear" w:color="F2F2F2" w:fill="FFFFFF"/>
            <w:vAlign w:val="center"/>
          </w:tcPr>
          <w:p w14:paraId="7CFD77CA" w14:textId="77777777" w:rsidR="00FB11FC" w:rsidRPr="00177E3C" w:rsidRDefault="00FB11FC" w:rsidP="00C7199B">
            <w:pPr>
              <w:spacing w:after="0" w:line="240" w:lineRule="auto"/>
              <w:rPr>
                <w:bCs/>
                <w:noProof/>
                <w:color w:val="17365D"/>
                <w:sz w:val="18"/>
                <w:szCs w:val="18"/>
                <w:lang w:eastAsia="lv-LV"/>
              </w:rPr>
            </w:pPr>
            <w:r w:rsidRPr="00177E3C">
              <w:rPr>
                <w:bCs/>
                <w:noProof/>
                <w:color w:val="17365D"/>
                <w:sz w:val="18"/>
                <w:szCs w:val="18"/>
                <w:lang w:eastAsia="lv-LV"/>
              </w:rPr>
              <w:t>Valsts budžetā saņemts maksājums saskaņā ar Cesijas līgumu par valsts galvotu aizdevumu no SIA "REAP"</w:t>
            </w:r>
          </w:p>
        </w:tc>
        <w:tc>
          <w:tcPr>
            <w:tcW w:w="1604" w:type="dxa"/>
            <w:tcBorders>
              <w:top w:val="single" w:sz="4" w:space="0" w:color="17365D"/>
              <w:bottom w:val="single" w:sz="4" w:space="0" w:color="17365D"/>
            </w:tcBorders>
            <w:shd w:val="clear" w:color="F2F2F2" w:fill="FFFFFF"/>
            <w:vAlign w:val="center"/>
          </w:tcPr>
          <w:p w14:paraId="22E97FB0" w14:textId="77777777" w:rsidR="00FB11FC" w:rsidRPr="00177E3C" w:rsidRDefault="00FB11FC" w:rsidP="00C7199B">
            <w:pPr>
              <w:spacing w:after="0" w:line="240" w:lineRule="auto"/>
              <w:jc w:val="right"/>
              <w:rPr>
                <w:bCs/>
                <w:noProof/>
                <w:color w:val="17365D"/>
                <w:sz w:val="18"/>
                <w:szCs w:val="18"/>
                <w:lang w:eastAsia="lv-LV"/>
              </w:rPr>
            </w:pPr>
            <w:r w:rsidRPr="00177E3C">
              <w:rPr>
                <w:bCs/>
                <w:noProof/>
                <w:color w:val="17365D"/>
                <w:sz w:val="18"/>
                <w:szCs w:val="18"/>
                <w:lang w:eastAsia="lv-LV"/>
              </w:rPr>
              <w:t>0</w:t>
            </w:r>
          </w:p>
        </w:tc>
        <w:tc>
          <w:tcPr>
            <w:tcW w:w="1561" w:type="dxa"/>
            <w:tcBorders>
              <w:top w:val="single" w:sz="4" w:space="0" w:color="17365D"/>
              <w:bottom w:val="single" w:sz="4" w:space="0" w:color="17365D"/>
            </w:tcBorders>
            <w:shd w:val="clear" w:color="F2F2F2" w:fill="FFFFFF"/>
            <w:vAlign w:val="center"/>
          </w:tcPr>
          <w:p w14:paraId="72D44DCA" w14:textId="77777777" w:rsidR="00FB11FC" w:rsidRPr="00177E3C" w:rsidRDefault="00FB11FC" w:rsidP="00C7199B">
            <w:pPr>
              <w:spacing w:after="0" w:line="240" w:lineRule="auto"/>
              <w:jc w:val="right"/>
              <w:rPr>
                <w:bCs/>
                <w:noProof/>
                <w:color w:val="17365D"/>
                <w:sz w:val="18"/>
                <w:szCs w:val="18"/>
                <w:lang w:eastAsia="lv-LV"/>
              </w:rPr>
            </w:pPr>
            <w:r w:rsidRPr="00177E3C">
              <w:rPr>
                <w:bCs/>
                <w:noProof/>
                <w:color w:val="17365D"/>
                <w:sz w:val="18"/>
                <w:szCs w:val="18"/>
                <w:lang w:eastAsia="lv-LV"/>
              </w:rPr>
              <w:t>10 650 000</w:t>
            </w:r>
          </w:p>
        </w:tc>
      </w:tr>
      <w:tr w:rsidR="00FB11FC" w:rsidRPr="00177E3C" w14:paraId="2D0E585B" w14:textId="77777777" w:rsidTr="008B3485">
        <w:trPr>
          <w:trHeight w:val="64"/>
        </w:trPr>
        <w:tc>
          <w:tcPr>
            <w:tcW w:w="6189" w:type="dxa"/>
            <w:tcBorders>
              <w:top w:val="single" w:sz="4" w:space="0" w:color="17365D"/>
              <w:bottom w:val="single" w:sz="4" w:space="0" w:color="17365D"/>
            </w:tcBorders>
            <w:shd w:val="clear" w:color="F2F2F2" w:fill="FFFFFF"/>
            <w:vAlign w:val="center"/>
          </w:tcPr>
          <w:p w14:paraId="3B869623" w14:textId="77777777" w:rsidR="00FB11FC" w:rsidRPr="00177E3C" w:rsidRDefault="00FB11FC" w:rsidP="00C7199B">
            <w:pPr>
              <w:spacing w:after="0" w:line="240" w:lineRule="auto"/>
              <w:rPr>
                <w:bCs/>
                <w:noProof/>
                <w:color w:val="17365D"/>
                <w:sz w:val="18"/>
                <w:szCs w:val="18"/>
                <w:lang w:eastAsia="lv-LV"/>
              </w:rPr>
            </w:pPr>
            <w:r w:rsidRPr="00177E3C">
              <w:rPr>
                <w:bCs/>
                <w:noProof/>
                <w:color w:val="17365D"/>
                <w:sz w:val="18"/>
                <w:szCs w:val="18"/>
                <w:lang w:eastAsia="lv-LV"/>
              </w:rPr>
              <w:t>Citi ieņēmumi no pamatdarbības</w:t>
            </w:r>
          </w:p>
        </w:tc>
        <w:tc>
          <w:tcPr>
            <w:tcW w:w="1604" w:type="dxa"/>
            <w:tcBorders>
              <w:top w:val="single" w:sz="4" w:space="0" w:color="17365D"/>
              <w:bottom w:val="single" w:sz="4" w:space="0" w:color="17365D"/>
            </w:tcBorders>
            <w:shd w:val="clear" w:color="F2F2F2" w:fill="FFFFFF"/>
            <w:vAlign w:val="center"/>
          </w:tcPr>
          <w:p w14:paraId="353A9AAD" w14:textId="77777777" w:rsidR="00FB11FC" w:rsidRPr="00177E3C" w:rsidRDefault="00FB11FC" w:rsidP="00C7199B">
            <w:pPr>
              <w:spacing w:after="0" w:line="240" w:lineRule="auto"/>
              <w:jc w:val="right"/>
              <w:rPr>
                <w:bCs/>
                <w:noProof/>
                <w:color w:val="17365D"/>
                <w:sz w:val="18"/>
                <w:szCs w:val="18"/>
                <w:lang w:eastAsia="lv-LV"/>
              </w:rPr>
            </w:pPr>
            <w:r w:rsidRPr="00177E3C">
              <w:rPr>
                <w:bCs/>
                <w:noProof/>
                <w:color w:val="17365D"/>
                <w:sz w:val="18"/>
                <w:szCs w:val="18"/>
                <w:lang w:eastAsia="lv-LV"/>
              </w:rPr>
              <w:t>335 470</w:t>
            </w:r>
          </w:p>
        </w:tc>
        <w:tc>
          <w:tcPr>
            <w:tcW w:w="1561" w:type="dxa"/>
            <w:tcBorders>
              <w:top w:val="single" w:sz="4" w:space="0" w:color="17365D"/>
              <w:bottom w:val="single" w:sz="4" w:space="0" w:color="17365D"/>
            </w:tcBorders>
            <w:shd w:val="clear" w:color="F2F2F2" w:fill="FFFFFF"/>
            <w:vAlign w:val="center"/>
          </w:tcPr>
          <w:p w14:paraId="244CB026" w14:textId="77777777" w:rsidR="00FB11FC" w:rsidRPr="00177E3C" w:rsidRDefault="00FB11FC" w:rsidP="00C7199B">
            <w:pPr>
              <w:spacing w:after="0" w:line="240" w:lineRule="auto"/>
              <w:jc w:val="right"/>
              <w:rPr>
                <w:bCs/>
                <w:noProof/>
                <w:color w:val="17365D"/>
                <w:sz w:val="18"/>
                <w:szCs w:val="18"/>
                <w:lang w:eastAsia="lv-LV"/>
              </w:rPr>
            </w:pPr>
            <w:r w:rsidRPr="00177E3C">
              <w:rPr>
                <w:bCs/>
                <w:noProof/>
                <w:color w:val="17365D"/>
                <w:sz w:val="18"/>
                <w:szCs w:val="18"/>
                <w:lang w:eastAsia="lv-LV"/>
              </w:rPr>
              <w:t>401 163</w:t>
            </w:r>
          </w:p>
        </w:tc>
      </w:tr>
      <w:tr w:rsidR="00FB11FC" w:rsidRPr="00177E3C" w14:paraId="4A1A64AF" w14:textId="77777777" w:rsidTr="00C7199B">
        <w:trPr>
          <w:trHeight w:val="265"/>
        </w:trPr>
        <w:tc>
          <w:tcPr>
            <w:tcW w:w="6189" w:type="dxa"/>
            <w:tcBorders>
              <w:top w:val="single" w:sz="4" w:space="0" w:color="17365D"/>
              <w:bottom w:val="nil"/>
            </w:tcBorders>
            <w:shd w:val="clear" w:color="auto" w:fill="B8CCE4" w:themeFill="accent1" w:themeFillTint="66"/>
            <w:vAlign w:val="center"/>
          </w:tcPr>
          <w:p w14:paraId="1A605787" w14:textId="77777777" w:rsidR="00FB11FC" w:rsidRPr="00177E3C" w:rsidRDefault="00FB11FC" w:rsidP="00C7199B">
            <w:pPr>
              <w:spacing w:after="0" w:line="240" w:lineRule="auto"/>
              <w:rPr>
                <w:bCs/>
                <w:noProof/>
                <w:color w:val="17365D"/>
                <w:sz w:val="18"/>
                <w:szCs w:val="18"/>
                <w:lang w:eastAsia="lv-LV"/>
              </w:rPr>
            </w:pPr>
            <w:r w:rsidRPr="00177E3C">
              <w:rPr>
                <w:b/>
                <w:bCs/>
                <w:noProof/>
                <w:color w:val="17365D"/>
                <w:sz w:val="18"/>
                <w:szCs w:val="18"/>
                <w:lang w:eastAsia="lv-LV"/>
              </w:rPr>
              <w:t>Kopā</w:t>
            </w:r>
          </w:p>
        </w:tc>
        <w:tc>
          <w:tcPr>
            <w:tcW w:w="1604" w:type="dxa"/>
            <w:tcBorders>
              <w:top w:val="single" w:sz="4" w:space="0" w:color="17365D"/>
              <w:bottom w:val="nil"/>
            </w:tcBorders>
            <w:shd w:val="clear" w:color="auto" w:fill="B8CCE4" w:themeFill="accent1" w:themeFillTint="66"/>
            <w:vAlign w:val="center"/>
          </w:tcPr>
          <w:p w14:paraId="7D0A9FEB" w14:textId="77777777" w:rsidR="00FB11FC" w:rsidRPr="00177E3C" w:rsidRDefault="00FB11FC" w:rsidP="00C7199B">
            <w:pPr>
              <w:spacing w:after="0" w:line="240" w:lineRule="auto"/>
              <w:jc w:val="right"/>
              <w:rPr>
                <w:bCs/>
                <w:noProof/>
                <w:color w:val="17365D"/>
                <w:sz w:val="18"/>
                <w:szCs w:val="18"/>
                <w:lang w:eastAsia="lv-LV"/>
              </w:rPr>
            </w:pPr>
            <w:r w:rsidRPr="00177E3C">
              <w:rPr>
                <w:b/>
                <w:bCs/>
                <w:noProof/>
                <w:color w:val="17365D"/>
                <w:sz w:val="18"/>
                <w:szCs w:val="18"/>
                <w:lang w:eastAsia="lv-LV"/>
              </w:rPr>
              <w:t>8 952 705</w:t>
            </w:r>
          </w:p>
        </w:tc>
        <w:tc>
          <w:tcPr>
            <w:tcW w:w="1561" w:type="dxa"/>
            <w:tcBorders>
              <w:top w:val="single" w:sz="4" w:space="0" w:color="17365D"/>
              <w:bottom w:val="nil"/>
            </w:tcBorders>
            <w:shd w:val="clear" w:color="auto" w:fill="B8CCE4" w:themeFill="accent1" w:themeFillTint="66"/>
            <w:vAlign w:val="center"/>
          </w:tcPr>
          <w:p w14:paraId="1BA5FE53" w14:textId="77777777" w:rsidR="00FB11FC" w:rsidRPr="00177E3C" w:rsidRDefault="00FB11FC" w:rsidP="00C7199B">
            <w:pPr>
              <w:spacing w:after="0" w:line="240" w:lineRule="auto"/>
              <w:jc w:val="right"/>
              <w:rPr>
                <w:bCs/>
                <w:noProof/>
                <w:color w:val="17365D"/>
                <w:sz w:val="18"/>
                <w:szCs w:val="18"/>
                <w:lang w:eastAsia="lv-LV"/>
              </w:rPr>
            </w:pPr>
            <w:r w:rsidRPr="00177E3C">
              <w:rPr>
                <w:b/>
                <w:bCs/>
                <w:noProof/>
                <w:color w:val="17365D"/>
                <w:sz w:val="18"/>
                <w:szCs w:val="18"/>
                <w:lang w:eastAsia="lv-LV"/>
              </w:rPr>
              <w:t>20 345 358</w:t>
            </w:r>
          </w:p>
        </w:tc>
      </w:tr>
    </w:tbl>
    <w:p w14:paraId="71955FB1" w14:textId="77777777" w:rsidR="00FB11FC" w:rsidRPr="00177E3C" w:rsidRDefault="00FB11FC" w:rsidP="00FB11FC">
      <w:pPr>
        <w:pStyle w:val="Heading4"/>
      </w:pPr>
      <w:r w:rsidRPr="00177E3C">
        <w:t>Piezīme Nr. NP.A21. Atalgojums</w:t>
      </w:r>
    </w:p>
    <w:p w14:paraId="0A850C81" w14:textId="1495568B" w:rsidR="00FB11FC" w:rsidRPr="00177E3C" w:rsidRDefault="00FB11FC" w:rsidP="00FB11FC">
      <w:pPr>
        <w:pStyle w:val="Pamatteksts1"/>
        <w:ind w:left="360" w:firstLine="0"/>
        <w:rPr>
          <w:bCs/>
        </w:rPr>
      </w:pPr>
      <w:r w:rsidRPr="00177E3C">
        <w:rPr>
          <w:bCs/>
        </w:rPr>
        <w:t xml:space="preserve">Izdevumi atlīdzībai </w:t>
      </w:r>
      <w:r w:rsidR="00403C07">
        <w:rPr>
          <w:bCs/>
        </w:rPr>
        <w:t xml:space="preserve">galvenokārt </w:t>
      </w:r>
      <w:r w:rsidRPr="00177E3C">
        <w:rPr>
          <w:bCs/>
        </w:rPr>
        <w:t>ir palielinājušies:</w:t>
      </w:r>
    </w:p>
    <w:p w14:paraId="2D3D6670" w14:textId="6133CAB4" w:rsidR="00FB11FC" w:rsidRPr="00177E3C" w:rsidRDefault="00FB11FC" w:rsidP="00FB11FC">
      <w:pPr>
        <w:pStyle w:val="Pamatteksts1"/>
        <w:numPr>
          <w:ilvl w:val="0"/>
          <w:numId w:val="19"/>
        </w:numPr>
        <w:rPr>
          <w:bCs/>
        </w:rPr>
      </w:pPr>
      <w:r w:rsidRPr="00177E3C">
        <w:rPr>
          <w:bCs/>
        </w:rPr>
        <w:t xml:space="preserve">Rīgas </w:t>
      </w:r>
      <w:proofErr w:type="spellStart"/>
      <w:r w:rsidRPr="00177E3C">
        <w:rPr>
          <w:bCs/>
        </w:rPr>
        <w:t>valstspilsētai</w:t>
      </w:r>
      <w:proofErr w:type="spellEnd"/>
      <w:r w:rsidRPr="00177E3C">
        <w:rPr>
          <w:bCs/>
        </w:rPr>
        <w:t xml:space="preserve"> 57</w:t>
      </w:r>
      <w:r w:rsidR="00F810A4">
        <w:rPr>
          <w:bCs/>
        </w:rPr>
        <w:t>,8</w:t>
      </w:r>
      <w:r w:rsidRPr="00177E3C">
        <w:rPr>
          <w:bCs/>
        </w:rPr>
        <w:t> </w:t>
      </w:r>
      <w:r w:rsidR="00F810A4">
        <w:rPr>
          <w:bCs/>
        </w:rPr>
        <w:t>milj.</w:t>
      </w:r>
      <w:r w:rsidRPr="00177E3C">
        <w:rPr>
          <w:bCs/>
        </w:rPr>
        <w:t xml:space="preserve"> </w:t>
      </w:r>
      <w:r w:rsidRPr="00177E3C">
        <w:rPr>
          <w:bCs/>
          <w:i/>
        </w:rPr>
        <w:t>euro</w:t>
      </w:r>
      <w:r w:rsidRPr="00177E3C">
        <w:rPr>
          <w:bCs/>
        </w:rPr>
        <w:t xml:space="preserve"> vērtībā, kas saistīts ar minimālās algas palielinājumu </w:t>
      </w:r>
      <w:r w:rsidR="00BD49C5">
        <w:rPr>
          <w:bCs/>
        </w:rPr>
        <w:t xml:space="preserve">no 620 </w:t>
      </w:r>
      <w:r w:rsidRPr="00177E3C">
        <w:rPr>
          <w:bCs/>
        </w:rPr>
        <w:t xml:space="preserve">līdz 700 </w:t>
      </w:r>
      <w:r w:rsidRPr="00893A10">
        <w:rPr>
          <w:bCs/>
          <w:i/>
        </w:rPr>
        <w:t>euro</w:t>
      </w:r>
      <w:r w:rsidRPr="00177E3C">
        <w:rPr>
          <w:bCs/>
        </w:rPr>
        <w:t xml:space="preserve"> un ar papildu finansējumu darba samaksas izlīdzināšanai pašvaldībā strādājošajiem ar vidējo atalgojumu valstī atbilstoši Valsts un pašvaldību institūciju amatpersonu un darbinieku atlīdzības likumā noteiktajam</w:t>
      </w:r>
      <w:r w:rsidR="00106788">
        <w:rPr>
          <w:bCs/>
        </w:rPr>
        <w:t>,</w:t>
      </w:r>
      <w:r w:rsidRPr="00177E3C">
        <w:rPr>
          <w:bCs/>
        </w:rPr>
        <w:t xml:space="preserve"> </w:t>
      </w:r>
      <w:r w:rsidR="00106788">
        <w:rPr>
          <w:bCs/>
        </w:rPr>
        <w:t>k</w:t>
      </w:r>
      <w:r w:rsidRPr="00177E3C">
        <w:rPr>
          <w:bCs/>
        </w:rPr>
        <w:t>ā arī ar atalgojuma izmaiņām pedagogiem no 2024. gada 1. janvāra un Ukrainas atbalsta centra darbības nodrošināšanai;</w:t>
      </w:r>
    </w:p>
    <w:p w14:paraId="278FABA8" w14:textId="3EFA502C" w:rsidR="00FB11FC" w:rsidRPr="00177E3C" w:rsidRDefault="00FB11FC" w:rsidP="00FB11FC">
      <w:pPr>
        <w:pStyle w:val="Pamatteksts1"/>
        <w:numPr>
          <w:ilvl w:val="0"/>
          <w:numId w:val="19"/>
        </w:numPr>
        <w:rPr>
          <w:bCs/>
        </w:rPr>
      </w:pPr>
      <w:proofErr w:type="spellStart"/>
      <w:r w:rsidRPr="00177E3C">
        <w:rPr>
          <w:bCs/>
        </w:rPr>
        <w:t>Iekšlietu</w:t>
      </w:r>
      <w:proofErr w:type="spellEnd"/>
      <w:r w:rsidRPr="00177E3C">
        <w:rPr>
          <w:bCs/>
        </w:rPr>
        <w:t xml:space="preserve"> ministrijai 9</w:t>
      </w:r>
      <w:r w:rsidR="00F810A4">
        <w:rPr>
          <w:bCs/>
        </w:rPr>
        <w:t>,6</w:t>
      </w:r>
      <w:r w:rsidRPr="00177E3C">
        <w:rPr>
          <w:bCs/>
        </w:rPr>
        <w:t> </w:t>
      </w:r>
      <w:r w:rsidR="00F810A4">
        <w:rPr>
          <w:bCs/>
        </w:rPr>
        <w:t>milj.</w:t>
      </w:r>
      <w:r w:rsidRPr="00177E3C">
        <w:rPr>
          <w:bCs/>
        </w:rPr>
        <w:t xml:space="preserve"> </w:t>
      </w:r>
      <w:r w:rsidRPr="00177E3C">
        <w:rPr>
          <w:bCs/>
          <w:i/>
        </w:rPr>
        <w:t>euro</w:t>
      </w:r>
      <w:r w:rsidRPr="00177E3C">
        <w:rPr>
          <w:bCs/>
        </w:rPr>
        <w:t xml:space="preserve"> vērtībā, kas saistīts ar Valsts policijai papildus piešķirto finansējumu amatpersonām ar speciālajām dienesta pakāpēm, kas nodrošina valsts iekšējās drošības stiprināšanas pasākumu īstenošanu;</w:t>
      </w:r>
    </w:p>
    <w:p w14:paraId="4DB9251F" w14:textId="5163F450" w:rsidR="00FB11FC" w:rsidRPr="00177E3C" w:rsidRDefault="00FB11FC" w:rsidP="00FB11FC">
      <w:pPr>
        <w:pStyle w:val="Pamatteksts1"/>
        <w:numPr>
          <w:ilvl w:val="0"/>
          <w:numId w:val="19"/>
        </w:numPr>
        <w:rPr>
          <w:bCs/>
        </w:rPr>
      </w:pPr>
      <w:r w:rsidRPr="00177E3C">
        <w:rPr>
          <w:bCs/>
        </w:rPr>
        <w:lastRenderedPageBreak/>
        <w:t>Ogres novadam 11</w:t>
      </w:r>
      <w:r w:rsidR="00F810A4">
        <w:rPr>
          <w:bCs/>
        </w:rPr>
        <w:t>,9</w:t>
      </w:r>
      <w:r w:rsidRPr="00177E3C">
        <w:rPr>
          <w:bCs/>
        </w:rPr>
        <w:t xml:space="preserve"> </w:t>
      </w:r>
      <w:r w:rsidR="00F810A4">
        <w:rPr>
          <w:bCs/>
        </w:rPr>
        <w:t>milj.</w:t>
      </w:r>
      <w:r w:rsidRPr="00177E3C">
        <w:rPr>
          <w:bCs/>
        </w:rPr>
        <w:t xml:space="preserve"> </w:t>
      </w:r>
      <w:r w:rsidRPr="00177E3C">
        <w:rPr>
          <w:bCs/>
          <w:i/>
        </w:rPr>
        <w:t>euro</w:t>
      </w:r>
      <w:r w:rsidRPr="00177E3C">
        <w:rPr>
          <w:bCs/>
        </w:rPr>
        <w:t xml:space="preserve"> vērtībā saistībā ar darba algu palielinājumu sakarā ar algu palielinājumu no 2024.gada 1.marta un minimālās algas palielinājumu</w:t>
      </w:r>
      <w:r w:rsidR="00BD49C5">
        <w:rPr>
          <w:bCs/>
        </w:rPr>
        <w:t xml:space="preserve"> no 620 līdz 700 </w:t>
      </w:r>
      <w:r w:rsidR="00BD49C5" w:rsidRPr="00BD49C5">
        <w:rPr>
          <w:bCs/>
          <w:i/>
          <w:iCs/>
        </w:rPr>
        <w:t>euro</w:t>
      </w:r>
      <w:r w:rsidRPr="00177E3C">
        <w:rPr>
          <w:bCs/>
        </w:rPr>
        <w:t>;</w:t>
      </w:r>
    </w:p>
    <w:p w14:paraId="52D1EEFA" w14:textId="53324238" w:rsidR="00FB11FC" w:rsidRPr="00177E3C" w:rsidRDefault="00FB11FC" w:rsidP="00FB11FC">
      <w:pPr>
        <w:pStyle w:val="Pamatteksts1"/>
        <w:numPr>
          <w:ilvl w:val="0"/>
          <w:numId w:val="19"/>
        </w:numPr>
        <w:rPr>
          <w:bCs/>
        </w:rPr>
      </w:pPr>
      <w:r w:rsidRPr="00177E3C">
        <w:rPr>
          <w:bCs/>
        </w:rPr>
        <w:t xml:space="preserve">Jelgavas </w:t>
      </w:r>
      <w:proofErr w:type="spellStart"/>
      <w:r w:rsidRPr="00177E3C">
        <w:rPr>
          <w:bCs/>
        </w:rPr>
        <w:t>valstspilsētai</w:t>
      </w:r>
      <w:proofErr w:type="spellEnd"/>
      <w:r w:rsidRPr="00177E3C">
        <w:rPr>
          <w:bCs/>
        </w:rPr>
        <w:t xml:space="preserve"> 6</w:t>
      </w:r>
      <w:r w:rsidR="00F810A4">
        <w:rPr>
          <w:bCs/>
        </w:rPr>
        <w:t>,2</w:t>
      </w:r>
      <w:r w:rsidRPr="00177E3C">
        <w:rPr>
          <w:bCs/>
        </w:rPr>
        <w:t> </w:t>
      </w:r>
      <w:r w:rsidR="00F810A4">
        <w:rPr>
          <w:bCs/>
        </w:rPr>
        <w:t>milj.</w:t>
      </w:r>
      <w:r w:rsidRPr="00177E3C">
        <w:rPr>
          <w:bCs/>
        </w:rPr>
        <w:t xml:space="preserve"> </w:t>
      </w:r>
      <w:r w:rsidRPr="00177E3C">
        <w:rPr>
          <w:bCs/>
          <w:i/>
        </w:rPr>
        <w:t xml:space="preserve">euro </w:t>
      </w:r>
      <w:r w:rsidRPr="00177E3C">
        <w:rPr>
          <w:bCs/>
        </w:rPr>
        <w:t>vērtībā saistībā ar izdevumiem darbinieku mēnešalgām, kas skaidrojams ar valstī noteiktās minimālās darba algas paaugstināšanu</w:t>
      </w:r>
      <w:r w:rsidR="00BD49C5">
        <w:rPr>
          <w:bCs/>
        </w:rPr>
        <w:t xml:space="preserve"> no 620 līdz 700 </w:t>
      </w:r>
      <w:r w:rsidR="00BD49C5" w:rsidRPr="00BD49C5">
        <w:rPr>
          <w:bCs/>
          <w:i/>
          <w:iCs/>
        </w:rPr>
        <w:t>euro</w:t>
      </w:r>
      <w:r w:rsidRPr="00177E3C">
        <w:rPr>
          <w:bCs/>
        </w:rPr>
        <w:t xml:space="preserve">, kā arī pedagogu zemākās darba samaksas likmes paaugstināšanu, pakalpojumu nodošanas rezultātā </w:t>
      </w:r>
      <w:r w:rsidR="00403C07">
        <w:rPr>
          <w:bCs/>
        </w:rPr>
        <w:t>n</w:t>
      </w:r>
      <w:r w:rsidRPr="00177E3C">
        <w:rPr>
          <w:bCs/>
        </w:rPr>
        <w:t xml:space="preserve">evalstiskai organizācijai (NVO) </w:t>
      </w:r>
      <w:r w:rsidR="00106788">
        <w:rPr>
          <w:bCs/>
        </w:rPr>
        <w:t>–</w:t>
      </w:r>
      <w:r w:rsidRPr="00177E3C">
        <w:rPr>
          <w:bCs/>
        </w:rPr>
        <w:t xml:space="preserve"> palielinājās atbrīvoto darbinieku kompensācijas un invalīdu asistentu un bērnu invalīdu aprūpētāju skaita un izmaksu pieaugum</w:t>
      </w:r>
      <w:r w:rsidR="00106788">
        <w:rPr>
          <w:bCs/>
        </w:rPr>
        <w:t>s</w:t>
      </w:r>
      <w:r w:rsidRPr="00177E3C">
        <w:rPr>
          <w:bCs/>
        </w:rPr>
        <w:t xml:space="preserve">; </w:t>
      </w:r>
    </w:p>
    <w:p w14:paraId="5AC9C90E" w14:textId="12B4388C" w:rsidR="00FB11FC" w:rsidRPr="00177E3C" w:rsidRDefault="00FB11FC" w:rsidP="00FB11FC">
      <w:pPr>
        <w:pStyle w:val="Pamatteksts1"/>
        <w:numPr>
          <w:ilvl w:val="0"/>
          <w:numId w:val="19"/>
        </w:numPr>
        <w:rPr>
          <w:bCs/>
        </w:rPr>
      </w:pPr>
      <w:r w:rsidRPr="00177E3C">
        <w:rPr>
          <w:bCs/>
        </w:rPr>
        <w:t>Bauskas novadam 6</w:t>
      </w:r>
      <w:r w:rsidR="00F810A4">
        <w:rPr>
          <w:bCs/>
        </w:rPr>
        <w:t>,5</w:t>
      </w:r>
      <w:r w:rsidRPr="00177E3C">
        <w:rPr>
          <w:bCs/>
        </w:rPr>
        <w:t xml:space="preserve"> </w:t>
      </w:r>
      <w:r w:rsidR="00F810A4">
        <w:rPr>
          <w:bCs/>
        </w:rPr>
        <w:t>milj.</w:t>
      </w:r>
      <w:r w:rsidRPr="00177E3C">
        <w:rPr>
          <w:bCs/>
        </w:rPr>
        <w:t xml:space="preserve"> </w:t>
      </w:r>
      <w:r w:rsidRPr="00177E3C">
        <w:rPr>
          <w:bCs/>
          <w:i/>
        </w:rPr>
        <w:t>euro</w:t>
      </w:r>
      <w:r w:rsidRPr="00177E3C">
        <w:rPr>
          <w:bCs/>
        </w:rPr>
        <w:t xml:space="preserve"> vērtībā saistībā ar darbinieku mēnešalgā</w:t>
      </w:r>
      <w:r w:rsidR="00106788">
        <w:rPr>
          <w:bCs/>
        </w:rPr>
        <w:t>m</w:t>
      </w:r>
      <w:r w:rsidRPr="00177E3C">
        <w:rPr>
          <w:bCs/>
        </w:rPr>
        <w:t xml:space="preserve">, kas saistīts galvenokārt ar pedagogu minimālās algas likmes palielinājumu par 12% un vispārējās minimālās algas palielinājumu no 620 uz 700 </w:t>
      </w:r>
      <w:r w:rsidR="00893A10" w:rsidRPr="00893A10">
        <w:rPr>
          <w:bCs/>
          <w:i/>
        </w:rPr>
        <w:t>euro</w:t>
      </w:r>
      <w:r w:rsidRPr="00177E3C">
        <w:rPr>
          <w:bCs/>
        </w:rPr>
        <w:t>.</w:t>
      </w:r>
    </w:p>
    <w:p w14:paraId="0A330EEE" w14:textId="080A8F75" w:rsidR="00FB11FC" w:rsidRPr="00177E3C" w:rsidRDefault="00FB11FC" w:rsidP="00FB11FC">
      <w:pPr>
        <w:pStyle w:val="Heading4"/>
        <w:rPr>
          <w:b w:val="0"/>
          <w:bCs w:val="0"/>
          <w:i w:val="0"/>
          <w:iCs w:val="0"/>
        </w:rPr>
      </w:pPr>
      <w:r w:rsidRPr="00177E3C">
        <w:t>Piezīme Nr. NP.A22. Darba devēja valsts sociālās apdrošināšanas obligātās iemaksas, pabalsti un kompensācijas</w:t>
      </w:r>
    </w:p>
    <w:p w14:paraId="63D08911" w14:textId="1B2C5547" w:rsidR="00FB11FC" w:rsidRPr="00177E3C" w:rsidRDefault="00403C07" w:rsidP="00FB11FC">
      <w:pPr>
        <w:pStyle w:val="Pamatteksts1"/>
        <w:ind w:left="284" w:firstLine="0"/>
        <w:rPr>
          <w:bCs/>
        </w:rPr>
      </w:pPr>
      <w:r>
        <w:rPr>
          <w:bCs/>
        </w:rPr>
        <w:t>Būtiskāk</w:t>
      </w:r>
      <w:r w:rsidR="003A5AEB">
        <w:rPr>
          <w:bCs/>
        </w:rPr>
        <w:t>ās izmaiņas</w:t>
      </w:r>
      <w:r>
        <w:rPr>
          <w:bCs/>
        </w:rPr>
        <w:t xml:space="preserve"> </w:t>
      </w:r>
      <w:r w:rsidR="00FB11FC" w:rsidRPr="00177E3C">
        <w:rPr>
          <w:bCs/>
        </w:rPr>
        <w:t>šajā postenī veido:</w:t>
      </w:r>
    </w:p>
    <w:p w14:paraId="52272B63" w14:textId="516B1420" w:rsidR="00FB11FC" w:rsidRPr="00177E3C" w:rsidRDefault="00FB11FC" w:rsidP="00106788">
      <w:pPr>
        <w:pStyle w:val="Bullets"/>
      </w:pPr>
      <w:r w:rsidRPr="00177E3C">
        <w:t xml:space="preserve">Labklājības ministrijai </w:t>
      </w:r>
      <w:r w:rsidR="003A5AEB">
        <w:t>74,8</w:t>
      </w:r>
      <w:r w:rsidRPr="00177E3C">
        <w:t xml:space="preserve"> </w:t>
      </w:r>
      <w:r w:rsidR="00F810A4">
        <w:t>milj.</w:t>
      </w:r>
      <w:r w:rsidRPr="00177E3C">
        <w:t xml:space="preserve"> </w:t>
      </w:r>
      <w:proofErr w:type="spellStart"/>
      <w:r w:rsidRPr="00893A10">
        <w:rPr>
          <w:i/>
        </w:rPr>
        <w:t>euro</w:t>
      </w:r>
      <w:proofErr w:type="spellEnd"/>
      <w:r w:rsidRPr="00177E3C">
        <w:t xml:space="preserve"> vērtībā, </w:t>
      </w:r>
      <w:r w:rsidR="005778B4">
        <w:t xml:space="preserve">tai skaitā </w:t>
      </w:r>
      <w:r w:rsidRPr="00177E3C">
        <w:t>par uzkrātā fondētā pensijas kapitāla maksājumiem mantiniekiem saskaņā ar Civillikumu 2</w:t>
      </w:r>
      <w:r w:rsidR="00F810A4">
        <w:t>,6</w:t>
      </w:r>
      <w:r w:rsidRPr="00177E3C">
        <w:t xml:space="preserve"> </w:t>
      </w:r>
      <w:r w:rsidR="00F810A4">
        <w:t>milj.</w:t>
      </w:r>
      <w:r w:rsidR="00F810A4" w:rsidRPr="00F810A4">
        <w:rPr>
          <w:i/>
        </w:rPr>
        <w:t xml:space="preserve"> </w:t>
      </w:r>
      <w:r w:rsidR="00F810A4" w:rsidRPr="00177E3C">
        <w:rPr>
          <w:i/>
        </w:rPr>
        <w:t>euro</w:t>
      </w:r>
      <w:r w:rsidR="00F810A4" w:rsidRPr="00177E3C">
        <w:t xml:space="preserve"> vērtībā</w:t>
      </w:r>
      <w:r w:rsidRPr="00177E3C">
        <w:t xml:space="preserve">,  par ieguldītajām iemaksām un </w:t>
      </w:r>
      <w:proofErr w:type="spellStart"/>
      <w:r w:rsidRPr="00177E3C">
        <w:t>fondētās</w:t>
      </w:r>
      <w:proofErr w:type="spellEnd"/>
      <w:r w:rsidRPr="00177E3C">
        <w:t xml:space="preserve"> pensijas kapitāla daļas</w:t>
      </w:r>
      <w:r w:rsidR="005778B4">
        <w:t xml:space="preserve"> ieguldījumu</w:t>
      </w:r>
      <w:r w:rsidRPr="00177E3C">
        <w:t xml:space="preserve"> sakarā ar dalībnieka nāvi valsts </w:t>
      </w:r>
      <w:proofErr w:type="spellStart"/>
      <w:r w:rsidRPr="00177E3C">
        <w:t>fondēto</w:t>
      </w:r>
      <w:proofErr w:type="spellEnd"/>
      <w:r w:rsidRPr="00177E3C">
        <w:t xml:space="preserve"> pensiju shēmā 71</w:t>
      </w:r>
      <w:r w:rsidR="00F810A4">
        <w:t>,2</w:t>
      </w:r>
      <w:r w:rsidRPr="00177E3C">
        <w:t xml:space="preserve"> </w:t>
      </w:r>
      <w:r w:rsidR="00F810A4">
        <w:t>milj.</w:t>
      </w:r>
      <w:r w:rsidR="00F810A4" w:rsidRPr="00F810A4">
        <w:rPr>
          <w:i/>
        </w:rPr>
        <w:t xml:space="preserve"> </w:t>
      </w:r>
      <w:r w:rsidR="00F810A4" w:rsidRPr="00177E3C">
        <w:rPr>
          <w:i/>
        </w:rPr>
        <w:t>euro</w:t>
      </w:r>
      <w:r w:rsidR="00F810A4" w:rsidRPr="00177E3C">
        <w:t xml:space="preserve"> vērtībā</w:t>
      </w:r>
      <w:r w:rsidRPr="00177E3C">
        <w:t>;</w:t>
      </w:r>
    </w:p>
    <w:p w14:paraId="43B8697A" w14:textId="673D8E60" w:rsidR="00FB11FC" w:rsidRPr="00177E3C" w:rsidRDefault="00FB11FC" w:rsidP="00106788">
      <w:pPr>
        <w:pStyle w:val="Bullets"/>
      </w:pPr>
      <w:proofErr w:type="spellStart"/>
      <w:r w:rsidRPr="00177E3C">
        <w:t>Iekšlietu</w:t>
      </w:r>
      <w:proofErr w:type="spellEnd"/>
      <w:r w:rsidRPr="00177E3C">
        <w:t xml:space="preserve"> ministrijai 42</w:t>
      </w:r>
      <w:r w:rsidR="00F810A4">
        <w:t>,5</w:t>
      </w:r>
      <w:r w:rsidRPr="00177E3C">
        <w:t> </w:t>
      </w:r>
      <w:r w:rsidR="00F810A4">
        <w:t>milj.</w:t>
      </w:r>
      <w:r w:rsidRPr="00177E3C">
        <w:t xml:space="preserve"> </w:t>
      </w:r>
      <w:r w:rsidRPr="00177E3C">
        <w:rPr>
          <w:i/>
        </w:rPr>
        <w:t>euro</w:t>
      </w:r>
      <w:r w:rsidRPr="00177E3C">
        <w:t xml:space="preserve"> vērtībā, izdevumu palielinājums, t.sk. prioritārajā pasākumā </w:t>
      </w:r>
      <w:r w:rsidR="00BD49C5">
        <w:t>“</w:t>
      </w:r>
      <w:r w:rsidRPr="00177E3C">
        <w:t xml:space="preserve">Atlīdzība </w:t>
      </w:r>
      <w:proofErr w:type="spellStart"/>
      <w:r w:rsidRPr="00177E3C">
        <w:t>Iekšlietu</w:t>
      </w:r>
      <w:proofErr w:type="spellEnd"/>
      <w:r w:rsidRPr="00177E3C">
        <w:t xml:space="preserve"> ministrijas un Tieslietu ministrijas institūcijās nodarbinātajiem</w:t>
      </w:r>
      <w:r w:rsidR="00BD49C5">
        <w:t>”</w:t>
      </w:r>
      <w:r w:rsidR="00BD49C5" w:rsidRPr="00177E3C">
        <w:t xml:space="preserve">, </w:t>
      </w:r>
      <w:r w:rsidRPr="00177E3C">
        <w:t>veselības izdevumu kompensāciju izmaksai, atlaišanas (atvaļināšanas) pabalsta izmaksai, veselības apdrošināšanas polisēm 11</w:t>
      </w:r>
      <w:r w:rsidR="00F810A4">
        <w:t>,2</w:t>
      </w:r>
      <w:r w:rsidRPr="00177E3C">
        <w:t xml:space="preserve"> </w:t>
      </w:r>
      <w:r w:rsidR="00F810A4">
        <w:t>milj.</w:t>
      </w:r>
      <w:r w:rsidRPr="00177E3C">
        <w:t xml:space="preserve"> </w:t>
      </w:r>
      <w:r w:rsidRPr="00893A10">
        <w:rPr>
          <w:i/>
        </w:rPr>
        <w:t>euro</w:t>
      </w:r>
      <w:r w:rsidRPr="00177E3C">
        <w:t>, amatpersonām ar speciālajām dienesta pakāpēm sakarā ar pabalsta pēc katriem pieciem nepārtrauktas izdienas gadiem pārrēķināšanu 31</w:t>
      </w:r>
      <w:r w:rsidR="00F810A4">
        <w:t>,3</w:t>
      </w:r>
      <w:r w:rsidRPr="00177E3C">
        <w:t xml:space="preserve"> </w:t>
      </w:r>
      <w:r w:rsidRPr="00893A10">
        <w:rPr>
          <w:i/>
        </w:rPr>
        <w:t>euro</w:t>
      </w:r>
      <w:r w:rsidRPr="00177E3C">
        <w:t>;</w:t>
      </w:r>
    </w:p>
    <w:p w14:paraId="14B35879" w14:textId="6C060D4D" w:rsidR="00FB11FC" w:rsidRPr="00177E3C" w:rsidRDefault="00FB11FC" w:rsidP="00106788">
      <w:pPr>
        <w:pStyle w:val="Bullets"/>
      </w:pPr>
      <w:r w:rsidRPr="00177E3C">
        <w:t>Aizsardzības ministrijai 15</w:t>
      </w:r>
      <w:r w:rsidR="00F810A4">
        <w:t>,9</w:t>
      </w:r>
      <w:r w:rsidRPr="00177E3C">
        <w:t> </w:t>
      </w:r>
      <w:r w:rsidR="00F810A4">
        <w:t>milj.</w:t>
      </w:r>
      <w:r w:rsidRPr="00177E3C">
        <w:t xml:space="preserve"> </w:t>
      </w:r>
      <w:r w:rsidRPr="00177E3C">
        <w:rPr>
          <w:i/>
        </w:rPr>
        <w:t>euro</w:t>
      </w:r>
      <w:r w:rsidRPr="00177E3C">
        <w:t xml:space="preserve"> vērtībā par izdevum</w:t>
      </w:r>
      <w:r w:rsidR="00106788">
        <w:t xml:space="preserve">iem </w:t>
      </w:r>
      <w:r w:rsidRPr="00177E3C">
        <w:t xml:space="preserve">darba devēja pabalstiem, kompensācijām un citiem maksājumiem saistībā ar minimālās mēneša darba algas palielināšanu no 620 </w:t>
      </w:r>
      <w:r w:rsidRPr="00893A10">
        <w:rPr>
          <w:i/>
        </w:rPr>
        <w:t>euro</w:t>
      </w:r>
      <w:r w:rsidRPr="00177E3C">
        <w:t xml:space="preserve"> uz 700 </w:t>
      </w:r>
      <w:r w:rsidRPr="00893A10">
        <w:rPr>
          <w:i/>
        </w:rPr>
        <w:t>euro</w:t>
      </w:r>
      <w:r w:rsidRPr="00177E3C">
        <w:t>, ka arī  izmaiņas  pārdalot finansējumu nodrošinājuma reformas III kārtas ietvaros pārņemto funkciju nodrošināšanai un tehnisko specifikāciju departamenta izveidei;</w:t>
      </w:r>
    </w:p>
    <w:p w14:paraId="3F55C3B1" w14:textId="453DA24B" w:rsidR="00FB11FC" w:rsidRPr="00177E3C" w:rsidRDefault="00FB11FC" w:rsidP="00106788">
      <w:pPr>
        <w:pStyle w:val="Bullets"/>
      </w:pPr>
      <w:r w:rsidRPr="00177E3C">
        <w:t xml:space="preserve">Rīgas </w:t>
      </w:r>
      <w:proofErr w:type="spellStart"/>
      <w:r w:rsidRPr="00177E3C">
        <w:t>valst</w:t>
      </w:r>
      <w:r w:rsidR="0044279F">
        <w:t>s</w:t>
      </w:r>
      <w:r w:rsidRPr="00177E3C">
        <w:t>pilsētai</w:t>
      </w:r>
      <w:proofErr w:type="spellEnd"/>
      <w:r w:rsidRPr="00177E3C">
        <w:t xml:space="preserve"> 1</w:t>
      </w:r>
      <w:r w:rsidR="00F810A4">
        <w:t>5,0</w:t>
      </w:r>
      <w:r w:rsidRPr="00177E3C">
        <w:t> </w:t>
      </w:r>
      <w:r w:rsidR="00F810A4">
        <w:t>milj.</w:t>
      </w:r>
      <w:r w:rsidRPr="00177E3C">
        <w:t xml:space="preserve"> </w:t>
      </w:r>
      <w:r w:rsidRPr="00177E3C">
        <w:rPr>
          <w:i/>
        </w:rPr>
        <w:t>euro</w:t>
      </w:r>
      <w:r w:rsidRPr="00177E3C">
        <w:t xml:space="preserve"> vērtībā izdevumi darba devēja valsts sociālās apdrošināšanas obligātajām iemaksām, </w:t>
      </w:r>
      <w:r w:rsidR="00403C07" w:rsidRPr="00177E3C">
        <w:t>pabal</w:t>
      </w:r>
      <w:r w:rsidR="00403C07">
        <w:t>stiem</w:t>
      </w:r>
      <w:r w:rsidR="00403C07" w:rsidRPr="00177E3C">
        <w:t xml:space="preserve"> </w:t>
      </w:r>
      <w:r w:rsidRPr="00177E3C">
        <w:t xml:space="preserve">un kompensācijām, kas saistīts ar minimālās algas palielinājumu līdz 700 </w:t>
      </w:r>
      <w:r w:rsidRPr="00C0032E">
        <w:rPr>
          <w:i/>
          <w:iCs/>
        </w:rPr>
        <w:t>euro</w:t>
      </w:r>
      <w:r w:rsidRPr="00177E3C">
        <w:t xml:space="preserve"> un ar papildu finansējumu darba samaksas izlīdzināšanai pašvaldībā strādājošajiem ar vidējo atalgojumu valstī, atbilstoši Valsts un pašvaldību institūciju amatpersonu un darbinieku atlīdzības likumā noteiktajam, kā arī ar atalgojuma izmaiņām pedagogiem no 2024. gada 1. janvāra un Ukrainas atbalsta centra darbības nodrošināšanai</w:t>
      </w:r>
      <w:r w:rsidR="00C0032E">
        <w:t>.</w:t>
      </w:r>
    </w:p>
    <w:p w14:paraId="00509ABD" w14:textId="63AD26FC" w:rsidR="00C0032E" w:rsidRDefault="00FB11FC" w:rsidP="00FB11FC">
      <w:pPr>
        <w:pStyle w:val="Pamatteksts1"/>
        <w:rPr>
          <w:bCs/>
        </w:rPr>
      </w:pPr>
      <w:r w:rsidRPr="00177E3C">
        <w:rPr>
          <w:bCs/>
        </w:rPr>
        <w:t>Būtiskāko citu izdevumu no pamatdarbības summu 1</w:t>
      </w:r>
      <w:r w:rsidR="00F810A4">
        <w:rPr>
          <w:bCs/>
        </w:rPr>
        <w:t>,1</w:t>
      </w:r>
      <w:r w:rsidRPr="00177E3C">
        <w:rPr>
          <w:bCs/>
        </w:rPr>
        <w:t> </w:t>
      </w:r>
      <w:r w:rsidR="00F810A4">
        <w:rPr>
          <w:bCs/>
        </w:rPr>
        <w:t>milj.</w:t>
      </w:r>
      <w:r w:rsidRPr="00177E3C">
        <w:rPr>
          <w:bCs/>
        </w:rPr>
        <w:t xml:space="preserve"> </w:t>
      </w:r>
      <w:r w:rsidRPr="00177E3C">
        <w:rPr>
          <w:bCs/>
          <w:i/>
        </w:rPr>
        <w:t>euro</w:t>
      </w:r>
      <w:r w:rsidRPr="00177E3C">
        <w:rPr>
          <w:bCs/>
        </w:rPr>
        <w:t xml:space="preserve"> vērtībā veido izdevumi ieguldījuma īpašumu izveidošanai un nepabeigtajai būvniecībai (3.3.tabula).</w:t>
      </w:r>
    </w:p>
    <w:p w14:paraId="4ABB5159" w14:textId="77777777" w:rsidR="00FB11FC" w:rsidRPr="00177E3C" w:rsidRDefault="00FB11FC" w:rsidP="00FB11FC">
      <w:pPr>
        <w:pStyle w:val="Tabulasnosaukums"/>
        <w:spacing w:before="0"/>
        <w:rPr>
          <w:rFonts w:eastAsia="Arial Unicode MS"/>
          <w:color w:val="17365D"/>
          <w:szCs w:val="20"/>
        </w:rPr>
      </w:pPr>
      <w:r w:rsidRPr="00177E3C">
        <w:rPr>
          <w:rFonts w:eastAsia="Arial Unicode MS"/>
          <w:color w:val="17365D"/>
          <w:szCs w:val="20"/>
        </w:rPr>
        <w:t>3.3. tabula. NP.A33. Citi izdevumi no pamatdarbības (euro)</w:t>
      </w:r>
    </w:p>
    <w:tbl>
      <w:tblPr>
        <w:tblW w:w="4974" w:type="pct"/>
        <w:tblInd w:w="5" w:type="dxa"/>
        <w:tblBorders>
          <w:top w:val="single" w:sz="4" w:space="0" w:color="auto"/>
          <w:bottom w:val="single" w:sz="4" w:space="0" w:color="auto"/>
          <w:insideH w:val="single" w:sz="4" w:space="0" w:color="000000"/>
        </w:tblBorders>
        <w:tblLook w:val="04A0" w:firstRow="1" w:lastRow="0" w:firstColumn="1" w:lastColumn="0" w:noHBand="0" w:noVBand="1"/>
      </w:tblPr>
      <w:tblGrid>
        <w:gridCol w:w="6233"/>
        <w:gridCol w:w="1628"/>
        <w:gridCol w:w="1585"/>
      </w:tblGrid>
      <w:tr w:rsidR="00FB11FC" w:rsidRPr="00177E3C" w14:paraId="290D3DB8" w14:textId="77777777" w:rsidTr="009A4177">
        <w:trPr>
          <w:trHeight w:val="74"/>
        </w:trPr>
        <w:tc>
          <w:tcPr>
            <w:tcW w:w="6233" w:type="dxa"/>
            <w:tcBorders>
              <w:top w:val="nil"/>
              <w:bottom w:val="single" w:sz="4" w:space="0" w:color="17365D"/>
            </w:tcBorders>
            <w:shd w:val="clear" w:color="auto" w:fill="B8CCE4" w:themeFill="accent1" w:themeFillTint="66"/>
            <w:vAlign w:val="center"/>
            <w:hideMark/>
          </w:tcPr>
          <w:p w14:paraId="0F2CAF02"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Darījuma apraksts</w:t>
            </w:r>
          </w:p>
        </w:tc>
        <w:tc>
          <w:tcPr>
            <w:tcW w:w="1628" w:type="dxa"/>
            <w:tcBorders>
              <w:top w:val="nil"/>
              <w:bottom w:val="single" w:sz="4" w:space="0" w:color="17365D"/>
            </w:tcBorders>
            <w:shd w:val="clear" w:color="auto" w:fill="B8CCE4" w:themeFill="accent1" w:themeFillTint="66"/>
            <w:vAlign w:val="center"/>
            <w:hideMark/>
          </w:tcPr>
          <w:p w14:paraId="404293E1"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Pārskata periodā</w:t>
            </w:r>
          </w:p>
        </w:tc>
        <w:tc>
          <w:tcPr>
            <w:tcW w:w="1585" w:type="dxa"/>
            <w:tcBorders>
              <w:top w:val="nil"/>
              <w:bottom w:val="single" w:sz="4" w:space="0" w:color="17365D"/>
            </w:tcBorders>
            <w:shd w:val="clear" w:color="auto" w:fill="B8CCE4" w:themeFill="accent1" w:themeFillTint="66"/>
          </w:tcPr>
          <w:p w14:paraId="552FE266"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Iepriekšējā pārskata periodā</w:t>
            </w:r>
          </w:p>
        </w:tc>
      </w:tr>
      <w:tr w:rsidR="00FB11FC" w:rsidRPr="00177E3C" w14:paraId="47AC69CA" w14:textId="77777777" w:rsidTr="00F20528">
        <w:trPr>
          <w:trHeight w:val="255"/>
        </w:trPr>
        <w:tc>
          <w:tcPr>
            <w:tcW w:w="6233" w:type="dxa"/>
            <w:tcBorders>
              <w:top w:val="single" w:sz="4" w:space="0" w:color="17365D"/>
              <w:bottom w:val="single" w:sz="4" w:space="0" w:color="17365D"/>
            </w:tcBorders>
            <w:shd w:val="clear" w:color="auto" w:fill="auto"/>
            <w:vAlign w:val="center"/>
            <w:hideMark/>
          </w:tcPr>
          <w:p w14:paraId="7C058D70"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A</w:t>
            </w:r>
          </w:p>
        </w:tc>
        <w:tc>
          <w:tcPr>
            <w:tcW w:w="1628" w:type="dxa"/>
            <w:tcBorders>
              <w:top w:val="single" w:sz="4" w:space="0" w:color="17365D"/>
              <w:bottom w:val="single" w:sz="4" w:space="0" w:color="17365D"/>
            </w:tcBorders>
            <w:shd w:val="clear" w:color="auto" w:fill="auto"/>
            <w:vAlign w:val="center"/>
            <w:hideMark/>
          </w:tcPr>
          <w:p w14:paraId="7C0FFA78"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1</w:t>
            </w:r>
          </w:p>
        </w:tc>
        <w:tc>
          <w:tcPr>
            <w:tcW w:w="1585" w:type="dxa"/>
            <w:tcBorders>
              <w:top w:val="single" w:sz="4" w:space="0" w:color="17365D"/>
              <w:bottom w:val="single" w:sz="4" w:space="0" w:color="17365D"/>
            </w:tcBorders>
          </w:tcPr>
          <w:p w14:paraId="0C08C64F" w14:textId="77777777" w:rsidR="00FB11FC" w:rsidRPr="00177E3C" w:rsidRDefault="00FB11FC" w:rsidP="00C7199B">
            <w:pPr>
              <w:spacing w:after="0" w:line="240" w:lineRule="auto"/>
              <w:jc w:val="center"/>
              <w:rPr>
                <w:b/>
                <w:bCs/>
                <w:noProof/>
                <w:color w:val="17365D"/>
                <w:sz w:val="18"/>
                <w:szCs w:val="18"/>
                <w:lang w:eastAsia="lv-LV"/>
              </w:rPr>
            </w:pPr>
            <w:r w:rsidRPr="00177E3C">
              <w:rPr>
                <w:b/>
                <w:bCs/>
                <w:noProof/>
                <w:color w:val="17365D"/>
                <w:sz w:val="18"/>
                <w:szCs w:val="18"/>
                <w:lang w:eastAsia="lv-LV"/>
              </w:rPr>
              <w:t>2</w:t>
            </w:r>
          </w:p>
        </w:tc>
      </w:tr>
      <w:tr w:rsidR="00FB11FC" w:rsidRPr="00177E3C" w14:paraId="63FAFF96" w14:textId="77777777" w:rsidTr="00F20528">
        <w:trPr>
          <w:trHeight w:val="116"/>
        </w:trPr>
        <w:tc>
          <w:tcPr>
            <w:tcW w:w="6233" w:type="dxa"/>
            <w:tcBorders>
              <w:top w:val="single" w:sz="4" w:space="0" w:color="17365D"/>
              <w:bottom w:val="single" w:sz="4" w:space="0" w:color="17365D"/>
            </w:tcBorders>
            <w:shd w:val="clear" w:color="F2F2F2" w:fill="FFFFFF"/>
            <w:vAlign w:val="center"/>
          </w:tcPr>
          <w:p w14:paraId="3C6340DA" w14:textId="77777777" w:rsidR="00FB11FC" w:rsidRPr="00177E3C" w:rsidRDefault="00FB11FC" w:rsidP="00C7199B">
            <w:pPr>
              <w:spacing w:after="0" w:line="240" w:lineRule="auto"/>
              <w:rPr>
                <w:bCs/>
                <w:noProof/>
                <w:color w:val="17365D"/>
                <w:sz w:val="18"/>
                <w:szCs w:val="18"/>
                <w:lang w:eastAsia="lv-LV"/>
              </w:rPr>
            </w:pPr>
            <w:r w:rsidRPr="00177E3C">
              <w:rPr>
                <w:bCs/>
                <w:noProof/>
                <w:color w:val="17365D"/>
                <w:sz w:val="18"/>
                <w:szCs w:val="18"/>
                <w:lang w:eastAsia="lv-LV"/>
              </w:rPr>
              <w:t>Ieguldījuma īpašumu iegāde un avansa maksājumi par ieguldījumu īpašumiem</w:t>
            </w:r>
          </w:p>
        </w:tc>
        <w:tc>
          <w:tcPr>
            <w:tcW w:w="1628" w:type="dxa"/>
            <w:tcBorders>
              <w:top w:val="single" w:sz="4" w:space="0" w:color="17365D"/>
              <w:bottom w:val="single" w:sz="4" w:space="0" w:color="17365D"/>
            </w:tcBorders>
            <w:shd w:val="clear" w:color="F2F2F2" w:fill="FFFFFF"/>
            <w:vAlign w:val="center"/>
          </w:tcPr>
          <w:p w14:paraId="46BBB633" w14:textId="77777777" w:rsidR="00FB11FC" w:rsidRPr="00177E3C" w:rsidRDefault="00FB11FC" w:rsidP="00C7199B">
            <w:pPr>
              <w:spacing w:after="0" w:line="240" w:lineRule="auto"/>
              <w:ind w:right="119"/>
              <w:jc w:val="right"/>
              <w:rPr>
                <w:bCs/>
                <w:noProof/>
                <w:color w:val="17365D"/>
                <w:sz w:val="18"/>
                <w:szCs w:val="18"/>
                <w:lang w:eastAsia="lv-LV"/>
              </w:rPr>
            </w:pPr>
            <w:r w:rsidRPr="00177E3C">
              <w:rPr>
                <w:bCs/>
                <w:noProof/>
                <w:color w:val="17365D"/>
                <w:sz w:val="18"/>
                <w:szCs w:val="18"/>
                <w:lang w:eastAsia="lv-LV"/>
              </w:rPr>
              <w:t>179 579</w:t>
            </w:r>
          </w:p>
        </w:tc>
        <w:tc>
          <w:tcPr>
            <w:tcW w:w="1585" w:type="dxa"/>
            <w:tcBorders>
              <w:top w:val="single" w:sz="4" w:space="0" w:color="17365D"/>
              <w:bottom w:val="single" w:sz="4" w:space="0" w:color="17365D"/>
            </w:tcBorders>
            <w:shd w:val="clear" w:color="F2F2F2" w:fill="FFFFFF"/>
            <w:vAlign w:val="center"/>
          </w:tcPr>
          <w:p w14:paraId="2A49958D" w14:textId="77777777" w:rsidR="00FB11FC" w:rsidRPr="00177E3C" w:rsidRDefault="00FB11FC" w:rsidP="00C7199B">
            <w:pPr>
              <w:spacing w:after="0" w:line="240" w:lineRule="auto"/>
              <w:ind w:right="119"/>
              <w:jc w:val="right"/>
              <w:rPr>
                <w:bCs/>
                <w:noProof/>
                <w:color w:val="17365D"/>
                <w:sz w:val="18"/>
                <w:szCs w:val="18"/>
                <w:lang w:eastAsia="lv-LV"/>
              </w:rPr>
            </w:pPr>
            <w:r w:rsidRPr="00177E3C">
              <w:rPr>
                <w:bCs/>
                <w:noProof/>
                <w:color w:val="17365D"/>
                <w:sz w:val="18"/>
                <w:szCs w:val="18"/>
                <w:lang w:eastAsia="lv-LV"/>
              </w:rPr>
              <w:t>138 756</w:t>
            </w:r>
          </w:p>
        </w:tc>
      </w:tr>
      <w:tr w:rsidR="00FB11FC" w:rsidRPr="00177E3C" w14:paraId="7BE0F78A" w14:textId="77777777" w:rsidTr="00F20528">
        <w:trPr>
          <w:trHeight w:val="257"/>
        </w:trPr>
        <w:tc>
          <w:tcPr>
            <w:tcW w:w="6233" w:type="dxa"/>
            <w:tcBorders>
              <w:top w:val="single" w:sz="4" w:space="0" w:color="17365D"/>
              <w:bottom w:val="single" w:sz="4" w:space="0" w:color="17365D"/>
            </w:tcBorders>
            <w:shd w:val="clear" w:color="F2F2F2" w:fill="FFFFFF"/>
            <w:vAlign w:val="center"/>
          </w:tcPr>
          <w:p w14:paraId="2F2C14A1" w14:textId="77777777" w:rsidR="00FB11FC" w:rsidRPr="00177E3C" w:rsidRDefault="00FB11FC" w:rsidP="00C7199B">
            <w:pPr>
              <w:spacing w:after="0" w:line="240" w:lineRule="auto"/>
              <w:rPr>
                <w:bCs/>
                <w:noProof/>
                <w:color w:val="17365D"/>
                <w:sz w:val="18"/>
                <w:szCs w:val="18"/>
                <w:lang w:eastAsia="lv-LV"/>
              </w:rPr>
            </w:pPr>
            <w:r w:rsidRPr="00177E3C">
              <w:rPr>
                <w:bCs/>
                <w:noProof/>
                <w:color w:val="17365D"/>
                <w:sz w:val="18"/>
                <w:szCs w:val="18"/>
                <w:lang w:eastAsia="lv-LV"/>
              </w:rPr>
              <w:t>Ieguldījuma īpašumu izveidošana un nepabeigtā būvniecība</w:t>
            </w:r>
          </w:p>
        </w:tc>
        <w:tc>
          <w:tcPr>
            <w:tcW w:w="1628" w:type="dxa"/>
            <w:tcBorders>
              <w:top w:val="single" w:sz="4" w:space="0" w:color="17365D"/>
              <w:bottom w:val="single" w:sz="4" w:space="0" w:color="17365D"/>
            </w:tcBorders>
            <w:shd w:val="clear" w:color="F2F2F2" w:fill="FFFFFF"/>
            <w:vAlign w:val="center"/>
          </w:tcPr>
          <w:p w14:paraId="492036FC" w14:textId="2F4CFFB4" w:rsidR="00FB11FC" w:rsidRPr="00177E3C" w:rsidRDefault="00C0032E" w:rsidP="00C7199B">
            <w:pPr>
              <w:spacing w:after="0" w:line="240" w:lineRule="auto"/>
              <w:ind w:right="119"/>
              <w:jc w:val="right"/>
              <w:rPr>
                <w:bCs/>
                <w:noProof/>
                <w:color w:val="17365D"/>
                <w:sz w:val="18"/>
                <w:szCs w:val="18"/>
                <w:lang w:eastAsia="lv-LV"/>
              </w:rPr>
            </w:pPr>
            <w:r>
              <w:rPr>
                <w:bCs/>
                <w:noProof/>
                <w:color w:val="17365D"/>
                <w:sz w:val="18"/>
                <w:szCs w:val="18"/>
                <w:lang w:eastAsia="lv-LV"/>
              </w:rPr>
              <w:t>0</w:t>
            </w:r>
          </w:p>
        </w:tc>
        <w:tc>
          <w:tcPr>
            <w:tcW w:w="1585" w:type="dxa"/>
            <w:tcBorders>
              <w:top w:val="single" w:sz="4" w:space="0" w:color="17365D"/>
              <w:bottom w:val="single" w:sz="4" w:space="0" w:color="17365D"/>
            </w:tcBorders>
            <w:shd w:val="clear" w:color="F2F2F2" w:fill="FFFFFF"/>
            <w:vAlign w:val="center"/>
          </w:tcPr>
          <w:p w14:paraId="73EA3ADC" w14:textId="77777777" w:rsidR="00FB11FC" w:rsidRPr="00177E3C" w:rsidRDefault="00FB11FC" w:rsidP="00C7199B">
            <w:pPr>
              <w:spacing w:after="0" w:line="240" w:lineRule="auto"/>
              <w:ind w:right="119"/>
              <w:jc w:val="right"/>
              <w:rPr>
                <w:bCs/>
                <w:noProof/>
                <w:color w:val="17365D"/>
                <w:sz w:val="18"/>
                <w:szCs w:val="18"/>
                <w:lang w:eastAsia="lv-LV"/>
              </w:rPr>
            </w:pPr>
            <w:r w:rsidRPr="00177E3C">
              <w:rPr>
                <w:bCs/>
                <w:noProof/>
                <w:color w:val="17365D"/>
                <w:sz w:val="18"/>
                <w:szCs w:val="18"/>
                <w:lang w:eastAsia="lv-LV"/>
              </w:rPr>
              <w:t>3 201 934</w:t>
            </w:r>
          </w:p>
        </w:tc>
      </w:tr>
      <w:tr w:rsidR="009A153B" w:rsidRPr="00177E3C" w14:paraId="6387DC28" w14:textId="77777777" w:rsidTr="00F20528">
        <w:trPr>
          <w:trHeight w:val="257"/>
        </w:trPr>
        <w:tc>
          <w:tcPr>
            <w:tcW w:w="6233" w:type="dxa"/>
            <w:tcBorders>
              <w:top w:val="single" w:sz="4" w:space="0" w:color="17365D"/>
              <w:bottom w:val="single" w:sz="4" w:space="0" w:color="17365D"/>
            </w:tcBorders>
            <w:shd w:val="clear" w:color="F2F2F2" w:fill="FFFFFF"/>
            <w:vAlign w:val="center"/>
          </w:tcPr>
          <w:p w14:paraId="275A9CEA" w14:textId="682E0B72" w:rsidR="009A153B" w:rsidRPr="00177E3C" w:rsidRDefault="009A153B" w:rsidP="009A153B">
            <w:pPr>
              <w:spacing w:after="0" w:line="240" w:lineRule="auto"/>
              <w:rPr>
                <w:bCs/>
                <w:noProof/>
                <w:color w:val="17365D"/>
                <w:sz w:val="18"/>
                <w:szCs w:val="18"/>
                <w:lang w:eastAsia="lv-LV"/>
              </w:rPr>
            </w:pPr>
            <w:r w:rsidRPr="00177E3C">
              <w:rPr>
                <w:bCs/>
                <w:noProof/>
                <w:color w:val="17365D"/>
                <w:sz w:val="18"/>
                <w:szCs w:val="18"/>
                <w:lang w:eastAsia="lv-LV"/>
              </w:rPr>
              <w:t>Drošības nauda un citi līdzekļi iestādes glabājumā</w:t>
            </w:r>
          </w:p>
        </w:tc>
        <w:tc>
          <w:tcPr>
            <w:tcW w:w="1628" w:type="dxa"/>
            <w:tcBorders>
              <w:top w:val="single" w:sz="4" w:space="0" w:color="17365D"/>
              <w:bottom w:val="single" w:sz="4" w:space="0" w:color="17365D"/>
            </w:tcBorders>
            <w:shd w:val="clear" w:color="F2F2F2" w:fill="FFFFFF"/>
            <w:vAlign w:val="center"/>
          </w:tcPr>
          <w:p w14:paraId="5A4292CD" w14:textId="4979F00D" w:rsidR="009A153B" w:rsidRDefault="009A153B" w:rsidP="009A153B">
            <w:pPr>
              <w:spacing w:after="0" w:line="240" w:lineRule="auto"/>
              <w:ind w:right="119"/>
              <w:jc w:val="right"/>
              <w:rPr>
                <w:bCs/>
                <w:noProof/>
                <w:color w:val="17365D"/>
                <w:sz w:val="18"/>
                <w:szCs w:val="18"/>
                <w:lang w:eastAsia="lv-LV"/>
              </w:rPr>
            </w:pPr>
            <w:r w:rsidRPr="00177E3C">
              <w:rPr>
                <w:bCs/>
                <w:noProof/>
                <w:color w:val="17365D"/>
                <w:sz w:val="18"/>
                <w:szCs w:val="18"/>
                <w:lang w:eastAsia="lv-LV"/>
              </w:rPr>
              <w:t>896 582</w:t>
            </w:r>
          </w:p>
        </w:tc>
        <w:tc>
          <w:tcPr>
            <w:tcW w:w="1585" w:type="dxa"/>
            <w:tcBorders>
              <w:top w:val="single" w:sz="4" w:space="0" w:color="17365D"/>
              <w:bottom w:val="single" w:sz="4" w:space="0" w:color="17365D"/>
            </w:tcBorders>
            <w:shd w:val="clear" w:color="F2F2F2" w:fill="FFFFFF"/>
            <w:vAlign w:val="center"/>
          </w:tcPr>
          <w:p w14:paraId="47069B7D" w14:textId="65FB022E" w:rsidR="009A153B" w:rsidRPr="00177E3C" w:rsidRDefault="009A153B" w:rsidP="009A153B">
            <w:pPr>
              <w:spacing w:after="0" w:line="240" w:lineRule="auto"/>
              <w:ind w:right="119"/>
              <w:jc w:val="right"/>
              <w:rPr>
                <w:bCs/>
                <w:noProof/>
                <w:color w:val="17365D"/>
                <w:sz w:val="18"/>
                <w:szCs w:val="18"/>
                <w:lang w:eastAsia="lv-LV"/>
              </w:rPr>
            </w:pPr>
            <w:r>
              <w:rPr>
                <w:bCs/>
                <w:noProof/>
                <w:color w:val="17365D"/>
                <w:sz w:val="18"/>
                <w:szCs w:val="18"/>
                <w:lang w:eastAsia="lv-LV"/>
              </w:rPr>
              <w:t>0</w:t>
            </w:r>
          </w:p>
        </w:tc>
      </w:tr>
      <w:tr w:rsidR="009A153B" w:rsidRPr="00177E3C" w14:paraId="41D584D7" w14:textId="77777777" w:rsidTr="00F20528">
        <w:trPr>
          <w:trHeight w:val="257"/>
        </w:trPr>
        <w:tc>
          <w:tcPr>
            <w:tcW w:w="6233" w:type="dxa"/>
            <w:tcBorders>
              <w:top w:val="single" w:sz="4" w:space="0" w:color="17365D"/>
              <w:bottom w:val="nil"/>
            </w:tcBorders>
            <w:shd w:val="clear" w:color="auto" w:fill="B8CCE4" w:themeFill="accent1" w:themeFillTint="66"/>
            <w:vAlign w:val="center"/>
          </w:tcPr>
          <w:p w14:paraId="3A77678E" w14:textId="77777777" w:rsidR="009A153B" w:rsidRPr="00177E3C" w:rsidRDefault="009A153B" w:rsidP="009A153B">
            <w:pPr>
              <w:spacing w:after="0" w:line="240" w:lineRule="auto"/>
              <w:rPr>
                <w:bCs/>
                <w:noProof/>
                <w:color w:val="17365D"/>
                <w:sz w:val="18"/>
                <w:szCs w:val="18"/>
                <w:lang w:eastAsia="lv-LV"/>
              </w:rPr>
            </w:pPr>
            <w:r w:rsidRPr="00177E3C">
              <w:rPr>
                <w:b/>
                <w:bCs/>
                <w:noProof/>
                <w:color w:val="17365D"/>
                <w:sz w:val="18"/>
                <w:szCs w:val="18"/>
                <w:lang w:eastAsia="lv-LV"/>
              </w:rPr>
              <w:t>Kopā</w:t>
            </w:r>
          </w:p>
        </w:tc>
        <w:tc>
          <w:tcPr>
            <w:tcW w:w="1628" w:type="dxa"/>
            <w:tcBorders>
              <w:top w:val="single" w:sz="4" w:space="0" w:color="17365D"/>
              <w:bottom w:val="nil"/>
            </w:tcBorders>
            <w:shd w:val="clear" w:color="auto" w:fill="B8CCE4" w:themeFill="accent1" w:themeFillTint="66"/>
            <w:vAlign w:val="center"/>
          </w:tcPr>
          <w:p w14:paraId="11CC7790" w14:textId="77777777" w:rsidR="009A153B" w:rsidRPr="00177E3C" w:rsidRDefault="009A153B" w:rsidP="009A153B">
            <w:pPr>
              <w:spacing w:after="0" w:line="240" w:lineRule="auto"/>
              <w:ind w:right="119"/>
              <w:jc w:val="right"/>
              <w:rPr>
                <w:bCs/>
                <w:noProof/>
                <w:color w:val="17365D"/>
                <w:sz w:val="18"/>
                <w:szCs w:val="18"/>
                <w:lang w:eastAsia="lv-LV"/>
              </w:rPr>
            </w:pPr>
            <w:r w:rsidRPr="00177E3C">
              <w:rPr>
                <w:b/>
                <w:bCs/>
                <w:noProof/>
                <w:color w:val="17365D"/>
                <w:sz w:val="18"/>
                <w:szCs w:val="18"/>
                <w:lang w:eastAsia="lv-LV"/>
              </w:rPr>
              <w:t>1 076 161</w:t>
            </w:r>
          </w:p>
        </w:tc>
        <w:tc>
          <w:tcPr>
            <w:tcW w:w="1585" w:type="dxa"/>
            <w:tcBorders>
              <w:top w:val="single" w:sz="4" w:space="0" w:color="17365D"/>
              <w:bottom w:val="nil"/>
            </w:tcBorders>
            <w:shd w:val="clear" w:color="auto" w:fill="B8CCE4" w:themeFill="accent1" w:themeFillTint="66"/>
            <w:vAlign w:val="center"/>
          </w:tcPr>
          <w:p w14:paraId="6C137752" w14:textId="77777777" w:rsidR="009A153B" w:rsidRPr="00177E3C" w:rsidRDefault="009A153B" w:rsidP="009A153B">
            <w:pPr>
              <w:spacing w:after="0" w:line="240" w:lineRule="auto"/>
              <w:ind w:right="119"/>
              <w:jc w:val="right"/>
              <w:rPr>
                <w:bCs/>
                <w:noProof/>
                <w:color w:val="17365D"/>
                <w:sz w:val="18"/>
                <w:szCs w:val="18"/>
                <w:lang w:eastAsia="lv-LV"/>
              </w:rPr>
            </w:pPr>
            <w:r w:rsidRPr="00177E3C">
              <w:rPr>
                <w:b/>
                <w:bCs/>
                <w:noProof/>
                <w:color w:val="17365D"/>
                <w:sz w:val="18"/>
                <w:szCs w:val="18"/>
                <w:lang w:eastAsia="lv-LV"/>
              </w:rPr>
              <w:t>3 340 690</w:t>
            </w:r>
          </w:p>
        </w:tc>
      </w:tr>
    </w:tbl>
    <w:p w14:paraId="4ECAB649" w14:textId="77777777" w:rsidR="008B3485" w:rsidRDefault="008B3485" w:rsidP="00FB11FC">
      <w:pPr>
        <w:pStyle w:val="Heading3"/>
      </w:pPr>
    </w:p>
    <w:p w14:paraId="2CF2B59B" w14:textId="13BCD882" w:rsidR="00FB11FC" w:rsidRPr="00177E3C" w:rsidRDefault="00FB11FC" w:rsidP="00FB11FC">
      <w:pPr>
        <w:pStyle w:val="Heading3"/>
      </w:pPr>
      <w:r w:rsidRPr="00177E3C">
        <w:lastRenderedPageBreak/>
        <w:t>Naudas līdzekļu plūsma no ieguldījumu darbības</w:t>
      </w:r>
    </w:p>
    <w:p w14:paraId="762DCD94" w14:textId="6B334394" w:rsidR="00FB11FC" w:rsidRPr="00177E3C" w:rsidRDefault="00FB11FC" w:rsidP="00FB11FC">
      <w:pPr>
        <w:pStyle w:val="Tabulasnosaukums"/>
        <w:spacing w:before="0"/>
        <w:rPr>
          <w:rFonts w:eastAsia="Arial Unicode MS"/>
          <w:color w:val="17365D"/>
          <w:szCs w:val="20"/>
        </w:rPr>
      </w:pPr>
      <w:r w:rsidRPr="00177E3C">
        <w:rPr>
          <w:rFonts w:eastAsia="Arial Unicode MS"/>
          <w:color w:val="17365D"/>
          <w:szCs w:val="20"/>
        </w:rPr>
        <w:t>3.4. tabula. NP.B</w:t>
      </w:r>
      <w:r w:rsidR="00F256A2">
        <w:rPr>
          <w:rFonts w:eastAsia="Arial Unicode MS"/>
          <w:color w:val="17365D"/>
          <w:szCs w:val="20"/>
        </w:rPr>
        <w:t>.</w:t>
      </w:r>
      <w:r w:rsidRPr="00177E3C">
        <w:rPr>
          <w:rFonts w:eastAsia="Arial Unicode MS"/>
          <w:color w:val="17365D"/>
          <w:szCs w:val="20"/>
        </w:rPr>
        <w:t xml:space="preserve"> Ieguldījumu darbības </w:t>
      </w:r>
      <w:r w:rsidRPr="00177E3C">
        <w:rPr>
          <w:bCs/>
          <w:color w:val="17365D"/>
          <w:szCs w:val="20"/>
        </w:rPr>
        <w:t>ieņēmumi un izdevumi (</w:t>
      </w:r>
      <w:r w:rsidRPr="00177E3C">
        <w:rPr>
          <w:color w:val="17365D"/>
          <w:szCs w:val="20"/>
        </w:rPr>
        <w:t>euro)</w:t>
      </w:r>
    </w:p>
    <w:tbl>
      <w:tblPr>
        <w:tblW w:w="9498" w:type="dxa"/>
        <w:tblLayout w:type="fixed"/>
        <w:tblLook w:val="04A0" w:firstRow="1" w:lastRow="0" w:firstColumn="1" w:lastColumn="0" w:noHBand="0" w:noVBand="1"/>
      </w:tblPr>
      <w:tblGrid>
        <w:gridCol w:w="2977"/>
        <w:gridCol w:w="944"/>
        <w:gridCol w:w="1276"/>
        <w:gridCol w:w="1593"/>
        <w:gridCol w:w="1451"/>
        <w:gridCol w:w="1257"/>
      </w:tblGrid>
      <w:tr w:rsidR="00FB11FC" w:rsidRPr="00177E3C" w14:paraId="7F59F7E5" w14:textId="77777777" w:rsidTr="009A4177">
        <w:trPr>
          <w:trHeight w:val="791"/>
          <w:tblHeader/>
        </w:trPr>
        <w:tc>
          <w:tcPr>
            <w:tcW w:w="2977" w:type="dxa"/>
            <w:tcBorders>
              <w:bottom w:val="single" w:sz="4" w:space="0" w:color="17365D"/>
            </w:tcBorders>
            <w:shd w:val="clear" w:color="auto" w:fill="B9CDE5"/>
            <w:vAlign w:val="center"/>
            <w:hideMark/>
          </w:tcPr>
          <w:p w14:paraId="5634918A" w14:textId="1A60CB0C" w:rsidR="00FB11FC" w:rsidRPr="00177E3C" w:rsidRDefault="00104640" w:rsidP="00C7199B">
            <w:pPr>
              <w:spacing w:after="0" w:line="240" w:lineRule="auto"/>
              <w:jc w:val="center"/>
              <w:rPr>
                <w:rFonts w:cs="Times New Roman"/>
                <w:b/>
                <w:color w:val="17365D"/>
                <w:sz w:val="18"/>
                <w:szCs w:val="18"/>
                <w:lang w:eastAsia="lv-LV"/>
              </w:rPr>
            </w:pPr>
            <w:r>
              <w:rPr>
                <w:rFonts w:eastAsia="Times New Roman" w:cs="Times New Roman"/>
                <w:b/>
                <w:bCs/>
                <w:color w:val="17365D"/>
                <w:sz w:val="18"/>
                <w:szCs w:val="18"/>
                <w:lang w:eastAsia="lv-LV"/>
              </w:rPr>
              <w:t>Posteņa nosaukums</w:t>
            </w:r>
          </w:p>
        </w:tc>
        <w:tc>
          <w:tcPr>
            <w:tcW w:w="944" w:type="dxa"/>
            <w:tcBorders>
              <w:bottom w:val="single" w:sz="4" w:space="0" w:color="17365D"/>
            </w:tcBorders>
            <w:shd w:val="clear" w:color="auto" w:fill="B9CDE5"/>
            <w:vAlign w:val="center"/>
          </w:tcPr>
          <w:p w14:paraId="39C02ED4"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Piezīmes Nr.</w:t>
            </w:r>
          </w:p>
        </w:tc>
        <w:tc>
          <w:tcPr>
            <w:tcW w:w="1276" w:type="dxa"/>
            <w:tcBorders>
              <w:bottom w:val="single" w:sz="4" w:space="0" w:color="17365D"/>
            </w:tcBorders>
            <w:shd w:val="clear" w:color="auto" w:fill="B9CDE5"/>
            <w:vAlign w:val="center"/>
          </w:tcPr>
          <w:p w14:paraId="1CD150BC"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Pārskata periods</w:t>
            </w:r>
          </w:p>
        </w:tc>
        <w:tc>
          <w:tcPr>
            <w:tcW w:w="1593" w:type="dxa"/>
            <w:tcBorders>
              <w:bottom w:val="single" w:sz="4" w:space="0" w:color="17365D"/>
            </w:tcBorders>
            <w:shd w:val="clear" w:color="auto" w:fill="B9CDE5"/>
            <w:vAlign w:val="center"/>
          </w:tcPr>
          <w:p w14:paraId="25130E58"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Iepriekšējais pārskata periods</w:t>
            </w:r>
          </w:p>
        </w:tc>
        <w:tc>
          <w:tcPr>
            <w:tcW w:w="1451" w:type="dxa"/>
            <w:tcBorders>
              <w:bottom w:val="single" w:sz="4" w:space="0" w:color="17365D"/>
            </w:tcBorders>
            <w:shd w:val="clear" w:color="auto" w:fill="B9CDE5"/>
            <w:vAlign w:val="center"/>
          </w:tcPr>
          <w:p w14:paraId="671A1BD6" w14:textId="77777777" w:rsidR="00FB11FC" w:rsidRPr="00177E3C" w:rsidRDefault="00FB11FC" w:rsidP="00C7199B">
            <w:pPr>
              <w:spacing w:after="0" w:line="240" w:lineRule="auto"/>
              <w:ind w:left="-107" w:right="-109"/>
              <w:jc w:val="center"/>
              <w:rPr>
                <w:rFonts w:cs="Times New Roman"/>
                <w:b/>
                <w:color w:val="17365D"/>
                <w:sz w:val="18"/>
                <w:szCs w:val="18"/>
                <w:lang w:eastAsia="lv-LV"/>
              </w:rPr>
            </w:pPr>
            <w:r w:rsidRPr="00177E3C">
              <w:rPr>
                <w:rFonts w:cs="Times New Roman"/>
                <w:b/>
                <w:color w:val="17365D"/>
                <w:sz w:val="18"/>
                <w:szCs w:val="18"/>
                <w:lang w:eastAsia="lv-LV"/>
              </w:rPr>
              <w:t>Palielinājums (+), samazinājums (–) (1. – 2.)</w:t>
            </w:r>
          </w:p>
        </w:tc>
        <w:tc>
          <w:tcPr>
            <w:tcW w:w="1257" w:type="dxa"/>
            <w:tcBorders>
              <w:bottom w:val="single" w:sz="4" w:space="0" w:color="17365D"/>
            </w:tcBorders>
            <w:shd w:val="clear" w:color="auto" w:fill="B9CDE5"/>
            <w:vAlign w:val="center"/>
          </w:tcPr>
          <w:p w14:paraId="6FAAC0B9" w14:textId="77777777" w:rsidR="00FB11FC" w:rsidRPr="00177E3C" w:rsidRDefault="00FB11FC" w:rsidP="00C7199B">
            <w:pPr>
              <w:spacing w:after="0" w:line="240" w:lineRule="auto"/>
              <w:ind w:left="-107" w:right="-109"/>
              <w:jc w:val="center"/>
              <w:rPr>
                <w:rFonts w:cs="Times New Roman"/>
                <w:b/>
                <w:color w:val="17365D"/>
                <w:sz w:val="18"/>
                <w:szCs w:val="18"/>
                <w:lang w:eastAsia="lv-LV"/>
              </w:rPr>
            </w:pPr>
            <w:r w:rsidRPr="00177E3C">
              <w:rPr>
                <w:rFonts w:cs="Times New Roman"/>
                <w:b/>
                <w:color w:val="17365D"/>
                <w:sz w:val="18"/>
                <w:szCs w:val="18"/>
                <w:lang w:eastAsia="lv-LV"/>
              </w:rPr>
              <w:t xml:space="preserve">Procentuālās izmaiņas </w:t>
            </w:r>
          </w:p>
          <w:p w14:paraId="04B06D33" w14:textId="77777777" w:rsidR="00FB11FC" w:rsidRPr="00177E3C" w:rsidRDefault="00FB11FC" w:rsidP="00C7199B">
            <w:pPr>
              <w:spacing w:after="0" w:line="240" w:lineRule="auto"/>
              <w:ind w:left="-107" w:right="-109"/>
              <w:jc w:val="center"/>
              <w:rPr>
                <w:rFonts w:cs="Times New Roman"/>
                <w:b/>
                <w:color w:val="17365D"/>
                <w:sz w:val="18"/>
                <w:szCs w:val="18"/>
                <w:lang w:eastAsia="lv-LV"/>
              </w:rPr>
            </w:pPr>
            <w:r w:rsidRPr="00177E3C">
              <w:rPr>
                <w:rFonts w:cs="Times New Roman"/>
                <w:b/>
                <w:color w:val="17365D"/>
                <w:sz w:val="18"/>
                <w:szCs w:val="18"/>
                <w:lang w:eastAsia="lv-LV"/>
              </w:rPr>
              <w:t>(3. / 2. x 100)</w:t>
            </w:r>
          </w:p>
        </w:tc>
      </w:tr>
      <w:tr w:rsidR="00FB11FC" w:rsidRPr="00177E3C" w14:paraId="2FE5561E" w14:textId="77777777" w:rsidTr="00A918B1">
        <w:trPr>
          <w:trHeight w:val="60"/>
        </w:trPr>
        <w:tc>
          <w:tcPr>
            <w:tcW w:w="2977" w:type="dxa"/>
            <w:tcBorders>
              <w:top w:val="single" w:sz="4" w:space="0" w:color="17365D"/>
              <w:bottom w:val="single" w:sz="4" w:space="0" w:color="17365D"/>
            </w:tcBorders>
            <w:shd w:val="clear" w:color="auto" w:fill="auto"/>
            <w:vAlign w:val="center"/>
          </w:tcPr>
          <w:p w14:paraId="3987F923"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A</w:t>
            </w:r>
          </w:p>
        </w:tc>
        <w:tc>
          <w:tcPr>
            <w:tcW w:w="944" w:type="dxa"/>
            <w:tcBorders>
              <w:top w:val="single" w:sz="4" w:space="0" w:color="17365D"/>
              <w:bottom w:val="single" w:sz="4" w:space="0" w:color="17365D"/>
            </w:tcBorders>
            <w:shd w:val="clear" w:color="auto" w:fill="auto"/>
            <w:vAlign w:val="center"/>
          </w:tcPr>
          <w:p w14:paraId="306D91C0"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B</w:t>
            </w:r>
          </w:p>
        </w:tc>
        <w:tc>
          <w:tcPr>
            <w:tcW w:w="1276" w:type="dxa"/>
            <w:tcBorders>
              <w:top w:val="single" w:sz="4" w:space="0" w:color="17365D"/>
              <w:bottom w:val="single" w:sz="4" w:space="0" w:color="17365D"/>
            </w:tcBorders>
            <w:shd w:val="clear" w:color="auto" w:fill="auto"/>
            <w:vAlign w:val="center"/>
          </w:tcPr>
          <w:p w14:paraId="767D4B03"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1</w:t>
            </w:r>
          </w:p>
        </w:tc>
        <w:tc>
          <w:tcPr>
            <w:tcW w:w="1593" w:type="dxa"/>
            <w:tcBorders>
              <w:top w:val="single" w:sz="4" w:space="0" w:color="17365D"/>
              <w:bottom w:val="single" w:sz="4" w:space="0" w:color="17365D"/>
            </w:tcBorders>
            <w:shd w:val="clear" w:color="auto" w:fill="auto"/>
            <w:vAlign w:val="center"/>
          </w:tcPr>
          <w:p w14:paraId="3FB3B13E"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2</w:t>
            </w:r>
          </w:p>
        </w:tc>
        <w:tc>
          <w:tcPr>
            <w:tcW w:w="1451" w:type="dxa"/>
            <w:tcBorders>
              <w:top w:val="single" w:sz="4" w:space="0" w:color="17365D"/>
              <w:bottom w:val="single" w:sz="4" w:space="0" w:color="17365D"/>
            </w:tcBorders>
            <w:shd w:val="clear" w:color="auto" w:fill="auto"/>
            <w:vAlign w:val="center"/>
          </w:tcPr>
          <w:p w14:paraId="6BA37ACD"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3</w:t>
            </w:r>
          </w:p>
        </w:tc>
        <w:tc>
          <w:tcPr>
            <w:tcW w:w="1257" w:type="dxa"/>
            <w:tcBorders>
              <w:top w:val="single" w:sz="4" w:space="0" w:color="17365D"/>
              <w:bottom w:val="single" w:sz="4" w:space="0" w:color="17365D"/>
            </w:tcBorders>
            <w:shd w:val="clear" w:color="auto" w:fill="auto"/>
            <w:vAlign w:val="center"/>
          </w:tcPr>
          <w:p w14:paraId="79AAFE29"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4</w:t>
            </w:r>
          </w:p>
        </w:tc>
      </w:tr>
      <w:tr w:rsidR="00FB11FC" w:rsidRPr="00177E3C" w14:paraId="033E4B25" w14:textId="77777777" w:rsidTr="00A918B1">
        <w:trPr>
          <w:trHeight w:val="319"/>
        </w:trPr>
        <w:tc>
          <w:tcPr>
            <w:tcW w:w="2977" w:type="dxa"/>
            <w:tcBorders>
              <w:top w:val="single" w:sz="4" w:space="0" w:color="17365D"/>
              <w:bottom w:val="single" w:sz="4" w:space="0" w:color="17365D"/>
            </w:tcBorders>
            <w:shd w:val="clear" w:color="auto" w:fill="auto"/>
            <w:vAlign w:val="center"/>
          </w:tcPr>
          <w:p w14:paraId="0C25940B" w14:textId="77777777" w:rsidR="00FB11FC" w:rsidRPr="00177E3C" w:rsidRDefault="00FB11FC" w:rsidP="00C7199B">
            <w:pPr>
              <w:spacing w:after="0" w:line="240" w:lineRule="auto"/>
              <w:rPr>
                <w:rFonts w:cs="Times New Roman"/>
                <w:b/>
                <w:color w:val="17365D"/>
                <w:sz w:val="18"/>
                <w:szCs w:val="18"/>
              </w:rPr>
            </w:pPr>
            <w:r w:rsidRPr="00177E3C">
              <w:rPr>
                <w:rFonts w:cs="Times New Roman"/>
                <w:b/>
                <w:color w:val="17365D"/>
                <w:sz w:val="18"/>
                <w:szCs w:val="18"/>
              </w:rPr>
              <w:t xml:space="preserve">Ieņēmumi no ieguldījumu darbības </w:t>
            </w:r>
          </w:p>
        </w:tc>
        <w:tc>
          <w:tcPr>
            <w:tcW w:w="944" w:type="dxa"/>
            <w:tcBorders>
              <w:top w:val="single" w:sz="4" w:space="0" w:color="17365D"/>
              <w:bottom w:val="single" w:sz="4" w:space="0" w:color="17365D"/>
            </w:tcBorders>
            <w:shd w:val="clear" w:color="auto" w:fill="auto"/>
            <w:vAlign w:val="center"/>
          </w:tcPr>
          <w:p w14:paraId="18AD26FE" w14:textId="77777777" w:rsidR="00FB11FC" w:rsidRPr="00177E3C" w:rsidRDefault="00FB11FC" w:rsidP="00C7199B">
            <w:pPr>
              <w:spacing w:after="0" w:line="240" w:lineRule="auto"/>
              <w:jc w:val="center"/>
              <w:rPr>
                <w:rFonts w:cs="Times New Roman"/>
                <w:b/>
                <w:color w:val="17365D"/>
                <w:sz w:val="18"/>
                <w:szCs w:val="18"/>
              </w:rPr>
            </w:pPr>
          </w:p>
        </w:tc>
        <w:tc>
          <w:tcPr>
            <w:tcW w:w="1276" w:type="dxa"/>
            <w:tcBorders>
              <w:top w:val="single" w:sz="4" w:space="0" w:color="17365D"/>
              <w:bottom w:val="single" w:sz="4" w:space="0" w:color="17365D"/>
            </w:tcBorders>
            <w:shd w:val="clear" w:color="auto" w:fill="auto"/>
            <w:vAlign w:val="center"/>
          </w:tcPr>
          <w:p w14:paraId="45BD8C34"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1 814 048 682</w:t>
            </w:r>
          </w:p>
        </w:tc>
        <w:tc>
          <w:tcPr>
            <w:tcW w:w="1593" w:type="dxa"/>
            <w:tcBorders>
              <w:top w:val="single" w:sz="4" w:space="0" w:color="17365D"/>
              <w:bottom w:val="single" w:sz="4" w:space="0" w:color="17365D"/>
            </w:tcBorders>
            <w:shd w:val="clear" w:color="auto" w:fill="auto"/>
            <w:vAlign w:val="center"/>
          </w:tcPr>
          <w:p w14:paraId="13B88DFF"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106 566 795</w:t>
            </w:r>
          </w:p>
        </w:tc>
        <w:tc>
          <w:tcPr>
            <w:tcW w:w="1451" w:type="dxa"/>
            <w:tcBorders>
              <w:top w:val="single" w:sz="4" w:space="0" w:color="17365D"/>
              <w:bottom w:val="single" w:sz="4" w:space="0" w:color="17365D"/>
            </w:tcBorders>
            <w:shd w:val="clear" w:color="auto" w:fill="auto"/>
            <w:vAlign w:val="center"/>
          </w:tcPr>
          <w:p w14:paraId="2A2C20B7"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1 707 481 887</w:t>
            </w:r>
          </w:p>
        </w:tc>
        <w:tc>
          <w:tcPr>
            <w:tcW w:w="1257" w:type="dxa"/>
            <w:tcBorders>
              <w:top w:val="single" w:sz="4" w:space="0" w:color="17365D"/>
              <w:bottom w:val="single" w:sz="4" w:space="0" w:color="17365D"/>
            </w:tcBorders>
            <w:shd w:val="clear" w:color="auto" w:fill="auto"/>
            <w:vAlign w:val="center"/>
          </w:tcPr>
          <w:p w14:paraId="79EFE558"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1602.26</w:t>
            </w:r>
          </w:p>
        </w:tc>
      </w:tr>
      <w:tr w:rsidR="00FB11FC" w:rsidRPr="00177E3C" w14:paraId="60B9CD42" w14:textId="77777777" w:rsidTr="00A918B1">
        <w:trPr>
          <w:trHeight w:val="150"/>
        </w:trPr>
        <w:tc>
          <w:tcPr>
            <w:tcW w:w="2977" w:type="dxa"/>
            <w:tcBorders>
              <w:top w:val="single" w:sz="4" w:space="0" w:color="17365D"/>
              <w:bottom w:val="single" w:sz="4" w:space="0" w:color="17365D"/>
            </w:tcBorders>
            <w:shd w:val="clear" w:color="auto" w:fill="auto"/>
            <w:vAlign w:val="center"/>
          </w:tcPr>
          <w:p w14:paraId="07D58CC2"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Nemateriālo ieguldījumu pārdošana un atmaksātie avansa maksājumi par nemateriālajiem ieguldījumiem</w:t>
            </w:r>
          </w:p>
        </w:tc>
        <w:tc>
          <w:tcPr>
            <w:tcW w:w="944" w:type="dxa"/>
            <w:tcBorders>
              <w:top w:val="single" w:sz="4" w:space="0" w:color="17365D"/>
              <w:bottom w:val="single" w:sz="4" w:space="0" w:color="17365D"/>
            </w:tcBorders>
            <w:shd w:val="clear" w:color="auto" w:fill="auto"/>
            <w:vAlign w:val="center"/>
          </w:tcPr>
          <w:p w14:paraId="26859871"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6E35E6BA"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1 361</w:t>
            </w:r>
          </w:p>
        </w:tc>
        <w:tc>
          <w:tcPr>
            <w:tcW w:w="1593" w:type="dxa"/>
            <w:tcBorders>
              <w:top w:val="single" w:sz="4" w:space="0" w:color="17365D"/>
              <w:bottom w:val="single" w:sz="4" w:space="0" w:color="17365D"/>
            </w:tcBorders>
            <w:shd w:val="clear" w:color="auto" w:fill="auto"/>
            <w:vAlign w:val="center"/>
          </w:tcPr>
          <w:p w14:paraId="24E16DAA"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104 656</w:t>
            </w:r>
          </w:p>
        </w:tc>
        <w:tc>
          <w:tcPr>
            <w:tcW w:w="1451" w:type="dxa"/>
            <w:tcBorders>
              <w:top w:val="single" w:sz="4" w:space="0" w:color="17365D"/>
              <w:bottom w:val="single" w:sz="4" w:space="0" w:color="17365D"/>
            </w:tcBorders>
            <w:shd w:val="clear" w:color="auto" w:fill="auto"/>
            <w:vAlign w:val="center"/>
          </w:tcPr>
          <w:p w14:paraId="7738C6D4"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-103 295</w:t>
            </w:r>
          </w:p>
        </w:tc>
        <w:tc>
          <w:tcPr>
            <w:tcW w:w="1257" w:type="dxa"/>
            <w:tcBorders>
              <w:top w:val="single" w:sz="4" w:space="0" w:color="17365D"/>
              <w:bottom w:val="single" w:sz="4" w:space="0" w:color="17365D"/>
            </w:tcBorders>
            <w:shd w:val="clear" w:color="auto" w:fill="auto"/>
            <w:vAlign w:val="center"/>
          </w:tcPr>
          <w:p w14:paraId="5830BC6F"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-98.70</w:t>
            </w:r>
          </w:p>
        </w:tc>
      </w:tr>
      <w:tr w:rsidR="00FB11FC" w:rsidRPr="00177E3C" w14:paraId="5D1C7D9F" w14:textId="77777777" w:rsidTr="00A918B1">
        <w:trPr>
          <w:trHeight w:val="150"/>
        </w:trPr>
        <w:tc>
          <w:tcPr>
            <w:tcW w:w="2977" w:type="dxa"/>
            <w:tcBorders>
              <w:top w:val="single" w:sz="4" w:space="0" w:color="17365D"/>
              <w:bottom w:val="single" w:sz="4" w:space="0" w:color="17365D"/>
            </w:tcBorders>
            <w:shd w:val="clear" w:color="auto" w:fill="auto"/>
            <w:vAlign w:val="center"/>
          </w:tcPr>
          <w:p w14:paraId="53043C22"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Pamatlīdzekļu pārdošana un atmaksātie avansa maksājumi par pamatlīdzekļiem</w:t>
            </w:r>
          </w:p>
        </w:tc>
        <w:tc>
          <w:tcPr>
            <w:tcW w:w="944" w:type="dxa"/>
            <w:tcBorders>
              <w:top w:val="single" w:sz="4" w:space="0" w:color="17365D"/>
              <w:bottom w:val="single" w:sz="4" w:space="0" w:color="17365D"/>
            </w:tcBorders>
            <w:shd w:val="clear" w:color="auto" w:fill="auto"/>
            <w:vAlign w:val="center"/>
          </w:tcPr>
          <w:p w14:paraId="6483D86A"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31124236"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41 055 528</w:t>
            </w:r>
          </w:p>
        </w:tc>
        <w:tc>
          <w:tcPr>
            <w:tcW w:w="1593" w:type="dxa"/>
            <w:tcBorders>
              <w:top w:val="single" w:sz="4" w:space="0" w:color="17365D"/>
              <w:bottom w:val="single" w:sz="4" w:space="0" w:color="17365D"/>
            </w:tcBorders>
            <w:shd w:val="clear" w:color="auto" w:fill="auto"/>
            <w:vAlign w:val="center"/>
          </w:tcPr>
          <w:p w14:paraId="2482D415"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48 418 616</w:t>
            </w:r>
          </w:p>
        </w:tc>
        <w:tc>
          <w:tcPr>
            <w:tcW w:w="1451" w:type="dxa"/>
            <w:tcBorders>
              <w:top w:val="single" w:sz="4" w:space="0" w:color="17365D"/>
              <w:bottom w:val="single" w:sz="4" w:space="0" w:color="17365D"/>
            </w:tcBorders>
            <w:shd w:val="clear" w:color="auto" w:fill="auto"/>
            <w:vAlign w:val="center"/>
          </w:tcPr>
          <w:p w14:paraId="4A0EE186"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-7 363 088</w:t>
            </w:r>
          </w:p>
        </w:tc>
        <w:tc>
          <w:tcPr>
            <w:tcW w:w="1257" w:type="dxa"/>
            <w:tcBorders>
              <w:top w:val="single" w:sz="4" w:space="0" w:color="17365D"/>
              <w:bottom w:val="single" w:sz="4" w:space="0" w:color="17365D"/>
            </w:tcBorders>
            <w:shd w:val="clear" w:color="auto" w:fill="auto"/>
            <w:vAlign w:val="center"/>
          </w:tcPr>
          <w:p w14:paraId="37EEBEDA"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-15.21</w:t>
            </w:r>
          </w:p>
        </w:tc>
      </w:tr>
      <w:tr w:rsidR="00FB11FC" w:rsidRPr="00177E3C" w14:paraId="45B972E9" w14:textId="77777777" w:rsidTr="00A918B1">
        <w:trPr>
          <w:trHeight w:val="150"/>
        </w:trPr>
        <w:tc>
          <w:tcPr>
            <w:tcW w:w="2977" w:type="dxa"/>
            <w:tcBorders>
              <w:top w:val="single" w:sz="4" w:space="0" w:color="17365D"/>
              <w:bottom w:val="single" w:sz="4" w:space="0" w:color="17365D"/>
            </w:tcBorders>
            <w:shd w:val="clear" w:color="auto" w:fill="auto"/>
            <w:vAlign w:val="center"/>
          </w:tcPr>
          <w:p w14:paraId="290C2118"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Līdzdalības kapitālsabiedrību kapitālā, akciju un vērtspapīru pārdošana</w:t>
            </w:r>
          </w:p>
        </w:tc>
        <w:tc>
          <w:tcPr>
            <w:tcW w:w="944" w:type="dxa"/>
            <w:tcBorders>
              <w:top w:val="single" w:sz="4" w:space="0" w:color="17365D"/>
              <w:bottom w:val="single" w:sz="4" w:space="0" w:color="17365D"/>
            </w:tcBorders>
            <w:shd w:val="clear" w:color="auto" w:fill="auto"/>
            <w:vAlign w:val="center"/>
          </w:tcPr>
          <w:p w14:paraId="515E5183"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2A69E67B"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1 103 138</w:t>
            </w:r>
          </w:p>
        </w:tc>
        <w:tc>
          <w:tcPr>
            <w:tcW w:w="1593" w:type="dxa"/>
            <w:tcBorders>
              <w:top w:val="single" w:sz="4" w:space="0" w:color="17365D"/>
              <w:bottom w:val="single" w:sz="4" w:space="0" w:color="17365D"/>
            </w:tcBorders>
            <w:shd w:val="clear" w:color="auto" w:fill="auto"/>
            <w:vAlign w:val="center"/>
          </w:tcPr>
          <w:p w14:paraId="3BBBD8FF"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87 495</w:t>
            </w:r>
          </w:p>
        </w:tc>
        <w:tc>
          <w:tcPr>
            <w:tcW w:w="1451" w:type="dxa"/>
            <w:tcBorders>
              <w:top w:val="single" w:sz="4" w:space="0" w:color="17365D"/>
              <w:bottom w:val="single" w:sz="4" w:space="0" w:color="17365D"/>
            </w:tcBorders>
            <w:shd w:val="clear" w:color="auto" w:fill="auto"/>
            <w:vAlign w:val="center"/>
          </w:tcPr>
          <w:p w14:paraId="30808016"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-291 021</w:t>
            </w:r>
          </w:p>
        </w:tc>
        <w:tc>
          <w:tcPr>
            <w:tcW w:w="1257" w:type="dxa"/>
            <w:tcBorders>
              <w:top w:val="single" w:sz="4" w:space="0" w:color="17365D"/>
              <w:bottom w:val="single" w:sz="4" w:space="0" w:color="17365D"/>
            </w:tcBorders>
            <w:shd w:val="clear" w:color="auto" w:fill="auto"/>
            <w:vAlign w:val="center"/>
          </w:tcPr>
          <w:p w14:paraId="4CBE907A"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-76.88</w:t>
            </w:r>
          </w:p>
        </w:tc>
      </w:tr>
      <w:tr w:rsidR="00FB11FC" w:rsidRPr="00177E3C" w14:paraId="671ECA5E" w14:textId="77777777" w:rsidTr="00A918B1">
        <w:trPr>
          <w:trHeight w:val="150"/>
        </w:trPr>
        <w:tc>
          <w:tcPr>
            <w:tcW w:w="2977" w:type="dxa"/>
            <w:tcBorders>
              <w:top w:val="single" w:sz="4" w:space="0" w:color="17365D"/>
              <w:bottom w:val="single" w:sz="4" w:space="0" w:color="17365D"/>
            </w:tcBorders>
            <w:shd w:val="clear" w:color="auto" w:fill="auto"/>
            <w:vAlign w:val="center"/>
          </w:tcPr>
          <w:p w14:paraId="767A1F45"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 xml:space="preserve">Procentu ieņēmumi </w:t>
            </w:r>
          </w:p>
        </w:tc>
        <w:tc>
          <w:tcPr>
            <w:tcW w:w="944" w:type="dxa"/>
            <w:tcBorders>
              <w:top w:val="single" w:sz="4" w:space="0" w:color="17365D"/>
              <w:bottom w:val="single" w:sz="4" w:space="0" w:color="17365D"/>
            </w:tcBorders>
            <w:shd w:val="clear" w:color="auto" w:fill="auto"/>
            <w:vAlign w:val="center"/>
          </w:tcPr>
          <w:p w14:paraId="460E96F9"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38C2A081"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20 172 396</w:t>
            </w:r>
          </w:p>
        </w:tc>
        <w:tc>
          <w:tcPr>
            <w:tcW w:w="1593" w:type="dxa"/>
            <w:tcBorders>
              <w:top w:val="single" w:sz="4" w:space="0" w:color="17365D"/>
              <w:bottom w:val="single" w:sz="4" w:space="0" w:color="17365D"/>
            </w:tcBorders>
            <w:shd w:val="clear" w:color="auto" w:fill="auto"/>
            <w:vAlign w:val="center"/>
          </w:tcPr>
          <w:p w14:paraId="1D944ABC"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332 276</w:t>
            </w:r>
          </w:p>
        </w:tc>
        <w:tc>
          <w:tcPr>
            <w:tcW w:w="1451" w:type="dxa"/>
            <w:tcBorders>
              <w:top w:val="single" w:sz="4" w:space="0" w:color="17365D"/>
              <w:bottom w:val="single" w:sz="4" w:space="0" w:color="17365D"/>
            </w:tcBorders>
            <w:shd w:val="clear" w:color="auto" w:fill="auto"/>
            <w:vAlign w:val="center"/>
          </w:tcPr>
          <w:p w14:paraId="5D03C7EA"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19 840 120</w:t>
            </w:r>
          </w:p>
        </w:tc>
        <w:tc>
          <w:tcPr>
            <w:tcW w:w="1257" w:type="dxa"/>
            <w:tcBorders>
              <w:top w:val="single" w:sz="4" w:space="0" w:color="17365D"/>
              <w:bottom w:val="single" w:sz="4" w:space="0" w:color="17365D"/>
            </w:tcBorders>
            <w:shd w:val="clear" w:color="auto" w:fill="auto"/>
            <w:vAlign w:val="center"/>
          </w:tcPr>
          <w:p w14:paraId="75194FFE"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5970.98</w:t>
            </w:r>
          </w:p>
        </w:tc>
      </w:tr>
      <w:tr w:rsidR="00FB11FC" w:rsidRPr="00177E3C" w14:paraId="097FC17F" w14:textId="77777777" w:rsidTr="00A918B1">
        <w:trPr>
          <w:trHeight w:val="150"/>
        </w:trPr>
        <w:tc>
          <w:tcPr>
            <w:tcW w:w="2977" w:type="dxa"/>
            <w:tcBorders>
              <w:top w:val="single" w:sz="4" w:space="0" w:color="17365D"/>
              <w:bottom w:val="single" w:sz="4" w:space="0" w:color="17365D"/>
            </w:tcBorders>
            <w:shd w:val="clear" w:color="auto" w:fill="auto"/>
            <w:vAlign w:val="center"/>
          </w:tcPr>
          <w:p w14:paraId="2346652C"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Citi ieņēmumi no ieguldījumu darbības</w:t>
            </w:r>
          </w:p>
        </w:tc>
        <w:tc>
          <w:tcPr>
            <w:tcW w:w="944" w:type="dxa"/>
            <w:tcBorders>
              <w:top w:val="single" w:sz="4" w:space="0" w:color="17365D"/>
              <w:bottom w:val="single" w:sz="4" w:space="0" w:color="17365D"/>
            </w:tcBorders>
            <w:shd w:val="clear" w:color="auto" w:fill="auto"/>
            <w:vAlign w:val="center"/>
          </w:tcPr>
          <w:p w14:paraId="5EA40779" w14:textId="08AD4616"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NP.B15</w:t>
            </w:r>
            <w:r w:rsidR="006E6B94">
              <w:rPr>
                <w:bCs/>
                <w:color w:val="17365D"/>
                <w:sz w:val="18"/>
                <w:szCs w:val="18"/>
                <w:lang w:eastAsia="lv-LV"/>
              </w:rPr>
              <w:t>.</w:t>
            </w:r>
          </w:p>
        </w:tc>
        <w:tc>
          <w:tcPr>
            <w:tcW w:w="1276" w:type="dxa"/>
            <w:tcBorders>
              <w:top w:val="single" w:sz="4" w:space="0" w:color="17365D"/>
              <w:bottom w:val="single" w:sz="4" w:space="0" w:color="17365D"/>
            </w:tcBorders>
            <w:shd w:val="clear" w:color="auto" w:fill="auto"/>
            <w:vAlign w:val="center"/>
          </w:tcPr>
          <w:p w14:paraId="55BF9987" w14:textId="77777777" w:rsidR="00FB11FC" w:rsidRPr="00177E3C" w:rsidRDefault="00FB11FC" w:rsidP="00C7199B">
            <w:pPr>
              <w:pStyle w:val="Tabulasteksts"/>
              <w:jc w:val="right"/>
              <w:rPr>
                <w:bCs/>
                <w:color w:val="17365D"/>
                <w:sz w:val="18"/>
                <w:szCs w:val="18"/>
                <w:lang w:eastAsia="lv-LV"/>
              </w:rPr>
            </w:pPr>
            <w:r w:rsidRPr="00177E3C">
              <w:rPr>
                <w:color w:val="17365D"/>
                <w:sz w:val="18"/>
                <w:szCs w:val="18"/>
              </w:rPr>
              <w:t>1 751 716 259</w:t>
            </w:r>
          </w:p>
        </w:tc>
        <w:tc>
          <w:tcPr>
            <w:tcW w:w="1593" w:type="dxa"/>
            <w:tcBorders>
              <w:top w:val="single" w:sz="4" w:space="0" w:color="17365D"/>
              <w:bottom w:val="single" w:sz="4" w:space="0" w:color="17365D"/>
            </w:tcBorders>
            <w:shd w:val="clear" w:color="auto" w:fill="auto"/>
            <w:vAlign w:val="center"/>
          </w:tcPr>
          <w:p w14:paraId="3271B173"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57 623 752</w:t>
            </w:r>
          </w:p>
        </w:tc>
        <w:tc>
          <w:tcPr>
            <w:tcW w:w="1451" w:type="dxa"/>
            <w:tcBorders>
              <w:top w:val="single" w:sz="4" w:space="0" w:color="17365D"/>
              <w:bottom w:val="single" w:sz="4" w:space="0" w:color="17365D"/>
            </w:tcBorders>
            <w:shd w:val="clear" w:color="auto" w:fill="auto"/>
            <w:vAlign w:val="center"/>
          </w:tcPr>
          <w:p w14:paraId="4EB167B6" w14:textId="77777777" w:rsidR="00FB11FC" w:rsidRPr="00177E3C" w:rsidRDefault="00FB11FC" w:rsidP="00C7199B">
            <w:pPr>
              <w:pStyle w:val="Tabulasteksts"/>
              <w:jc w:val="right"/>
              <w:rPr>
                <w:bCs/>
                <w:color w:val="17365D"/>
                <w:sz w:val="18"/>
                <w:szCs w:val="18"/>
                <w:lang w:eastAsia="lv-LV"/>
              </w:rPr>
            </w:pPr>
            <w:r w:rsidRPr="00177E3C">
              <w:rPr>
                <w:color w:val="17365D"/>
                <w:sz w:val="18"/>
                <w:szCs w:val="18"/>
              </w:rPr>
              <w:t>1 694 092 507</w:t>
            </w:r>
          </w:p>
        </w:tc>
        <w:tc>
          <w:tcPr>
            <w:tcW w:w="1257" w:type="dxa"/>
            <w:tcBorders>
              <w:top w:val="single" w:sz="4" w:space="0" w:color="17365D"/>
              <w:bottom w:val="single" w:sz="4" w:space="0" w:color="17365D"/>
            </w:tcBorders>
            <w:shd w:val="clear" w:color="auto" w:fill="auto"/>
            <w:vAlign w:val="center"/>
          </w:tcPr>
          <w:p w14:paraId="06E49048"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2939.92</w:t>
            </w:r>
          </w:p>
        </w:tc>
      </w:tr>
      <w:tr w:rsidR="00FB11FC" w:rsidRPr="00177E3C" w14:paraId="5B8E3C8E" w14:textId="77777777" w:rsidTr="00A918B1">
        <w:trPr>
          <w:trHeight w:val="150"/>
        </w:trPr>
        <w:tc>
          <w:tcPr>
            <w:tcW w:w="2977" w:type="dxa"/>
            <w:tcBorders>
              <w:top w:val="single" w:sz="4" w:space="0" w:color="17365D"/>
              <w:bottom w:val="single" w:sz="4" w:space="0" w:color="17365D"/>
            </w:tcBorders>
            <w:shd w:val="clear" w:color="auto" w:fill="auto"/>
            <w:vAlign w:val="center"/>
          </w:tcPr>
          <w:p w14:paraId="052EE67A" w14:textId="77777777" w:rsidR="00FB11FC" w:rsidRPr="00177E3C" w:rsidRDefault="00FB11FC" w:rsidP="00C7199B">
            <w:pPr>
              <w:spacing w:after="0" w:line="240" w:lineRule="auto"/>
              <w:rPr>
                <w:rFonts w:cs="Times New Roman"/>
                <w:color w:val="17365D"/>
                <w:sz w:val="18"/>
                <w:szCs w:val="18"/>
              </w:rPr>
            </w:pPr>
            <w:r w:rsidRPr="00177E3C">
              <w:rPr>
                <w:rFonts w:cs="Times New Roman"/>
                <w:b/>
                <w:color w:val="17365D"/>
                <w:sz w:val="18"/>
                <w:szCs w:val="18"/>
              </w:rPr>
              <w:t xml:space="preserve">Izdevumi no ieguldījumu darbības </w:t>
            </w:r>
          </w:p>
        </w:tc>
        <w:tc>
          <w:tcPr>
            <w:tcW w:w="944" w:type="dxa"/>
            <w:tcBorders>
              <w:top w:val="single" w:sz="4" w:space="0" w:color="17365D"/>
              <w:bottom w:val="single" w:sz="4" w:space="0" w:color="17365D"/>
            </w:tcBorders>
            <w:shd w:val="clear" w:color="auto" w:fill="auto"/>
            <w:vAlign w:val="center"/>
          </w:tcPr>
          <w:p w14:paraId="734C98C7" w14:textId="77777777" w:rsidR="00FB11FC" w:rsidRPr="00177E3C" w:rsidRDefault="00FB11FC" w:rsidP="00C7199B">
            <w:pPr>
              <w:spacing w:after="0" w:line="240" w:lineRule="auto"/>
              <w:ind w:left="-720" w:right="22"/>
              <w:jc w:val="center"/>
              <w:rPr>
                <w:rFonts w:cs="Times New Roman"/>
                <w:color w:val="17365D"/>
                <w:sz w:val="18"/>
                <w:szCs w:val="18"/>
              </w:rPr>
            </w:pPr>
          </w:p>
        </w:tc>
        <w:tc>
          <w:tcPr>
            <w:tcW w:w="1276" w:type="dxa"/>
            <w:tcBorders>
              <w:top w:val="single" w:sz="4" w:space="0" w:color="17365D"/>
              <w:bottom w:val="single" w:sz="4" w:space="0" w:color="17365D"/>
            </w:tcBorders>
            <w:shd w:val="clear" w:color="auto" w:fill="auto"/>
            <w:vAlign w:val="center"/>
          </w:tcPr>
          <w:p w14:paraId="5C8E0EEA"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3 469 184 367</w:t>
            </w:r>
          </w:p>
        </w:tc>
        <w:tc>
          <w:tcPr>
            <w:tcW w:w="1593" w:type="dxa"/>
            <w:tcBorders>
              <w:top w:val="single" w:sz="4" w:space="0" w:color="17365D"/>
              <w:bottom w:val="single" w:sz="4" w:space="0" w:color="17365D"/>
            </w:tcBorders>
            <w:shd w:val="clear" w:color="auto" w:fill="auto"/>
            <w:vAlign w:val="center"/>
          </w:tcPr>
          <w:p w14:paraId="50DF1454"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1 595 109 579</w:t>
            </w:r>
          </w:p>
        </w:tc>
        <w:tc>
          <w:tcPr>
            <w:tcW w:w="1451" w:type="dxa"/>
            <w:tcBorders>
              <w:top w:val="single" w:sz="4" w:space="0" w:color="17365D"/>
              <w:bottom w:val="single" w:sz="4" w:space="0" w:color="17365D"/>
            </w:tcBorders>
            <w:shd w:val="clear" w:color="auto" w:fill="auto"/>
            <w:vAlign w:val="center"/>
          </w:tcPr>
          <w:p w14:paraId="191BB4E2"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1 874 074 788</w:t>
            </w:r>
          </w:p>
        </w:tc>
        <w:tc>
          <w:tcPr>
            <w:tcW w:w="1257" w:type="dxa"/>
            <w:tcBorders>
              <w:top w:val="single" w:sz="4" w:space="0" w:color="17365D"/>
              <w:bottom w:val="single" w:sz="4" w:space="0" w:color="17365D"/>
            </w:tcBorders>
            <w:shd w:val="clear" w:color="auto" w:fill="auto"/>
            <w:vAlign w:val="center"/>
          </w:tcPr>
          <w:p w14:paraId="56F6F7D3" w14:textId="77777777" w:rsidR="00FB11FC" w:rsidRPr="00177E3C" w:rsidRDefault="00FB11FC" w:rsidP="00C7199B">
            <w:pPr>
              <w:spacing w:after="0" w:line="240" w:lineRule="auto"/>
              <w:jc w:val="right"/>
              <w:rPr>
                <w:rFonts w:cs="Times New Roman"/>
                <w:b/>
                <w:color w:val="17365D"/>
                <w:sz w:val="18"/>
                <w:szCs w:val="18"/>
                <w:lang w:eastAsia="lv-LV"/>
              </w:rPr>
            </w:pPr>
            <w:r w:rsidRPr="00177E3C">
              <w:rPr>
                <w:rFonts w:cs="Times New Roman"/>
                <w:b/>
                <w:color w:val="17365D"/>
                <w:sz w:val="18"/>
                <w:szCs w:val="18"/>
                <w:lang w:eastAsia="lv-LV"/>
              </w:rPr>
              <w:t>117.49</w:t>
            </w:r>
          </w:p>
        </w:tc>
      </w:tr>
      <w:tr w:rsidR="00FB11FC" w:rsidRPr="00177E3C" w14:paraId="3328B32D" w14:textId="77777777" w:rsidTr="00A918B1">
        <w:trPr>
          <w:trHeight w:val="150"/>
        </w:trPr>
        <w:tc>
          <w:tcPr>
            <w:tcW w:w="2977" w:type="dxa"/>
            <w:tcBorders>
              <w:top w:val="single" w:sz="4" w:space="0" w:color="17365D"/>
              <w:bottom w:val="single" w:sz="4" w:space="0" w:color="17365D"/>
            </w:tcBorders>
            <w:shd w:val="clear" w:color="auto" w:fill="auto"/>
            <w:vAlign w:val="center"/>
          </w:tcPr>
          <w:p w14:paraId="7AB60ACB"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Nemateriālo ieguldījumu iegāde un avansa maksājumi par nemateriālajiem ieguldījumiem</w:t>
            </w:r>
          </w:p>
        </w:tc>
        <w:tc>
          <w:tcPr>
            <w:tcW w:w="944" w:type="dxa"/>
            <w:tcBorders>
              <w:top w:val="single" w:sz="4" w:space="0" w:color="17365D"/>
              <w:bottom w:val="single" w:sz="4" w:space="0" w:color="17365D"/>
            </w:tcBorders>
            <w:shd w:val="clear" w:color="auto" w:fill="auto"/>
            <w:vAlign w:val="center"/>
          </w:tcPr>
          <w:p w14:paraId="34C90D93"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201A95BF"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37 452 683</w:t>
            </w:r>
          </w:p>
        </w:tc>
        <w:tc>
          <w:tcPr>
            <w:tcW w:w="1593" w:type="dxa"/>
            <w:tcBorders>
              <w:top w:val="single" w:sz="4" w:space="0" w:color="17365D"/>
              <w:bottom w:val="single" w:sz="4" w:space="0" w:color="17365D"/>
            </w:tcBorders>
            <w:shd w:val="clear" w:color="auto" w:fill="auto"/>
            <w:vAlign w:val="center"/>
          </w:tcPr>
          <w:p w14:paraId="36EF95F5"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43 299 986</w:t>
            </w:r>
          </w:p>
        </w:tc>
        <w:tc>
          <w:tcPr>
            <w:tcW w:w="1451" w:type="dxa"/>
            <w:tcBorders>
              <w:top w:val="single" w:sz="4" w:space="0" w:color="17365D"/>
              <w:bottom w:val="single" w:sz="4" w:space="0" w:color="17365D"/>
            </w:tcBorders>
            <w:shd w:val="clear" w:color="auto" w:fill="auto"/>
            <w:vAlign w:val="center"/>
          </w:tcPr>
          <w:p w14:paraId="20589C1E"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-5 847 303</w:t>
            </w:r>
          </w:p>
        </w:tc>
        <w:tc>
          <w:tcPr>
            <w:tcW w:w="1257" w:type="dxa"/>
            <w:tcBorders>
              <w:top w:val="single" w:sz="4" w:space="0" w:color="17365D"/>
              <w:bottom w:val="single" w:sz="4" w:space="0" w:color="17365D"/>
            </w:tcBorders>
            <w:shd w:val="clear" w:color="auto" w:fill="auto"/>
            <w:vAlign w:val="center"/>
          </w:tcPr>
          <w:p w14:paraId="0269E2A6"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-13.50</w:t>
            </w:r>
          </w:p>
        </w:tc>
      </w:tr>
      <w:tr w:rsidR="00FB11FC" w:rsidRPr="00177E3C" w14:paraId="74F2058D" w14:textId="77777777" w:rsidTr="00A918B1">
        <w:trPr>
          <w:trHeight w:val="150"/>
        </w:trPr>
        <w:tc>
          <w:tcPr>
            <w:tcW w:w="2977" w:type="dxa"/>
            <w:tcBorders>
              <w:top w:val="single" w:sz="4" w:space="0" w:color="17365D"/>
              <w:bottom w:val="single" w:sz="4" w:space="0" w:color="17365D"/>
            </w:tcBorders>
            <w:shd w:val="clear" w:color="auto" w:fill="auto"/>
          </w:tcPr>
          <w:p w14:paraId="3B6E9A05"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Nemateriālo ieguldījumu izveidošana</w:t>
            </w:r>
          </w:p>
        </w:tc>
        <w:tc>
          <w:tcPr>
            <w:tcW w:w="944" w:type="dxa"/>
            <w:tcBorders>
              <w:top w:val="single" w:sz="4" w:space="0" w:color="17365D"/>
              <w:bottom w:val="single" w:sz="4" w:space="0" w:color="17365D"/>
            </w:tcBorders>
            <w:shd w:val="clear" w:color="auto" w:fill="auto"/>
            <w:vAlign w:val="center"/>
          </w:tcPr>
          <w:p w14:paraId="1D17860A"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2A7DE767"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45 884 215</w:t>
            </w:r>
          </w:p>
        </w:tc>
        <w:tc>
          <w:tcPr>
            <w:tcW w:w="1593" w:type="dxa"/>
            <w:tcBorders>
              <w:top w:val="single" w:sz="4" w:space="0" w:color="17365D"/>
              <w:bottom w:val="single" w:sz="4" w:space="0" w:color="17365D"/>
            </w:tcBorders>
            <w:shd w:val="clear" w:color="auto" w:fill="auto"/>
            <w:vAlign w:val="center"/>
          </w:tcPr>
          <w:p w14:paraId="3B2335FB"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53 966 223</w:t>
            </w:r>
          </w:p>
        </w:tc>
        <w:tc>
          <w:tcPr>
            <w:tcW w:w="1451" w:type="dxa"/>
            <w:tcBorders>
              <w:top w:val="single" w:sz="4" w:space="0" w:color="17365D"/>
              <w:bottom w:val="single" w:sz="4" w:space="0" w:color="17365D"/>
            </w:tcBorders>
            <w:shd w:val="clear" w:color="auto" w:fill="auto"/>
            <w:vAlign w:val="center"/>
          </w:tcPr>
          <w:p w14:paraId="50DAB6AC"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-8 082 008</w:t>
            </w:r>
          </w:p>
        </w:tc>
        <w:tc>
          <w:tcPr>
            <w:tcW w:w="1257" w:type="dxa"/>
            <w:tcBorders>
              <w:top w:val="single" w:sz="4" w:space="0" w:color="17365D"/>
              <w:bottom w:val="single" w:sz="4" w:space="0" w:color="17365D"/>
            </w:tcBorders>
            <w:shd w:val="clear" w:color="auto" w:fill="auto"/>
            <w:vAlign w:val="center"/>
          </w:tcPr>
          <w:p w14:paraId="719ED22D"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-14.98</w:t>
            </w:r>
          </w:p>
        </w:tc>
      </w:tr>
      <w:tr w:rsidR="00FB11FC" w:rsidRPr="00177E3C" w14:paraId="06F6621D" w14:textId="77777777" w:rsidTr="00A918B1">
        <w:trPr>
          <w:trHeight w:val="150"/>
        </w:trPr>
        <w:tc>
          <w:tcPr>
            <w:tcW w:w="2977" w:type="dxa"/>
            <w:tcBorders>
              <w:top w:val="single" w:sz="4" w:space="0" w:color="17365D"/>
              <w:bottom w:val="single" w:sz="4" w:space="0" w:color="17365D"/>
            </w:tcBorders>
            <w:shd w:val="clear" w:color="auto" w:fill="auto"/>
          </w:tcPr>
          <w:p w14:paraId="03CBE025"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Pamatlīdzekļu iegāde un avansa maksājumi par pamatlīdzekļiem</w:t>
            </w:r>
          </w:p>
        </w:tc>
        <w:tc>
          <w:tcPr>
            <w:tcW w:w="944" w:type="dxa"/>
            <w:tcBorders>
              <w:top w:val="single" w:sz="4" w:space="0" w:color="17365D"/>
              <w:bottom w:val="single" w:sz="4" w:space="0" w:color="17365D"/>
            </w:tcBorders>
            <w:shd w:val="clear" w:color="auto" w:fill="auto"/>
            <w:vAlign w:val="center"/>
          </w:tcPr>
          <w:p w14:paraId="3F62B0E6" w14:textId="1889992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NP.B23</w:t>
            </w:r>
            <w:r w:rsidR="006E6B94">
              <w:rPr>
                <w:bCs/>
                <w:color w:val="17365D"/>
                <w:sz w:val="18"/>
                <w:szCs w:val="18"/>
                <w:lang w:eastAsia="lv-LV"/>
              </w:rPr>
              <w:t>.</w:t>
            </w:r>
          </w:p>
        </w:tc>
        <w:tc>
          <w:tcPr>
            <w:tcW w:w="1276" w:type="dxa"/>
            <w:tcBorders>
              <w:top w:val="single" w:sz="4" w:space="0" w:color="17365D"/>
              <w:bottom w:val="single" w:sz="4" w:space="0" w:color="17365D"/>
            </w:tcBorders>
            <w:shd w:val="clear" w:color="auto" w:fill="auto"/>
            <w:vAlign w:val="center"/>
          </w:tcPr>
          <w:p w14:paraId="48295001"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797 925 041</w:t>
            </w:r>
          </w:p>
        </w:tc>
        <w:tc>
          <w:tcPr>
            <w:tcW w:w="1593" w:type="dxa"/>
            <w:tcBorders>
              <w:top w:val="single" w:sz="4" w:space="0" w:color="17365D"/>
              <w:bottom w:val="single" w:sz="4" w:space="0" w:color="17365D"/>
            </w:tcBorders>
            <w:shd w:val="clear" w:color="auto" w:fill="auto"/>
            <w:vAlign w:val="center"/>
          </w:tcPr>
          <w:p w14:paraId="73EF1824"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687 945 771</w:t>
            </w:r>
          </w:p>
        </w:tc>
        <w:tc>
          <w:tcPr>
            <w:tcW w:w="1451" w:type="dxa"/>
            <w:tcBorders>
              <w:top w:val="single" w:sz="4" w:space="0" w:color="17365D"/>
              <w:bottom w:val="single" w:sz="4" w:space="0" w:color="17365D"/>
            </w:tcBorders>
            <w:shd w:val="clear" w:color="auto" w:fill="auto"/>
            <w:vAlign w:val="center"/>
          </w:tcPr>
          <w:p w14:paraId="367E1EDB"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109 979 270</w:t>
            </w:r>
          </w:p>
        </w:tc>
        <w:tc>
          <w:tcPr>
            <w:tcW w:w="1257" w:type="dxa"/>
            <w:tcBorders>
              <w:top w:val="single" w:sz="4" w:space="0" w:color="17365D"/>
              <w:bottom w:val="single" w:sz="4" w:space="0" w:color="17365D"/>
            </w:tcBorders>
            <w:shd w:val="clear" w:color="auto" w:fill="auto"/>
            <w:vAlign w:val="center"/>
          </w:tcPr>
          <w:p w14:paraId="1F72821D"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15.99</w:t>
            </w:r>
          </w:p>
        </w:tc>
      </w:tr>
      <w:tr w:rsidR="00FB11FC" w:rsidRPr="00177E3C" w14:paraId="5F817704" w14:textId="77777777" w:rsidTr="00A918B1">
        <w:trPr>
          <w:trHeight w:val="150"/>
        </w:trPr>
        <w:tc>
          <w:tcPr>
            <w:tcW w:w="2977" w:type="dxa"/>
            <w:tcBorders>
              <w:top w:val="single" w:sz="4" w:space="0" w:color="17365D"/>
              <w:bottom w:val="single" w:sz="4" w:space="0" w:color="17365D"/>
            </w:tcBorders>
            <w:shd w:val="clear" w:color="auto" w:fill="auto"/>
          </w:tcPr>
          <w:p w14:paraId="351EA244"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Pamatlīdzekļu izveidošana un nepabeigtā būvniecība</w:t>
            </w:r>
          </w:p>
        </w:tc>
        <w:tc>
          <w:tcPr>
            <w:tcW w:w="944" w:type="dxa"/>
            <w:tcBorders>
              <w:top w:val="single" w:sz="4" w:space="0" w:color="17365D"/>
              <w:bottom w:val="single" w:sz="4" w:space="0" w:color="17365D"/>
            </w:tcBorders>
            <w:shd w:val="clear" w:color="auto" w:fill="auto"/>
            <w:vAlign w:val="center"/>
          </w:tcPr>
          <w:p w14:paraId="7343D93A"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0CF16DB3"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668 530 414</w:t>
            </w:r>
          </w:p>
        </w:tc>
        <w:tc>
          <w:tcPr>
            <w:tcW w:w="1593" w:type="dxa"/>
            <w:tcBorders>
              <w:top w:val="single" w:sz="4" w:space="0" w:color="17365D"/>
              <w:bottom w:val="single" w:sz="4" w:space="0" w:color="17365D"/>
            </w:tcBorders>
            <w:shd w:val="clear" w:color="auto" w:fill="auto"/>
            <w:vAlign w:val="center"/>
          </w:tcPr>
          <w:p w14:paraId="250A2799"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668 917 116</w:t>
            </w:r>
          </w:p>
        </w:tc>
        <w:tc>
          <w:tcPr>
            <w:tcW w:w="1451" w:type="dxa"/>
            <w:tcBorders>
              <w:top w:val="single" w:sz="4" w:space="0" w:color="17365D"/>
              <w:bottom w:val="single" w:sz="4" w:space="0" w:color="17365D"/>
            </w:tcBorders>
            <w:shd w:val="clear" w:color="auto" w:fill="auto"/>
            <w:vAlign w:val="center"/>
          </w:tcPr>
          <w:p w14:paraId="119DDB92"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-386 702</w:t>
            </w:r>
          </w:p>
        </w:tc>
        <w:tc>
          <w:tcPr>
            <w:tcW w:w="1257" w:type="dxa"/>
            <w:tcBorders>
              <w:top w:val="single" w:sz="4" w:space="0" w:color="17365D"/>
              <w:bottom w:val="single" w:sz="4" w:space="0" w:color="17365D"/>
            </w:tcBorders>
            <w:shd w:val="clear" w:color="auto" w:fill="auto"/>
            <w:vAlign w:val="center"/>
          </w:tcPr>
          <w:p w14:paraId="6FFD3259"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-0.06</w:t>
            </w:r>
          </w:p>
        </w:tc>
      </w:tr>
      <w:tr w:rsidR="00FB11FC" w:rsidRPr="00177E3C" w14:paraId="1EF3366A" w14:textId="77777777" w:rsidTr="00A918B1">
        <w:trPr>
          <w:trHeight w:val="141"/>
        </w:trPr>
        <w:tc>
          <w:tcPr>
            <w:tcW w:w="2977" w:type="dxa"/>
            <w:tcBorders>
              <w:top w:val="single" w:sz="4" w:space="0" w:color="17365D"/>
              <w:bottom w:val="single" w:sz="4" w:space="0" w:color="17365D"/>
            </w:tcBorders>
            <w:shd w:val="clear" w:color="auto" w:fill="auto"/>
          </w:tcPr>
          <w:p w14:paraId="04BFC9DF"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Līdzdalības kapitālsabiedrību kapitālā, akciju un vērtspapīru iegāde</w:t>
            </w:r>
          </w:p>
        </w:tc>
        <w:tc>
          <w:tcPr>
            <w:tcW w:w="944" w:type="dxa"/>
            <w:tcBorders>
              <w:top w:val="single" w:sz="4" w:space="0" w:color="17365D"/>
              <w:bottom w:val="single" w:sz="4" w:space="0" w:color="17365D"/>
            </w:tcBorders>
            <w:shd w:val="clear" w:color="auto" w:fill="auto"/>
            <w:vAlign w:val="center"/>
          </w:tcPr>
          <w:p w14:paraId="4CB01553" w14:textId="0C59F9BF"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1A2EFC87"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138 638 553</w:t>
            </w:r>
          </w:p>
        </w:tc>
        <w:tc>
          <w:tcPr>
            <w:tcW w:w="1593" w:type="dxa"/>
            <w:tcBorders>
              <w:top w:val="single" w:sz="4" w:space="0" w:color="17365D"/>
              <w:bottom w:val="single" w:sz="4" w:space="0" w:color="17365D"/>
            </w:tcBorders>
            <w:shd w:val="clear" w:color="auto" w:fill="auto"/>
            <w:vAlign w:val="center"/>
          </w:tcPr>
          <w:p w14:paraId="179A85B0"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51 961 129</w:t>
            </w:r>
          </w:p>
        </w:tc>
        <w:tc>
          <w:tcPr>
            <w:tcW w:w="1451" w:type="dxa"/>
            <w:tcBorders>
              <w:top w:val="single" w:sz="4" w:space="0" w:color="17365D"/>
              <w:bottom w:val="single" w:sz="4" w:space="0" w:color="17365D"/>
            </w:tcBorders>
            <w:shd w:val="clear" w:color="auto" w:fill="auto"/>
            <w:vAlign w:val="center"/>
          </w:tcPr>
          <w:p w14:paraId="1E075EB9"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86 677 424</w:t>
            </w:r>
          </w:p>
        </w:tc>
        <w:tc>
          <w:tcPr>
            <w:tcW w:w="1257" w:type="dxa"/>
            <w:tcBorders>
              <w:top w:val="single" w:sz="4" w:space="0" w:color="17365D"/>
              <w:bottom w:val="single" w:sz="4" w:space="0" w:color="17365D"/>
            </w:tcBorders>
            <w:shd w:val="clear" w:color="auto" w:fill="auto"/>
            <w:vAlign w:val="center"/>
          </w:tcPr>
          <w:p w14:paraId="1BC99203"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166.81</w:t>
            </w:r>
          </w:p>
        </w:tc>
      </w:tr>
      <w:tr w:rsidR="00FB11FC" w:rsidRPr="00177E3C" w14:paraId="56C76FAC" w14:textId="77777777" w:rsidTr="00A918B1">
        <w:trPr>
          <w:trHeight w:val="141"/>
        </w:trPr>
        <w:tc>
          <w:tcPr>
            <w:tcW w:w="2977" w:type="dxa"/>
            <w:tcBorders>
              <w:top w:val="single" w:sz="4" w:space="0" w:color="17365D"/>
              <w:bottom w:val="single" w:sz="4" w:space="0" w:color="17365D"/>
            </w:tcBorders>
            <w:shd w:val="clear" w:color="auto" w:fill="auto"/>
          </w:tcPr>
          <w:p w14:paraId="737B3242"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Procentu izdevumi</w:t>
            </w:r>
          </w:p>
        </w:tc>
        <w:tc>
          <w:tcPr>
            <w:tcW w:w="944" w:type="dxa"/>
            <w:tcBorders>
              <w:top w:val="single" w:sz="4" w:space="0" w:color="17365D"/>
              <w:bottom w:val="single" w:sz="4" w:space="0" w:color="17365D"/>
            </w:tcBorders>
            <w:shd w:val="clear" w:color="auto" w:fill="auto"/>
            <w:vAlign w:val="center"/>
          </w:tcPr>
          <w:p w14:paraId="5843FF31" w14:textId="77777777" w:rsidR="00FB11FC" w:rsidRPr="00177E3C" w:rsidRDefault="00FB11FC" w:rsidP="00C7199B">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43A1E653"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1 648 448</w:t>
            </w:r>
          </w:p>
        </w:tc>
        <w:tc>
          <w:tcPr>
            <w:tcW w:w="1593" w:type="dxa"/>
            <w:tcBorders>
              <w:top w:val="single" w:sz="4" w:space="0" w:color="17365D"/>
              <w:bottom w:val="single" w:sz="4" w:space="0" w:color="17365D"/>
            </w:tcBorders>
            <w:shd w:val="clear" w:color="auto" w:fill="auto"/>
            <w:vAlign w:val="center"/>
          </w:tcPr>
          <w:p w14:paraId="350DCABB"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1 014 222</w:t>
            </w:r>
          </w:p>
        </w:tc>
        <w:tc>
          <w:tcPr>
            <w:tcW w:w="1451" w:type="dxa"/>
            <w:tcBorders>
              <w:top w:val="single" w:sz="4" w:space="0" w:color="17365D"/>
              <w:bottom w:val="single" w:sz="4" w:space="0" w:color="17365D"/>
            </w:tcBorders>
            <w:shd w:val="clear" w:color="auto" w:fill="auto"/>
            <w:vAlign w:val="center"/>
          </w:tcPr>
          <w:p w14:paraId="6D2733D5"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634 226</w:t>
            </w:r>
          </w:p>
        </w:tc>
        <w:tc>
          <w:tcPr>
            <w:tcW w:w="1257" w:type="dxa"/>
            <w:tcBorders>
              <w:top w:val="single" w:sz="4" w:space="0" w:color="17365D"/>
              <w:bottom w:val="single" w:sz="4" w:space="0" w:color="17365D"/>
            </w:tcBorders>
            <w:shd w:val="clear" w:color="auto" w:fill="auto"/>
            <w:vAlign w:val="center"/>
          </w:tcPr>
          <w:p w14:paraId="13FC72A9"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62.53</w:t>
            </w:r>
          </w:p>
        </w:tc>
      </w:tr>
      <w:tr w:rsidR="00FB11FC" w:rsidRPr="00177E3C" w14:paraId="79A67200" w14:textId="77777777" w:rsidTr="00A918B1">
        <w:trPr>
          <w:trHeight w:val="319"/>
        </w:trPr>
        <w:tc>
          <w:tcPr>
            <w:tcW w:w="2977" w:type="dxa"/>
            <w:tcBorders>
              <w:top w:val="single" w:sz="4" w:space="0" w:color="17365D"/>
              <w:bottom w:val="single" w:sz="4" w:space="0" w:color="17365D"/>
            </w:tcBorders>
            <w:shd w:val="clear" w:color="auto" w:fill="auto"/>
          </w:tcPr>
          <w:p w14:paraId="3C13EEC1" w14:textId="77777777"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Citi izdevumi no ieguldījumu darbības</w:t>
            </w:r>
          </w:p>
        </w:tc>
        <w:tc>
          <w:tcPr>
            <w:tcW w:w="944" w:type="dxa"/>
            <w:tcBorders>
              <w:top w:val="single" w:sz="4" w:space="0" w:color="17365D"/>
              <w:bottom w:val="single" w:sz="4" w:space="0" w:color="17365D"/>
            </w:tcBorders>
            <w:shd w:val="clear" w:color="auto" w:fill="auto"/>
            <w:vAlign w:val="center"/>
          </w:tcPr>
          <w:p w14:paraId="63BB30B6" w14:textId="171CDA53" w:rsidR="00FB11FC" w:rsidRPr="00177E3C" w:rsidRDefault="00FB11FC" w:rsidP="00C7199B">
            <w:pPr>
              <w:pStyle w:val="Tabulasteksts"/>
              <w:rPr>
                <w:bCs/>
                <w:color w:val="17365D"/>
                <w:sz w:val="18"/>
                <w:szCs w:val="18"/>
                <w:lang w:eastAsia="lv-LV"/>
              </w:rPr>
            </w:pPr>
            <w:r w:rsidRPr="00177E3C">
              <w:rPr>
                <w:bCs/>
                <w:color w:val="17365D"/>
                <w:sz w:val="18"/>
                <w:szCs w:val="18"/>
                <w:lang w:eastAsia="lv-LV"/>
              </w:rPr>
              <w:t>NP.B27</w:t>
            </w:r>
            <w:r w:rsidR="006E6B94">
              <w:rPr>
                <w:bCs/>
                <w:color w:val="17365D"/>
                <w:sz w:val="18"/>
                <w:szCs w:val="18"/>
                <w:lang w:eastAsia="lv-LV"/>
              </w:rPr>
              <w:t>.</w:t>
            </w:r>
          </w:p>
        </w:tc>
        <w:tc>
          <w:tcPr>
            <w:tcW w:w="1276" w:type="dxa"/>
            <w:tcBorders>
              <w:top w:val="single" w:sz="4" w:space="0" w:color="17365D"/>
              <w:bottom w:val="single" w:sz="4" w:space="0" w:color="17365D"/>
            </w:tcBorders>
            <w:shd w:val="clear" w:color="auto" w:fill="auto"/>
            <w:vAlign w:val="center"/>
          </w:tcPr>
          <w:p w14:paraId="1F48A4B7" w14:textId="77777777" w:rsidR="00FB11FC" w:rsidRPr="00177E3C" w:rsidRDefault="00FB11FC" w:rsidP="00C7199B">
            <w:pPr>
              <w:pStyle w:val="Tabulasteksts"/>
              <w:jc w:val="right"/>
              <w:rPr>
                <w:bCs/>
                <w:color w:val="17365D"/>
                <w:sz w:val="18"/>
                <w:szCs w:val="18"/>
                <w:lang w:eastAsia="lv-LV"/>
              </w:rPr>
            </w:pPr>
            <w:r w:rsidRPr="00177E3C">
              <w:rPr>
                <w:color w:val="17365D"/>
                <w:sz w:val="18"/>
                <w:szCs w:val="18"/>
              </w:rPr>
              <w:t>1 779 105 013</w:t>
            </w:r>
          </w:p>
        </w:tc>
        <w:tc>
          <w:tcPr>
            <w:tcW w:w="1593" w:type="dxa"/>
            <w:tcBorders>
              <w:top w:val="single" w:sz="4" w:space="0" w:color="17365D"/>
              <w:bottom w:val="single" w:sz="4" w:space="0" w:color="17365D"/>
            </w:tcBorders>
            <w:shd w:val="clear" w:color="auto" w:fill="auto"/>
            <w:vAlign w:val="center"/>
          </w:tcPr>
          <w:p w14:paraId="40E3B7DA"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88 005 132</w:t>
            </w:r>
          </w:p>
        </w:tc>
        <w:tc>
          <w:tcPr>
            <w:tcW w:w="1451" w:type="dxa"/>
            <w:tcBorders>
              <w:top w:val="single" w:sz="4" w:space="0" w:color="17365D"/>
              <w:bottom w:val="single" w:sz="4" w:space="0" w:color="17365D"/>
            </w:tcBorders>
            <w:shd w:val="clear" w:color="auto" w:fill="auto"/>
            <w:vAlign w:val="center"/>
          </w:tcPr>
          <w:p w14:paraId="7B1108F3" w14:textId="77777777" w:rsidR="00FB11FC" w:rsidRPr="00177E3C" w:rsidRDefault="00FB11FC" w:rsidP="00C7199B">
            <w:pPr>
              <w:pStyle w:val="Tabulasteksts"/>
              <w:jc w:val="right"/>
              <w:rPr>
                <w:bCs/>
                <w:color w:val="17365D"/>
                <w:sz w:val="18"/>
                <w:szCs w:val="18"/>
                <w:lang w:eastAsia="lv-LV"/>
              </w:rPr>
            </w:pPr>
            <w:r w:rsidRPr="00177E3C">
              <w:rPr>
                <w:color w:val="17365D"/>
                <w:sz w:val="18"/>
                <w:szCs w:val="18"/>
              </w:rPr>
              <w:t>1 691 099 881</w:t>
            </w:r>
          </w:p>
        </w:tc>
        <w:tc>
          <w:tcPr>
            <w:tcW w:w="1257" w:type="dxa"/>
            <w:tcBorders>
              <w:top w:val="single" w:sz="4" w:space="0" w:color="17365D"/>
              <w:bottom w:val="single" w:sz="4" w:space="0" w:color="17365D"/>
            </w:tcBorders>
            <w:shd w:val="clear" w:color="auto" w:fill="auto"/>
            <w:vAlign w:val="center"/>
          </w:tcPr>
          <w:p w14:paraId="57913B8D" w14:textId="77777777" w:rsidR="00FB11FC" w:rsidRPr="00177E3C" w:rsidRDefault="00FB11FC" w:rsidP="00C7199B">
            <w:pPr>
              <w:pStyle w:val="Tabulasteksts"/>
              <w:jc w:val="right"/>
              <w:rPr>
                <w:bCs/>
                <w:color w:val="17365D"/>
                <w:sz w:val="18"/>
                <w:szCs w:val="18"/>
                <w:lang w:eastAsia="lv-LV"/>
              </w:rPr>
            </w:pPr>
            <w:r w:rsidRPr="00177E3C">
              <w:rPr>
                <w:bCs/>
                <w:color w:val="17365D"/>
                <w:sz w:val="18"/>
                <w:szCs w:val="18"/>
                <w:lang w:eastAsia="lv-LV"/>
              </w:rPr>
              <w:t>1921.59</w:t>
            </w:r>
          </w:p>
        </w:tc>
      </w:tr>
      <w:tr w:rsidR="00FB11FC" w:rsidRPr="00177E3C" w14:paraId="546E3976" w14:textId="77777777" w:rsidTr="00A918B1">
        <w:trPr>
          <w:trHeight w:val="224"/>
        </w:trPr>
        <w:tc>
          <w:tcPr>
            <w:tcW w:w="2977" w:type="dxa"/>
            <w:tcBorders>
              <w:top w:val="single" w:sz="4" w:space="0" w:color="17365D"/>
            </w:tcBorders>
            <w:shd w:val="clear" w:color="auto" w:fill="B9CDE5"/>
            <w:vAlign w:val="center"/>
          </w:tcPr>
          <w:p w14:paraId="01706BC8" w14:textId="77777777" w:rsidR="00FB11FC" w:rsidRPr="00177E3C" w:rsidRDefault="00FB11FC" w:rsidP="00C7199B">
            <w:pPr>
              <w:spacing w:after="0" w:line="240" w:lineRule="auto"/>
              <w:rPr>
                <w:rFonts w:cs="Times New Roman"/>
                <w:color w:val="17365D"/>
                <w:sz w:val="18"/>
                <w:szCs w:val="18"/>
              </w:rPr>
            </w:pPr>
          </w:p>
        </w:tc>
        <w:tc>
          <w:tcPr>
            <w:tcW w:w="944" w:type="dxa"/>
            <w:tcBorders>
              <w:top w:val="single" w:sz="4" w:space="0" w:color="17365D"/>
            </w:tcBorders>
            <w:shd w:val="clear" w:color="auto" w:fill="B9CDE5"/>
            <w:vAlign w:val="center"/>
          </w:tcPr>
          <w:p w14:paraId="50E37BD9" w14:textId="77777777" w:rsidR="00FB11FC" w:rsidRPr="00177E3C" w:rsidRDefault="00FB11FC" w:rsidP="00C7199B">
            <w:pPr>
              <w:spacing w:after="0" w:line="240" w:lineRule="auto"/>
              <w:jc w:val="center"/>
              <w:rPr>
                <w:rFonts w:cs="Times New Roman"/>
                <w:color w:val="17365D"/>
                <w:sz w:val="18"/>
                <w:szCs w:val="18"/>
              </w:rPr>
            </w:pPr>
          </w:p>
        </w:tc>
        <w:tc>
          <w:tcPr>
            <w:tcW w:w="1276" w:type="dxa"/>
            <w:tcBorders>
              <w:top w:val="single" w:sz="4" w:space="0" w:color="17365D"/>
            </w:tcBorders>
            <w:shd w:val="clear" w:color="auto" w:fill="B9CDE5"/>
            <w:vAlign w:val="center"/>
          </w:tcPr>
          <w:p w14:paraId="42130368" w14:textId="77777777" w:rsidR="00FB11FC" w:rsidRPr="00177E3C" w:rsidRDefault="00FB11FC" w:rsidP="00C7199B">
            <w:pPr>
              <w:spacing w:after="0" w:line="240" w:lineRule="auto"/>
              <w:jc w:val="right"/>
              <w:rPr>
                <w:rFonts w:cs="Times New Roman"/>
                <w:color w:val="17365D"/>
                <w:sz w:val="18"/>
                <w:szCs w:val="18"/>
              </w:rPr>
            </w:pPr>
          </w:p>
        </w:tc>
        <w:tc>
          <w:tcPr>
            <w:tcW w:w="1593" w:type="dxa"/>
            <w:tcBorders>
              <w:top w:val="single" w:sz="4" w:space="0" w:color="17365D"/>
            </w:tcBorders>
            <w:shd w:val="clear" w:color="auto" w:fill="B9CDE5"/>
            <w:vAlign w:val="center"/>
          </w:tcPr>
          <w:p w14:paraId="6E768E56" w14:textId="77777777" w:rsidR="00FB11FC" w:rsidRPr="00177E3C" w:rsidRDefault="00FB11FC" w:rsidP="00C7199B">
            <w:pPr>
              <w:spacing w:after="0" w:line="240" w:lineRule="auto"/>
              <w:jc w:val="right"/>
              <w:rPr>
                <w:rFonts w:cs="Times New Roman"/>
                <w:color w:val="17365D"/>
                <w:sz w:val="18"/>
                <w:szCs w:val="18"/>
              </w:rPr>
            </w:pPr>
          </w:p>
        </w:tc>
        <w:tc>
          <w:tcPr>
            <w:tcW w:w="1451" w:type="dxa"/>
            <w:tcBorders>
              <w:top w:val="single" w:sz="4" w:space="0" w:color="17365D"/>
            </w:tcBorders>
            <w:shd w:val="clear" w:color="auto" w:fill="B9CDE5"/>
            <w:vAlign w:val="center"/>
          </w:tcPr>
          <w:p w14:paraId="553F661D" w14:textId="77777777" w:rsidR="00FB11FC" w:rsidRPr="00177E3C" w:rsidRDefault="00FB11FC" w:rsidP="00C7199B">
            <w:pPr>
              <w:spacing w:after="0" w:line="240" w:lineRule="auto"/>
              <w:jc w:val="right"/>
              <w:rPr>
                <w:rFonts w:cs="Times New Roman"/>
                <w:color w:val="17365D"/>
                <w:sz w:val="18"/>
                <w:szCs w:val="18"/>
              </w:rPr>
            </w:pPr>
          </w:p>
        </w:tc>
        <w:tc>
          <w:tcPr>
            <w:tcW w:w="1257" w:type="dxa"/>
            <w:tcBorders>
              <w:top w:val="single" w:sz="4" w:space="0" w:color="17365D"/>
            </w:tcBorders>
            <w:shd w:val="clear" w:color="auto" w:fill="B9CDE5"/>
            <w:vAlign w:val="center"/>
          </w:tcPr>
          <w:p w14:paraId="7C3D3D86" w14:textId="77777777" w:rsidR="00FB11FC" w:rsidRPr="00177E3C" w:rsidRDefault="00FB11FC" w:rsidP="00C7199B">
            <w:pPr>
              <w:spacing w:after="0" w:line="240" w:lineRule="auto"/>
              <w:jc w:val="right"/>
              <w:rPr>
                <w:rFonts w:cs="Times New Roman"/>
                <w:color w:val="17365D"/>
                <w:sz w:val="18"/>
                <w:szCs w:val="18"/>
              </w:rPr>
            </w:pPr>
          </w:p>
        </w:tc>
      </w:tr>
    </w:tbl>
    <w:p w14:paraId="2F7695C5" w14:textId="77777777" w:rsidR="00FB11FC" w:rsidRPr="00177E3C" w:rsidRDefault="00FB11FC" w:rsidP="00FB11FC">
      <w:pPr>
        <w:pStyle w:val="Heading4"/>
      </w:pPr>
      <w:r w:rsidRPr="00177E3C">
        <w:t>Piezīme Nr. NP.B15. Citi ieņēmumi no ieguldījumu darbības</w:t>
      </w:r>
    </w:p>
    <w:p w14:paraId="735C850C" w14:textId="2519CC63" w:rsidR="00FB11FC" w:rsidRPr="00177E3C" w:rsidRDefault="00FB11FC" w:rsidP="002A2F6E">
      <w:pPr>
        <w:pStyle w:val="Pamatteksts1"/>
        <w:rPr>
          <w:bCs/>
        </w:rPr>
      </w:pPr>
      <w:r w:rsidRPr="00177E3C">
        <w:rPr>
          <w:bCs/>
        </w:rPr>
        <w:t xml:space="preserve">Šī posteņa palielinājums veidojas, </w:t>
      </w:r>
      <w:r w:rsidRPr="00177E3C">
        <w:t xml:space="preserve">jo pārskata gadā </w:t>
      </w:r>
      <w:r w:rsidR="003B3208" w:rsidRPr="003B3208">
        <w:t xml:space="preserve">veiksmīgi </w:t>
      </w:r>
      <w:r w:rsidR="003B3208">
        <w:t>īstenojot</w:t>
      </w:r>
      <w:r w:rsidR="003B3208" w:rsidRPr="003B3208">
        <w:t xml:space="preserve"> likviditātes vadīb</w:t>
      </w:r>
      <w:r w:rsidR="003B3208">
        <w:t>u</w:t>
      </w:r>
      <w:r w:rsidRPr="00177E3C">
        <w:rPr>
          <w:bCs/>
        </w:rPr>
        <w:t>:</w:t>
      </w:r>
    </w:p>
    <w:p w14:paraId="3F691F6F" w14:textId="7DF6F45F" w:rsidR="00FB11FC" w:rsidRPr="003B3208" w:rsidRDefault="003B3208" w:rsidP="003B3208">
      <w:pPr>
        <w:pStyle w:val="Bullets"/>
        <w:rPr>
          <w:bCs/>
        </w:rPr>
      </w:pPr>
      <w:r>
        <w:t>v</w:t>
      </w:r>
      <w:r w:rsidR="00FB11FC" w:rsidRPr="00177E3C">
        <w:t xml:space="preserve">alsts budžeta finanšu uzskaitē </w:t>
      </w:r>
      <w:r>
        <w:t xml:space="preserve">palielinājumu </w:t>
      </w:r>
      <w:r w:rsidR="00FB11FC" w:rsidRPr="00177E3C">
        <w:t xml:space="preserve">veido fiksētas likmes īstermiņa noguldījumu izņemšana no ārvalstu kredītiestādēm </w:t>
      </w:r>
      <w:r w:rsidR="00FB11FC">
        <w:t>1</w:t>
      </w:r>
      <w:r w:rsidR="00F810A4">
        <w:t> </w:t>
      </w:r>
      <w:r w:rsidR="00FB11FC">
        <w:t>6</w:t>
      </w:r>
      <w:r w:rsidR="00FB11FC" w:rsidRPr="00177E3C">
        <w:t>45</w:t>
      </w:r>
      <w:r w:rsidR="00F810A4">
        <w:t>,0</w:t>
      </w:r>
      <w:r w:rsidR="00FB11FC" w:rsidRPr="00177E3C">
        <w:t> </w:t>
      </w:r>
      <w:r w:rsidR="00F810A4">
        <w:t>milj.</w:t>
      </w:r>
      <w:r w:rsidR="00FB11FC" w:rsidRPr="00177E3C">
        <w:t xml:space="preserve"> </w:t>
      </w:r>
      <w:r w:rsidR="00FB11FC" w:rsidRPr="003B3208">
        <w:rPr>
          <w:i/>
        </w:rPr>
        <w:t>euro</w:t>
      </w:r>
      <w:r w:rsidR="00FB11FC" w:rsidRPr="00177E3C">
        <w:t xml:space="preserve"> vērtībā;</w:t>
      </w:r>
    </w:p>
    <w:p w14:paraId="3EE7CBC0" w14:textId="0609E3F1" w:rsidR="00FB11FC" w:rsidRPr="00177E3C" w:rsidRDefault="00FB11FC" w:rsidP="002A2F6E">
      <w:pPr>
        <w:pStyle w:val="Bullets"/>
        <w:rPr>
          <w:bCs/>
        </w:rPr>
      </w:pPr>
      <w:r w:rsidRPr="00177E3C">
        <w:t>Veselības ministrija</w:t>
      </w:r>
      <w:r w:rsidR="005F47C7">
        <w:t>i</w:t>
      </w:r>
      <w:r w:rsidRPr="00177E3C">
        <w:t xml:space="preserve"> (</w:t>
      </w:r>
      <w:r w:rsidR="003B558D" w:rsidRPr="003B558D">
        <w:t>Rīgas Stradiņa universitāte</w:t>
      </w:r>
      <w:r w:rsidR="005F47C7">
        <w:t>i</w:t>
      </w:r>
      <w:r w:rsidRPr="00177E3C">
        <w:t>)</w:t>
      </w:r>
      <w:r w:rsidR="005F47C7" w:rsidRPr="005F47C7">
        <w:t xml:space="preserve"> </w:t>
      </w:r>
      <w:r w:rsidR="005F47C7" w:rsidRPr="00177E3C">
        <w:t>palielinājum</w:t>
      </w:r>
      <w:r w:rsidR="005F47C7">
        <w:t>s</w:t>
      </w:r>
      <w:r w:rsidRPr="00177E3C">
        <w:t xml:space="preserve"> </w:t>
      </w:r>
      <w:r w:rsidR="005F47C7">
        <w:rPr>
          <w:bCs/>
        </w:rPr>
        <w:t>31,0</w:t>
      </w:r>
      <w:r w:rsidR="005F47C7" w:rsidRPr="00177E3C">
        <w:rPr>
          <w:bCs/>
        </w:rPr>
        <w:t> </w:t>
      </w:r>
      <w:r w:rsidR="005F47C7">
        <w:rPr>
          <w:bCs/>
        </w:rPr>
        <w:t>milj.</w:t>
      </w:r>
      <w:r w:rsidR="005F47C7" w:rsidRPr="00177E3C">
        <w:rPr>
          <w:bCs/>
        </w:rPr>
        <w:t xml:space="preserve"> </w:t>
      </w:r>
      <w:r w:rsidR="005F47C7" w:rsidRPr="00177E3C">
        <w:rPr>
          <w:bCs/>
          <w:i/>
        </w:rPr>
        <w:t>euro</w:t>
      </w:r>
      <w:r w:rsidR="005F47C7" w:rsidRPr="00177E3C">
        <w:rPr>
          <w:bCs/>
        </w:rPr>
        <w:t xml:space="preserve"> vērtībā</w:t>
      </w:r>
      <w:r w:rsidR="005F47C7">
        <w:rPr>
          <w:bCs/>
        </w:rPr>
        <w:t>,</w:t>
      </w:r>
      <w:r w:rsidR="005F47C7" w:rsidRPr="00177E3C">
        <w:t xml:space="preserve"> </w:t>
      </w:r>
      <w:r w:rsidRPr="00177E3C">
        <w:t>2024.</w:t>
      </w:r>
      <w:r w:rsidR="003B558D">
        <w:t> </w:t>
      </w:r>
      <w:r w:rsidRPr="00177E3C">
        <w:t xml:space="preserve">gadā regulāri izmantotais termiņnoguldījumu pakalpojums veicināja uzkrāto līdzekļu </w:t>
      </w:r>
      <w:r w:rsidR="003B3208">
        <w:t>pieaugumu</w:t>
      </w:r>
      <w:r w:rsidRPr="00177E3C">
        <w:rPr>
          <w:bCs/>
        </w:rPr>
        <w:t>;</w:t>
      </w:r>
    </w:p>
    <w:p w14:paraId="5D806A34" w14:textId="447A38BE" w:rsidR="00FB11FC" w:rsidRPr="00177E3C" w:rsidRDefault="00FB11FC" w:rsidP="002A2F6E">
      <w:pPr>
        <w:pStyle w:val="Bullets"/>
        <w:rPr>
          <w:bCs/>
        </w:rPr>
      </w:pPr>
      <w:r w:rsidRPr="00177E3C">
        <w:t>Izglītības un zinātnes ministrijai (</w:t>
      </w:r>
      <w:r w:rsidR="003B558D" w:rsidRPr="00177E3C">
        <w:rPr>
          <w:bCs/>
        </w:rPr>
        <w:t>Latvijas Universitātes</w:t>
      </w:r>
      <w:r w:rsidRPr="00177E3C">
        <w:t xml:space="preserve">) izmaiņu palielinājums saistīts ar  termiņnoguldījumu izņemšanu </w:t>
      </w:r>
      <w:r w:rsidRPr="00177E3C">
        <w:rPr>
          <w:bCs/>
        </w:rPr>
        <w:t>1</w:t>
      </w:r>
      <w:r w:rsidR="00FE1C7D">
        <w:rPr>
          <w:bCs/>
        </w:rPr>
        <w:t>8</w:t>
      </w:r>
      <w:r w:rsidR="00F810A4">
        <w:rPr>
          <w:bCs/>
        </w:rPr>
        <w:t>,0</w:t>
      </w:r>
      <w:r w:rsidRPr="00177E3C">
        <w:rPr>
          <w:bCs/>
        </w:rPr>
        <w:t> </w:t>
      </w:r>
      <w:r w:rsidR="00F810A4">
        <w:rPr>
          <w:bCs/>
        </w:rPr>
        <w:t>milj.</w:t>
      </w:r>
      <w:r w:rsidRPr="00177E3C">
        <w:rPr>
          <w:bCs/>
        </w:rPr>
        <w:t xml:space="preserve"> </w:t>
      </w:r>
      <w:r w:rsidRPr="00177E3C">
        <w:rPr>
          <w:bCs/>
          <w:i/>
        </w:rPr>
        <w:t>euro</w:t>
      </w:r>
      <w:r w:rsidRPr="00177E3C">
        <w:rPr>
          <w:bCs/>
        </w:rPr>
        <w:t xml:space="preserve"> vērtībā</w:t>
      </w:r>
      <w:r w:rsidRPr="00177E3C">
        <w:t xml:space="preserve">. </w:t>
      </w:r>
    </w:p>
    <w:p w14:paraId="2277247C" w14:textId="0E943B66" w:rsidR="00FB11FC" w:rsidRDefault="00FB11FC" w:rsidP="002A2F6E">
      <w:pPr>
        <w:pStyle w:val="Pamatteksts1"/>
      </w:pPr>
      <w:r w:rsidRPr="00177E3C">
        <w:t xml:space="preserve">Citu ieņēmumu veidi no </w:t>
      </w:r>
      <w:r w:rsidRPr="002A2F6E">
        <w:t>ieguldījumu</w:t>
      </w:r>
      <w:r w:rsidRPr="00177E3C">
        <w:t xml:space="preserve"> darbības norādīti 3.5. tabulā.</w:t>
      </w:r>
    </w:p>
    <w:p w14:paraId="4FBF697C" w14:textId="77777777" w:rsidR="00FB11FC" w:rsidRPr="00177E3C" w:rsidRDefault="00FB11FC" w:rsidP="00FB11FC">
      <w:pPr>
        <w:pStyle w:val="Pamatteksts1"/>
        <w:spacing w:after="0"/>
        <w:ind w:firstLine="0"/>
        <w:rPr>
          <w:bCs/>
        </w:rPr>
      </w:pPr>
      <w:r w:rsidRPr="00177E3C">
        <w:rPr>
          <w:bCs/>
        </w:rPr>
        <w:t xml:space="preserve"> </w:t>
      </w:r>
    </w:p>
    <w:p w14:paraId="7D3E9BFA" w14:textId="51880BA3" w:rsidR="00FB11FC" w:rsidRPr="00177E3C" w:rsidRDefault="00FB11FC" w:rsidP="00FB11FC">
      <w:pPr>
        <w:pStyle w:val="Tabulasnosaukums"/>
        <w:spacing w:before="0"/>
        <w:rPr>
          <w:rFonts w:eastAsia="Arial Unicode MS"/>
          <w:color w:val="17365D"/>
          <w:szCs w:val="20"/>
        </w:rPr>
      </w:pPr>
      <w:r w:rsidRPr="00177E3C">
        <w:rPr>
          <w:bCs/>
          <w:color w:val="17365D"/>
        </w:rPr>
        <w:t>3.5</w:t>
      </w:r>
      <w:r w:rsidRPr="00177E3C">
        <w:rPr>
          <w:rFonts w:eastAsia="Arial Unicode MS"/>
          <w:color w:val="17365D"/>
          <w:szCs w:val="20"/>
        </w:rPr>
        <w:t>. tabula. NP.B15</w:t>
      </w:r>
      <w:r w:rsidR="00F256A2">
        <w:rPr>
          <w:rFonts w:eastAsia="Arial Unicode MS"/>
          <w:color w:val="17365D"/>
          <w:szCs w:val="20"/>
        </w:rPr>
        <w:t>.</w:t>
      </w:r>
      <w:r w:rsidRPr="00177E3C">
        <w:rPr>
          <w:rFonts w:eastAsia="Arial Unicode MS"/>
          <w:color w:val="17365D"/>
          <w:szCs w:val="20"/>
        </w:rPr>
        <w:t xml:space="preserve"> Citi ieņēmumi no ieguldījumu darbības</w:t>
      </w:r>
      <w:r w:rsidRPr="00177E3C">
        <w:rPr>
          <w:bCs/>
          <w:color w:val="17365D"/>
          <w:szCs w:val="20"/>
        </w:rPr>
        <w:t xml:space="preserve"> (</w:t>
      </w:r>
      <w:r w:rsidRPr="00177E3C">
        <w:rPr>
          <w:color w:val="17365D"/>
          <w:szCs w:val="20"/>
        </w:rPr>
        <w:t>euro)</w:t>
      </w:r>
    </w:p>
    <w:tbl>
      <w:tblPr>
        <w:tblW w:w="5000" w:type="pct"/>
        <w:tblBorders>
          <w:top w:val="single" w:sz="4" w:space="0" w:color="auto"/>
          <w:bottom w:val="single" w:sz="4" w:space="0" w:color="000000"/>
          <w:insideH w:val="single" w:sz="4" w:space="0" w:color="000000"/>
        </w:tblBorders>
        <w:tblLook w:val="04A0" w:firstRow="1" w:lastRow="0" w:firstColumn="1" w:lastColumn="0" w:noHBand="0" w:noVBand="1"/>
      </w:tblPr>
      <w:tblGrid>
        <w:gridCol w:w="5398"/>
        <w:gridCol w:w="2269"/>
        <w:gridCol w:w="1828"/>
      </w:tblGrid>
      <w:tr w:rsidR="00FB11FC" w:rsidRPr="00177E3C" w14:paraId="6C330FA7" w14:textId="77777777" w:rsidTr="009A4177">
        <w:trPr>
          <w:trHeight w:val="314"/>
          <w:tblHeader/>
        </w:trPr>
        <w:tc>
          <w:tcPr>
            <w:tcW w:w="5318" w:type="dxa"/>
            <w:tcBorders>
              <w:top w:val="nil"/>
              <w:bottom w:val="single" w:sz="4" w:space="0" w:color="17365D"/>
            </w:tcBorders>
            <w:shd w:val="clear" w:color="auto" w:fill="B8CCE4" w:themeFill="accent1" w:themeFillTint="66"/>
            <w:vAlign w:val="center"/>
            <w:hideMark/>
          </w:tcPr>
          <w:p w14:paraId="65F2AF2B" w14:textId="77777777" w:rsidR="00FB11FC" w:rsidRPr="00A918B1" w:rsidRDefault="00FB11FC" w:rsidP="00C7199B">
            <w:pPr>
              <w:spacing w:after="0" w:line="240" w:lineRule="auto"/>
              <w:jc w:val="center"/>
              <w:rPr>
                <w:b/>
                <w:bCs/>
                <w:color w:val="17365D"/>
                <w:sz w:val="18"/>
                <w:szCs w:val="18"/>
                <w:lang w:eastAsia="lv-LV"/>
              </w:rPr>
            </w:pPr>
            <w:r w:rsidRPr="00A918B1">
              <w:rPr>
                <w:b/>
                <w:bCs/>
                <w:color w:val="17365D"/>
                <w:sz w:val="18"/>
                <w:szCs w:val="18"/>
                <w:lang w:eastAsia="lv-LV"/>
              </w:rPr>
              <w:t>Darījuma apraksts</w:t>
            </w:r>
          </w:p>
        </w:tc>
        <w:tc>
          <w:tcPr>
            <w:tcW w:w="2235" w:type="dxa"/>
            <w:tcBorders>
              <w:top w:val="nil"/>
              <w:bottom w:val="single" w:sz="4" w:space="0" w:color="17365D"/>
            </w:tcBorders>
            <w:shd w:val="clear" w:color="auto" w:fill="B8CCE4" w:themeFill="accent1" w:themeFillTint="66"/>
            <w:vAlign w:val="center"/>
            <w:hideMark/>
          </w:tcPr>
          <w:p w14:paraId="2A36ED73" w14:textId="77777777" w:rsidR="00FB11FC" w:rsidRPr="00A918B1" w:rsidRDefault="00FB11FC" w:rsidP="00C7199B">
            <w:pPr>
              <w:spacing w:after="0" w:line="240" w:lineRule="auto"/>
              <w:jc w:val="center"/>
              <w:rPr>
                <w:b/>
                <w:bCs/>
                <w:color w:val="17365D"/>
                <w:sz w:val="18"/>
                <w:szCs w:val="18"/>
                <w:lang w:eastAsia="lv-LV"/>
              </w:rPr>
            </w:pPr>
            <w:r w:rsidRPr="00A918B1">
              <w:rPr>
                <w:b/>
                <w:bCs/>
                <w:color w:val="17365D"/>
                <w:sz w:val="18"/>
                <w:szCs w:val="18"/>
                <w:lang w:eastAsia="lv-LV"/>
              </w:rPr>
              <w:t>Pārskata periodā</w:t>
            </w:r>
          </w:p>
        </w:tc>
        <w:tc>
          <w:tcPr>
            <w:tcW w:w="1801" w:type="dxa"/>
            <w:tcBorders>
              <w:top w:val="nil"/>
              <w:bottom w:val="single" w:sz="4" w:space="0" w:color="17365D"/>
            </w:tcBorders>
            <w:shd w:val="clear" w:color="auto" w:fill="B8CCE4" w:themeFill="accent1" w:themeFillTint="66"/>
          </w:tcPr>
          <w:p w14:paraId="18400CAD" w14:textId="77777777" w:rsidR="00FB11FC" w:rsidRPr="00A918B1" w:rsidRDefault="00FB11FC" w:rsidP="00C7199B">
            <w:pPr>
              <w:spacing w:after="0" w:line="240" w:lineRule="auto"/>
              <w:jc w:val="center"/>
              <w:rPr>
                <w:b/>
                <w:bCs/>
                <w:color w:val="17365D"/>
                <w:sz w:val="18"/>
                <w:szCs w:val="18"/>
                <w:lang w:eastAsia="lv-LV"/>
              </w:rPr>
            </w:pPr>
            <w:r w:rsidRPr="00A918B1">
              <w:rPr>
                <w:b/>
                <w:bCs/>
                <w:color w:val="17365D"/>
                <w:sz w:val="18"/>
                <w:szCs w:val="18"/>
                <w:lang w:eastAsia="lv-LV"/>
              </w:rPr>
              <w:t>Iepriekšējā pārskata periodā</w:t>
            </w:r>
          </w:p>
        </w:tc>
      </w:tr>
      <w:tr w:rsidR="00FB11FC" w:rsidRPr="00177E3C" w14:paraId="2375A09C" w14:textId="77777777" w:rsidTr="00C7199B">
        <w:trPr>
          <w:trHeight w:val="255"/>
          <w:tblHeader/>
        </w:trPr>
        <w:tc>
          <w:tcPr>
            <w:tcW w:w="5318" w:type="dxa"/>
            <w:tcBorders>
              <w:top w:val="single" w:sz="4" w:space="0" w:color="17365D"/>
              <w:bottom w:val="single" w:sz="4" w:space="0" w:color="17365D"/>
            </w:tcBorders>
            <w:shd w:val="clear" w:color="auto" w:fill="auto"/>
            <w:vAlign w:val="center"/>
            <w:hideMark/>
          </w:tcPr>
          <w:p w14:paraId="7DEC6C74" w14:textId="77777777" w:rsidR="00FB11FC" w:rsidRPr="00A918B1" w:rsidRDefault="00FB11FC" w:rsidP="00C7199B">
            <w:pPr>
              <w:spacing w:after="0" w:line="240" w:lineRule="auto"/>
              <w:jc w:val="center"/>
              <w:rPr>
                <w:b/>
                <w:bCs/>
                <w:color w:val="17365D"/>
                <w:sz w:val="18"/>
                <w:szCs w:val="18"/>
                <w:lang w:eastAsia="lv-LV"/>
              </w:rPr>
            </w:pPr>
            <w:r w:rsidRPr="00A918B1">
              <w:rPr>
                <w:b/>
                <w:bCs/>
                <w:color w:val="17365D"/>
                <w:sz w:val="18"/>
                <w:szCs w:val="18"/>
                <w:lang w:eastAsia="lv-LV"/>
              </w:rPr>
              <w:t>A</w:t>
            </w:r>
          </w:p>
        </w:tc>
        <w:tc>
          <w:tcPr>
            <w:tcW w:w="2235" w:type="dxa"/>
            <w:tcBorders>
              <w:top w:val="single" w:sz="4" w:space="0" w:color="17365D"/>
              <w:bottom w:val="single" w:sz="4" w:space="0" w:color="17365D"/>
            </w:tcBorders>
            <w:shd w:val="clear" w:color="auto" w:fill="auto"/>
            <w:vAlign w:val="center"/>
            <w:hideMark/>
          </w:tcPr>
          <w:p w14:paraId="7209A8D5" w14:textId="77777777" w:rsidR="00FB11FC" w:rsidRPr="00A918B1" w:rsidRDefault="00FB11FC" w:rsidP="00C7199B">
            <w:pPr>
              <w:spacing w:after="0" w:line="240" w:lineRule="auto"/>
              <w:jc w:val="center"/>
              <w:rPr>
                <w:b/>
                <w:bCs/>
                <w:color w:val="17365D"/>
                <w:sz w:val="18"/>
                <w:szCs w:val="18"/>
                <w:lang w:eastAsia="lv-LV"/>
              </w:rPr>
            </w:pPr>
            <w:r w:rsidRPr="00A918B1">
              <w:rPr>
                <w:b/>
                <w:bCs/>
                <w:color w:val="17365D"/>
                <w:sz w:val="18"/>
                <w:szCs w:val="18"/>
                <w:lang w:eastAsia="lv-LV"/>
              </w:rPr>
              <w:t>1</w:t>
            </w:r>
          </w:p>
        </w:tc>
        <w:tc>
          <w:tcPr>
            <w:tcW w:w="1801" w:type="dxa"/>
            <w:tcBorders>
              <w:top w:val="single" w:sz="4" w:space="0" w:color="17365D"/>
              <w:bottom w:val="single" w:sz="4" w:space="0" w:color="17365D"/>
            </w:tcBorders>
          </w:tcPr>
          <w:p w14:paraId="779ED59B" w14:textId="77777777" w:rsidR="00FB11FC" w:rsidRPr="00A918B1" w:rsidRDefault="00FB11FC" w:rsidP="00C7199B">
            <w:pPr>
              <w:spacing w:after="0" w:line="240" w:lineRule="auto"/>
              <w:jc w:val="center"/>
              <w:rPr>
                <w:b/>
                <w:bCs/>
                <w:color w:val="17365D"/>
                <w:sz w:val="18"/>
                <w:szCs w:val="18"/>
                <w:lang w:eastAsia="lv-LV"/>
              </w:rPr>
            </w:pPr>
            <w:r w:rsidRPr="00A918B1">
              <w:rPr>
                <w:b/>
                <w:bCs/>
                <w:color w:val="17365D"/>
                <w:sz w:val="18"/>
                <w:szCs w:val="18"/>
                <w:lang w:eastAsia="lv-LV"/>
              </w:rPr>
              <w:t>2</w:t>
            </w:r>
          </w:p>
        </w:tc>
      </w:tr>
      <w:tr w:rsidR="00FB11FC" w:rsidRPr="00177E3C" w14:paraId="24D53EAF" w14:textId="77777777" w:rsidTr="009A153B">
        <w:trPr>
          <w:trHeight w:val="60"/>
        </w:trPr>
        <w:tc>
          <w:tcPr>
            <w:tcW w:w="5318" w:type="dxa"/>
            <w:tcBorders>
              <w:top w:val="single" w:sz="4" w:space="0" w:color="17365D"/>
              <w:bottom w:val="single" w:sz="4" w:space="0" w:color="17365D"/>
            </w:tcBorders>
            <w:shd w:val="clear" w:color="F2F2F2" w:fill="FFFFFF"/>
            <w:vAlign w:val="center"/>
            <w:hideMark/>
          </w:tcPr>
          <w:p w14:paraId="729F398A" w14:textId="77777777" w:rsidR="00FB11FC" w:rsidRPr="00A918B1" w:rsidRDefault="00FB11FC" w:rsidP="00C7199B">
            <w:pPr>
              <w:spacing w:after="0" w:line="240" w:lineRule="auto"/>
              <w:rPr>
                <w:bCs/>
                <w:color w:val="17365D"/>
                <w:sz w:val="18"/>
                <w:szCs w:val="18"/>
                <w:lang w:eastAsia="lv-LV"/>
              </w:rPr>
            </w:pPr>
            <w:r w:rsidRPr="00A918B1">
              <w:rPr>
                <w:bCs/>
                <w:color w:val="17365D"/>
                <w:sz w:val="18"/>
                <w:szCs w:val="18"/>
                <w:lang w:eastAsia="lv-LV"/>
              </w:rPr>
              <w:t>Ieņēmumi no dividendēm</w:t>
            </w:r>
          </w:p>
        </w:tc>
        <w:tc>
          <w:tcPr>
            <w:tcW w:w="2235" w:type="dxa"/>
            <w:tcBorders>
              <w:top w:val="single" w:sz="4" w:space="0" w:color="17365D"/>
              <w:bottom w:val="single" w:sz="4" w:space="0" w:color="17365D"/>
            </w:tcBorders>
            <w:shd w:val="clear" w:color="F2F2F2" w:fill="FFFFFF"/>
            <w:vAlign w:val="center"/>
            <w:hideMark/>
          </w:tcPr>
          <w:p w14:paraId="616F5E2A" w14:textId="77777777" w:rsidR="00FB11FC" w:rsidRPr="00A918B1" w:rsidRDefault="00FB11FC" w:rsidP="00C7199B">
            <w:pPr>
              <w:spacing w:after="0" w:line="240" w:lineRule="auto"/>
              <w:jc w:val="right"/>
              <w:rPr>
                <w:bCs/>
                <w:color w:val="17365D"/>
                <w:sz w:val="18"/>
                <w:szCs w:val="18"/>
                <w:lang w:eastAsia="lv-LV"/>
              </w:rPr>
            </w:pPr>
            <w:r w:rsidRPr="00A918B1">
              <w:rPr>
                <w:bCs/>
                <w:color w:val="17365D"/>
                <w:sz w:val="18"/>
                <w:szCs w:val="18"/>
                <w:lang w:eastAsia="lv-LV"/>
              </w:rPr>
              <w:t>11 711</w:t>
            </w:r>
            <w:r w:rsidRPr="00A918B1">
              <w:rPr>
                <w:rFonts w:cs="Times New Roman"/>
                <w:color w:val="17365D"/>
                <w:sz w:val="18"/>
                <w:szCs w:val="18"/>
              </w:rPr>
              <w:t> </w:t>
            </w:r>
            <w:r w:rsidRPr="00A918B1">
              <w:rPr>
                <w:bCs/>
                <w:color w:val="17365D"/>
                <w:sz w:val="18"/>
                <w:szCs w:val="18"/>
                <w:lang w:eastAsia="lv-LV"/>
              </w:rPr>
              <w:t>127</w:t>
            </w:r>
          </w:p>
        </w:tc>
        <w:tc>
          <w:tcPr>
            <w:tcW w:w="1801" w:type="dxa"/>
            <w:tcBorders>
              <w:top w:val="single" w:sz="4" w:space="0" w:color="17365D"/>
              <w:bottom w:val="single" w:sz="4" w:space="0" w:color="17365D"/>
            </w:tcBorders>
            <w:shd w:val="clear" w:color="F2F2F2" w:fill="FFFFFF"/>
            <w:vAlign w:val="center"/>
          </w:tcPr>
          <w:p w14:paraId="087C54FE" w14:textId="77777777" w:rsidR="00FB11FC" w:rsidRPr="00A918B1" w:rsidRDefault="00FB11FC" w:rsidP="00C7199B">
            <w:pPr>
              <w:spacing w:after="0" w:line="240" w:lineRule="auto"/>
              <w:jc w:val="right"/>
              <w:rPr>
                <w:bCs/>
                <w:color w:val="17365D"/>
                <w:sz w:val="18"/>
                <w:szCs w:val="18"/>
                <w:lang w:eastAsia="lv-LV"/>
              </w:rPr>
            </w:pPr>
            <w:r w:rsidRPr="00A918B1">
              <w:rPr>
                <w:bCs/>
                <w:color w:val="17365D"/>
                <w:sz w:val="18"/>
                <w:szCs w:val="18"/>
                <w:lang w:eastAsia="lv-LV"/>
              </w:rPr>
              <w:t>11 238</w:t>
            </w:r>
            <w:r w:rsidRPr="00A918B1">
              <w:rPr>
                <w:rFonts w:cs="Times New Roman"/>
                <w:color w:val="17365D"/>
                <w:sz w:val="18"/>
                <w:szCs w:val="18"/>
              </w:rPr>
              <w:t> </w:t>
            </w:r>
            <w:r w:rsidRPr="00A918B1">
              <w:rPr>
                <w:bCs/>
                <w:color w:val="17365D"/>
                <w:sz w:val="18"/>
                <w:szCs w:val="18"/>
                <w:lang w:eastAsia="lv-LV"/>
              </w:rPr>
              <w:t>368</w:t>
            </w:r>
          </w:p>
        </w:tc>
      </w:tr>
      <w:tr w:rsidR="00FB11FC" w:rsidRPr="00177E3C" w14:paraId="384C56CD" w14:textId="77777777" w:rsidTr="00C7199B">
        <w:trPr>
          <w:trHeight w:val="255"/>
        </w:trPr>
        <w:tc>
          <w:tcPr>
            <w:tcW w:w="5318" w:type="dxa"/>
            <w:tcBorders>
              <w:top w:val="single" w:sz="4" w:space="0" w:color="17365D"/>
              <w:bottom w:val="single" w:sz="4" w:space="0" w:color="17365D"/>
            </w:tcBorders>
            <w:shd w:val="clear" w:color="F2F2F2" w:fill="FFFFFF"/>
            <w:vAlign w:val="center"/>
          </w:tcPr>
          <w:p w14:paraId="23D29213" w14:textId="77777777" w:rsidR="00FB11FC" w:rsidRPr="00A918B1" w:rsidRDefault="00FB11FC" w:rsidP="00C7199B">
            <w:pPr>
              <w:spacing w:after="0" w:line="240" w:lineRule="auto"/>
              <w:rPr>
                <w:bCs/>
                <w:color w:val="17365D"/>
                <w:sz w:val="18"/>
                <w:szCs w:val="18"/>
                <w:lang w:eastAsia="lv-LV"/>
              </w:rPr>
            </w:pPr>
            <w:r w:rsidRPr="00A918B1">
              <w:rPr>
                <w:bCs/>
                <w:color w:val="17365D"/>
                <w:sz w:val="18"/>
                <w:szCs w:val="18"/>
                <w:lang w:eastAsia="lv-LV"/>
              </w:rPr>
              <w:t>Termiņnoguldījumu, kuru sākotnējais termiņš pārsniedz 90 dienas, izņemšana</w:t>
            </w:r>
          </w:p>
        </w:tc>
        <w:tc>
          <w:tcPr>
            <w:tcW w:w="2235" w:type="dxa"/>
            <w:tcBorders>
              <w:top w:val="single" w:sz="4" w:space="0" w:color="17365D"/>
              <w:bottom w:val="single" w:sz="4" w:space="0" w:color="17365D"/>
            </w:tcBorders>
            <w:shd w:val="clear" w:color="F2F2F2" w:fill="FFFFFF"/>
            <w:vAlign w:val="center"/>
          </w:tcPr>
          <w:p w14:paraId="603A95DA" w14:textId="77777777" w:rsidR="00FB11FC" w:rsidRPr="00A918B1" w:rsidRDefault="00FB11FC" w:rsidP="00C7199B">
            <w:pPr>
              <w:spacing w:after="0" w:line="240" w:lineRule="auto"/>
              <w:jc w:val="right"/>
              <w:rPr>
                <w:bCs/>
                <w:color w:val="17365D"/>
                <w:sz w:val="18"/>
                <w:szCs w:val="18"/>
                <w:lang w:eastAsia="lv-LV"/>
              </w:rPr>
            </w:pPr>
            <w:r w:rsidRPr="00A918B1">
              <w:rPr>
                <w:color w:val="17365D"/>
                <w:sz w:val="18"/>
                <w:szCs w:val="18"/>
              </w:rPr>
              <w:t>1</w:t>
            </w:r>
            <w:r w:rsidRPr="00A918B1">
              <w:rPr>
                <w:rFonts w:cs="Times New Roman"/>
                <w:color w:val="17365D"/>
                <w:sz w:val="18"/>
                <w:szCs w:val="18"/>
              </w:rPr>
              <w:t xml:space="preserve"> 7</w:t>
            </w:r>
            <w:r w:rsidRPr="00A918B1">
              <w:rPr>
                <w:color w:val="17365D"/>
                <w:sz w:val="18"/>
                <w:szCs w:val="18"/>
              </w:rPr>
              <w:t>40</w:t>
            </w:r>
            <w:r w:rsidRPr="00A918B1">
              <w:rPr>
                <w:rFonts w:cs="Times New Roman"/>
                <w:color w:val="17365D"/>
                <w:sz w:val="18"/>
                <w:szCs w:val="18"/>
              </w:rPr>
              <w:t xml:space="preserve"> </w:t>
            </w:r>
            <w:r w:rsidRPr="00A918B1">
              <w:rPr>
                <w:color w:val="17365D"/>
                <w:sz w:val="18"/>
                <w:szCs w:val="18"/>
              </w:rPr>
              <w:t>005</w:t>
            </w:r>
            <w:r w:rsidRPr="00A918B1">
              <w:rPr>
                <w:rFonts w:cs="Times New Roman"/>
                <w:color w:val="17365D"/>
                <w:sz w:val="18"/>
                <w:szCs w:val="18"/>
              </w:rPr>
              <w:t xml:space="preserve"> </w:t>
            </w:r>
            <w:r w:rsidRPr="00A918B1">
              <w:rPr>
                <w:color w:val="17365D"/>
                <w:sz w:val="18"/>
                <w:szCs w:val="18"/>
              </w:rPr>
              <w:t>132</w:t>
            </w:r>
          </w:p>
        </w:tc>
        <w:tc>
          <w:tcPr>
            <w:tcW w:w="1801" w:type="dxa"/>
            <w:tcBorders>
              <w:top w:val="single" w:sz="4" w:space="0" w:color="17365D"/>
              <w:bottom w:val="single" w:sz="4" w:space="0" w:color="17365D"/>
            </w:tcBorders>
            <w:shd w:val="clear" w:color="F2F2F2" w:fill="FFFFFF"/>
            <w:vAlign w:val="center"/>
          </w:tcPr>
          <w:p w14:paraId="4293B9D1" w14:textId="77777777" w:rsidR="00FB11FC" w:rsidRPr="00A918B1" w:rsidRDefault="00FB11FC" w:rsidP="00C7199B">
            <w:pPr>
              <w:spacing w:after="0" w:line="240" w:lineRule="auto"/>
              <w:jc w:val="right"/>
              <w:rPr>
                <w:bCs/>
                <w:color w:val="17365D"/>
                <w:sz w:val="18"/>
                <w:szCs w:val="18"/>
                <w:lang w:eastAsia="lv-LV"/>
              </w:rPr>
            </w:pPr>
            <w:r w:rsidRPr="00A918B1">
              <w:rPr>
                <w:bCs/>
                <w:color w:val="17365D"/>
                <w:sz w:val="18"/>
                <w:szCs w:val="18"/>
                <w:lang w:eastAsia="lv-LV"/>
              </w:rPr>
              <w:t>46 005</w:t>
            </w:r>
            <w:r w:rsidRPr="00A918B1">
              <w:rPr>
                <w:rFonts w:cs="Times New Roman"/>
                <w:color w:val="17365D"/>
                <w:sz w:val="18"/>
                <w:szCs w:val="18"/>
              </w:rPr>
              <w:t> </w:t>
            </w:r>
            <w:r w:rsidRPr="00A918B1">
              <w:rPr>
                <w:bCs/>
                <w:color w:val="17365D"/>
                <w:sz w:val="18"/>
                <w:szCs w:val="18"/>
                <w:lang w:eastAsia="lv-LV"/>
              </w:rPr>
              <w:t>198</w:t>
            </w:r>
          </w:p>
        </w:tc>
      </w:tr>
      <w:tr w:rsidR="00FB11FC" w:rsidRPr="00177E3C" w14:paraId="3A8E46A3" w14:textId="77777777" w:rsidTr="00C7199B">
        <w:trPr>
          <w:trHeight w:val="255"/>
        </w:trPr>
        <w:tc>
          <w:tcPr>
            <w:tcW w:w="5318" w:type="dxa"/>
            <w:tcBorders>
              <w:top w:val="single" w:sz="4" w:space="0" w:color="17365D"/>
              <w:bottom w:val="single" w:sz="4" w:space="0" w:color="17365D"/>
            </w:tcBorders>
            <w:shd w:val="clear" w:color="F2F2F2" w:fill="FFFFFF"/>
            <w:vAlign w:val="center"/>
          </w:tcPr>
          <w:p w14:paraId="63AAC213" w14:textId="77777777" w:rsidR="00FB11FC" w:rsidRPr="00A918B1" w:rsidRDefault="00FB11FC" w:rsidP="00C7199B">
            <w:pPr>
              <w:spacing w:after="0" w:line="240" w:lineRule="auto"/>
              <w:rPr>
                <w:bCs/>
                <w:color w:val="17365D"/>
                <w:sz w:val="18"/>
                <w:szCs w:val="18"/>
                <w:lang w:eastAsia="lv-LV"/>
              </w:rPr>
            </w:pPr>
            <w:r w:rsidRPr="00A918B1">
              <w:rPr>
                <w:bCs/>
                <w:color w:val="17365D"/>
                <w:sz w:val="18"/>
                <w:szCs w:val="18"/>
                <w:lang w:eastAsia="lv-LV"/>
              </w:rPr>
              <w:t xml:space="preserve">Citi ieņēmumi no ieguldījumu darbības </w:t>
            </w:r>
          </w:p>
        </w:tc>
        <w:tc>
          <w:tcPr>
            <w:tcW w:w="2235" w:type="dxa"/>
            <w:tcBorders>
              <w:top w:val="single" w:sz="4" w:space="0" w:color="17365D"/>
              <w:bottom w:val="single" w:sz="4" w:space="0" w:color="17365D"/>
            </w:tcBorders>
            <w:shd w:val="clear" w:color="F2F2F2" w:fill="FFFFFF"/>
            <w:vAlign w:val="center"/>
          </w:tcPr>
          <w:p w14:paraId="28E4374F" w14:textId="77777777" w:rsidR="00FB11FC" w:rsidRPr="00A918B1" w:rsidRDefault="00FB11FC" w:rsidP="00C7199B">
            <w:pPr>
              <w:spacing w:after="0" w:line="240" w:lineRule="auto"/>
              <w:jc w:val="right"/>
              <w:rPr>
                <w:bCs/>
                <w:color w:val="17365D"/>
                <w:sz w:val="18"/>
                <w:szCs w:val="18"/>
                <w:lang w:eastAsia="lv-LV"/>
              </w:rPr>
            </w:pPr>
            <w:r w:rsidRPr="00A918B1">
              <w:rPr>
                <w:bCs/>
                <w:color w:val="17365D"/>
                <w:sz w:val="18"/>
                <w:szCs w:val="18"/>
                <w:lang w:eastAsia="lv-LV"/>
              </w:rPr>
              <w:t>0</w:t>
            </w:r>
          </w:p>
        </w:tc>
        <w:tc>
          <w:tcPr>
            <w:tcW w:w="1801" w:type="dxa"/>
            <w:tcBorders>
              <w:top w:val="single" w:sz="4" w:space="0" w:color="17365D"/>
              <w:bottom w:val="single" w:sz="4" w:space="0" w:color="17365D"/>
            </w:tcBorders>
            <w:shd w:val="clear" w:color="F2F2F2" w:fill="FFFFFF"/>
            <w:vAlign w:val="center"/>
          </w:tcPr>
          <w:p w14:paraId="562A9476" w14:textId="77777777" w:rsidR="00FB11FC" w:rsidRPr="00A918B1" w:rsidRDefault="00FB11FC" w:rsidP="00C7199B">
            <w:pPr>
              <w:spacing w:after="0" w:line="240" w:lineRule="auto"/>
              <w:jc w:val="right"/>
              <w:rPr>
                <w:bCs/>
                <w:color w:val="17365D"/>
                <w:sz w:val="18"/>
                <w:szCs w:val="18"/>
                <w:lang w:eastAsia="lv-LV"/>
              </w:rPr>
            </w:pPr>
            <w:r w:rsidRPr="00A918B1">
              <w:rPr>
                <w:bCs/>
                <w:color w:val="17365D"/>
                <w:sz w:val="18"/>
                <w:szCs w:val="18"/>
                <w:lang w:eastAsia="lv-LV"/>
              </w:rPr>
              <w:t>380</w:t>
            </w:r>
            <w:r w:rsidRPr="00A918B1">
              <w:rPr>
                <w:rFonts w:cs="Times New Roman"/>
                <w:color w:val="17365D"/>
                <w:sz w:val="18"/>
                <w:szCs w:val="18"/>
              </w:rPr>
              <w:t> </w:t>
            </w:r>
            <w:r w:rsidRPr="00A918B1">
              <w:rPr>
                <w:bCs/>
                <w:color w:val="17365D"/>
                <w:sz w:val="18"/>
                <w:szCs w:val="18"/>
                <w:lang w:eastAsia="lv-LV"/>
              </w:rPr>
              <w:t>186</w:t>
            </w:r>
          </w:p>
        </w:tc>
      </w:tr>
      <w:tr w:rsidR="00FB11FC" w:rsidRPr="00177E3C" w14:paraId="7F999C93" w14:textId="77777777" w:rsidTr="00C7199B">
        <w:trPr>
          <w:trHeight w:val="255"/>
        </w:trPr>
        <w:tc>
          <w:tcPr>
            <w:tcW w:w="5318" w:type="dxa"/>
            <w:tcBorders>
              <w:top w:val="single" w:sz="4" w:space="0" w:color="17365D"/>
              <w:bottom w:val="nil"/>
            </w:tcBorders>
            <w:shd w:val="clear" w:color="auto" w:fill="B8CCE4" w:themeFill="accent1" w:themeFillTint="66"/>
            <w:vAlign w:val="center"/>
            <w:hideMark/>
          </w:tcPr>
          <w:p w14:paraId="7F38B7E6" w14:textId="77777777" w:rsidR="00FB11FC" w:rsidRPr="00A918B1" w:rsidRDefault="00FB11FC" w:rsidP="00C7199B">
            <w:pPr>
              <w:spacing w:after="0" w:line="240" w:lineRule="auto"/>
              <w:rPr>
                <w:bCs/>
                <w:color w:val="17365D"/>
                <w:sz w:val="18"/>
                <w:szCs w:val="18"/>
                <w:lang w:eastAsia="lv-LV"/>
              </w:rPr>
            </w:pPr>
            <w:r w:rsidRPr="00A918B1">
              <w:rPr>
                <w:b/>
                <w:bCs/>
                <w:color w:val="17365D"/>
                <w:sz w:val="18"/>
                <w:szCs w:val="18"/>
                <w:lang w:eastAsia="lv-LV"/>
              </w:rPr>
              <w:t>Kopā</w:t>
            </w:r>
          </w:p>
        </w:tc>
        <w:tc>
          <w:tcPr>
            <w:tcW w:w="2235" w:type="dxa"/>
            <w:tcBorders>
              <w:top w:val="single" w:sz="4" w:space="0" w:color="17365D"/>
              <w:bottom w:val="nil"/>
            </w:tcBorders>
            <w:shd w:val="clear" w:color="auto" w:fill="B8CCE4" w:themeFill="accent1" w:themeFillTint="66"/>
            <w:vAlign w:val="center"/>
            <w:hideMark/>
          </w:tcPr>
          <w:p w14:paraId="3DF3E6D8" w14:textId="77777777" w:rsidR="00FB11FC" w:rsidRPr="00A918B1" w:rsidRDefault="00FB11FC" w:rsidP="00C7199B">
            <w:pPr>
              <w:spacing w:after="0" w:line="240" w:lineRule="auto"/>
              <w:jc w:val="right"/>
              <w:rPr>
                <w:bCs/>
                <w:color w:val="17365D"/>
                <w:sz w:val="18"/>
                <w:szCs w:val="18"/>
                <w:lang w:eastAsia="lv-LV"/>
              </w:rPr>
            </w:pPr>
            <w:r w:rsidRPr="00A918B1">
              <w:rPr>
                <w:rFonts w:cs="Times New Roman"/>
                <w:b/>
                <w:color w:val="17365D"/>
                <w:sz w:val="18"/>
                <w:szCs w:val="18"/>
                <w:lang w:eastAsia="lv-LV"/>
              </w:rPr>
              <w:t>1 751 716 259</w:t>
            </w:r>
          </w:p>
        </w:tc>
        <w:tc>
          <w:tcPr>
            <w:tcW w:w="1801" w:type="dxa"/>
            <w:tcBorders>
              <w:top w:val="single" w:sz="4" w:space="0" w:color="17365D"/>
              <w:bottom w:val="nil"/>
            </w:tcBorders>
            <w:shd w:val="clear" w:color="auto" w:fill="B8CCE4" w:themeFill="accent1" w:themeFillTint="66"/>
            <w:vAlign w:val="center"/>
          </w:tcPr>
          <w:p w14:paraId="50EBC2B6" w14:textId="77777777" w:rsidR="00FB11FC" w:rsidRPr="00A918B1" w:rsidRDefault="00FB11FC" w:rsidP="00C7199B">
            <w:pPr>
              <w:spacing w:after="0" w:line="240" w:lineRule="auto"/>
              <w:jc w:val="right"/>
              <w:rPr>
                <w:bCs/>
                <w:color w:val="17365D"/>
                <w:sz w:val="18"/>
                <w:szCs w:val="18"/>
                <w:lang w:eastAsia="lv-LV"/>
              </w:rPr>
            </w:pPr>
            <w:r w:rsidRPr="00A918B1">
              <w:rPr>
                <w:b/>
                <w:bCs/>
                <w:color w:val="17365D"/>
                <w:sz w:val="18"/>
                <w:szCs w:val="18"/>
                <w:lang w:eastAsia="lv-LV"/>
              </w:rPr>
              <w:t>57 623 752</w:t>
            </w:r>
          </w:p>
        </w:tc>
      </w:tr>
    </w:tbl>
    <w:p w14:paraId="2683C97D" w14:textId="77777777" w:rsidR="00FB11FC" w:rsidRPr="00177E3C" w:rsidRDefault="00FB11FC" w:rsidP="00FB11FC">
      <w:pPr>
        <w:pStyle w:val="Heading4"/>
      </w:pPr>
      <w:r w:rsidRPr="00177E3C">
        <w:lastRenderedPageBreak/>
        <w:t>Piezīme Nr. NP.B23. Pamatlīdzekļu iegāde un avansa maksājumi par pamatlīdzekļiem</w:t>
      </w:r>
    </w:p>
    <w:p w14:paraId="28D57C5B" w14:textId="2E614BBB" w:rsidR="00FB11FC" w:rsidRPr="00177E3C" w:rsidRDefault="00403C07" w:rsidP="002A2F6E">
      <w:pPr>
        <w:pStyle w:val="Pamatteksts1"/>
      </w:pPr>
      <w:r>
        <w:t>Būtiskāko p</w:t>
      </w:r>
      <w:r w:rsidR="00FB11FC" w:rsidRPr="002A2F6E">
        <w:t>alielinājumu</w:t>
      </w:r>
      <w:r w:rsidR="00FB11FC" w:rsidRPr="00177E3C">
        <w:t xml:space="preserve"> šajā postenī veido:</w:t>
      </w:r>
    </w:p>
    <w:p w14:paraId="21106E86" w14:textId="5C377681" w:rsidR="00FB11FC" w:rsidRPr="002A2F6E" w:rsidRDefault="00FB11FC" w:rsidP="002A2F6E">
      <w:pPr>
        <w:pStyle w:val="Bullets"/>
      </w:pPr>
      <w:r w:rsidRPr="00177E3C">
        <w:t>Aizsardzības ministrijai 191</w:t>
      </w:r>
      <w:r w:rsidR="00F810A4">
        <w:t>,3</w:t>
      </w:r>
      <w:r w:rsidRPr="00177E3C">
        <w:t xml:space="preserve"> </w:t>
      </w:r>
      <w:r w:rsidR="00F810A4">
        <w:t>milj.</w:t>
      </w:r>
      <w:r w:rsidRPr="00177E3C">
        <w:t xml:space="preserve"> </w:t>
      </w:r>
      <w:r w:rsidRPr="00F810A4">
        <w:rPr>
          <w:i/>
        </w:rPr>
        <w:t xml:space="preserve">euro </w:t>
      </w:r>
      <w:r w:rsidRPr="00177E3C">
        <w:t xml:space="preserve">vērtībā, izmaiņu palielinājumu veido darījumi, t.sk. </w:t>
      </w:r>
      <w:r w:rsidRPr="002A2F6E">
        <w:t xml:space="preserve">par  militārās tehnikas, </w:t>
      </w:r>
      <w:proofErr w:type="spellStart"/>
      <w:r w:rsidRPr="002A2F6E">
        <w:t>bezpilotu</w:t>
      </w:r>
      <w:proofErr w:type="spellEnd"/>
      <w:r w:rsidRPr="002A2F6E">
        <w:t xml:space="preserve"> </w:t>
      </w:r>
      <w:proofErr w:type="spellStart"/>
      <w:r w:rsidRPr="002A2F6E">
        <w:t>līdaparātu</w:t>
      </w:r>
      <w:proofErr w:type="spellEnd"/>
      <w:r w:rsidRPr="002A2F6E">
        <w:t xml:space="preserve"> un citu iekārtu iegādi 29</w:t>
      </w:r>
      <w:r w:rsidR="00F810A4" w:rsidRPr="002A2F6E">
        <w:t>,4</w:t>
      </w:r>
      <w:r w:rsidRPr="002A2F6E">
        <w:t xml:space="preserve"> </w:t>
      </w:r>
      <w:r w:rsidR="00F810A4" w:rsidRPr="002A2F6E">
        <w:t xml:space="preserve">milj. </w:t>
      </w:r>
      <w:r w:rsidRPr="002A2F6E">
        <w:t>euro,  par datortehnikas, sakaru un citas biroja tehnikas un pārējo pamatlīdzekļu iegādi, par vidējās darbības pretgaisa aizsardzības sistēmas iegādi, par izdevumiem par inženierbūvēm 145</w:t>
      </w:r>
      <w:r w:rsidR="00DC78DA" w:rsidRPr="002A2F6E">
        <w:t>,7</w:t>
      </w:r>
      <w:r w:rsidR="00C0032E" w:rsidRPr="002A2F6E">
        <w:t> </w:t>
      </w:r>
      <w:r w:rsidR="00DC78DA" w:rsidRPr="002A2F6E">
        <w:t>milj.</w:t>
      </w:r>
      <w:r w:rsidRPr="002A2F6E">
        <w:t xml:space="preserve"> </w:t>
      </w:r>
      <w:proofErr w:type="spellStart"/>
      <w:r w:rsidRPr="002A2F6E">
        <w:t>euro</w:t>
      </w:r>
      <w:proofErr w:type="spellEnd"/>
      <w:r w:rsidRPr="002A2F6E">
        <w:t xml:space="preserve">, par </w:t>
      </w:r>
      <w:proofErr w:type="spellStart"/>
      <w:r w:rsidRPr="002A2F6E">
        <w:t>servertehnikas</w:t>
      </w:r>
      <w:proofErr w:type="spellEnd"/>
      <w:r w:rsidRPr="002A2F6E">
        <w:t xml:space="preserve">, datoru un biroju tehnikas </w:t>
      </w:r>
      <w:proofErr w:type="spellStart"/>
      <w:r w:rsidRPr="002A2F6E">
        <w:t>iegādem</w:t>
      </w:r>
      <w:proofErr w:type="spellEnd"/>
      <w:r w:rsidRPr="002A2F6E">
        <w:t xml:space="preserve"> informācijas tehnoloģijas darbu nodrošināšanai, par tehnoloģiskās iekārtu un mašīnu iegādi tipogrāfijas un ģeodēzijas darbu izpildi 1</w:t>
      </w:r>
      <w:r w:rsidR="00DC78DA" w:rsidRPr="002A2F6E">
        <w:t>,2</w:t>
      </w:r>
      <w:r w:rsidRPr="002A2F6E">
        <w:t xml:space="preserve"> </w:t>
      </w:r>
      <w:r w:rsidR="00DC78DA" w:rsidRPr="002A2F6E">
        <w:t>milj.</w:t>
      </w:r>
      <w:r w:rsidRPr="002A2F6E">
        <w:t xml:space="preserve"> euro, par avansa maksājumiem par militārās tehnikas piegādi 14</w:t>
      </w:r>
      <w:r w:rsidR="00441D3E" w:rsidRPr="002A2F6E">
        <w:t>,9</w:t>
      </w:r>
      <w:r w:rsidRPr="002A2F6E">
        <w:t xml:space="preserve"> </w:t>
      </w:r>
      <w:r w:rsidR="00DC78DA" w:rsidRPr="002A2F6E">
        <w:t>milj.</w:t>
      </w:r>
      <w:r w:rsidR="00E24982" w:rsidRPr="002A2F6E">
        <w:t xml:space="preserve"> </w:t>
      </w:r>
      <w:r w:rsidRPr="002A2F6E">
        <w:t>euro;</w:t>
      </w:r>
    </w:p>
    <w:p w14:paraId="0E6CDEC1" w14:textId="43E3C148" w:rsidR="00FB11FC" w:rsidRPr="00177E3C" w:rsidRDefault="00FB11FC" w:rsidP="002A2F6E">
      <w:pPr>
        <w:pStyle w:val="Bullets"/>
      </w:pPr>
      <w:proofErr w:type="spellStart"/>
      <w:r w:rsidRPr="002A2F6E">
        <w:t>Iekšlietu</w:t>
      </w:r>
      <w:proofErr w:type="spellEnd"/>
      <w:r w:rsidRPr="002A2F6E">
        <w:t xml:space="preserve"> ministrijai 31</w:t>
      </w:r>
      <w:r w:rsidR="00B7787F" w:rsidRPr="002A2F6E">
        <w:t>,0</w:t>
      </w:r>
      <w:r w:rsidRPr="002A2F6E">
        <w:t xml:space="preserve"> </w:t>
      </w:r>
      <w:r w:rsidR="00B7787F" w:rsidRPr="002A2F6E">
        <w:t>milj.</w:t>
      </w:r>
      <w:r w:rsidRPr="002A2F6E">
        <w:t xml:space="preserve"> euro vērtībā, izdevumu palielinājums, t.sk. par  Eiropas Savienības projektu ietvaros iegādātajiem pamatlīdzekļiem un  avansa maksājumiem 4</w:t>
      </w:r>
      <w:r w:rsidR="00B7787F" w:rsidRPr="002A2F6E">
        <w:t>,3</w:t>
      </w:r>
      <w:r w:rsidR="00C0032E" w:rsidRPr="002A2F6E">
        <w:t> </w:t>
      </w:r>
      <w:r w:rsidR="00B7787F" w:rsidRPr="002A2F6E">
        <w:t>milj.</w:t>
      </w:r>
      <w:r w:rsidR="00E24982" w:rsidRPr="002A2F6E">
        <w:t xml:space="preserve"> </w:t>
      </w:r>
      <w:r w:rsidRPr="002A2F6E">
        <w:t>euro, par pasākuma "Valsts investīcijas valsts aizsardzības spēju attīstības un iekšējās drošības stiprināšanas pasākumu īstenošana"</w:t>
      </w:r>
      <w:r w:rsidR="00C0032E" w:rsidRPr="002A2F6E">
        <w:t xml:space="preserve"> ietvaros</w:t>
      </w:r>
      <w:r w:rsidRPr="002A2F6E">
        <w:t xml:space="preserve"> iegādātajiem pamatlīdzekļiem </w:t>
      </w:r>
      <w:r w:rsidRPr="00177E3C">
        <w:t>2</w:t>
      </w:r>
      <w:r w:rsidR="00B7787F">
        <w:t>,1</w:t>
      </w:r>
      <w:r w:rsidRPr="00177E3C">
        <w:t xml:space="preserve"> </w:t>
      </w:r>
      <w:r w:rsidR="00B7787F">
        <w:t>milj.</w:t>
      </w:r>
      <w:r w:rsidRPr="00177E3C">
        <w:t xml:space="preserve"> </w:t>
      </w:r>
      <w:r w:rsidRPr="00B7787F">
        <w:rPr>
          <w:i/>
        </w:rPr>
        <w:t>euro</w:t>
      </w:r>
      <w:r w:rsidRPr="00177E3C">
        <w:t>, par speciālo ugunsdzēsības un glābšanas transportlīdzekļu iegādi 23</w:t>
      </w:r>
      <w:r w:rsidR="00B7787F">
        <w:t>,5</w:t>
      </w:r>
      <w:r w:rsidRPr="00177E3C">
        <w:t xml:space="preserve"> </w:t>
      </w:r>
      <w:r w:rsidR="00B7787F">
        <w:t>milj.</w:t>
      </w:r>
      <w:r w:rsidRPr="00177E3C">
        <w:t xml:space="preserve"> </w:t>
      </w:r>
      <w:r w:rsidRPr="00B7787F">
        <w:rPr>
          <w:i/>
        </w:rPr>
        <w:t>euro</w:t>
      </w:r>
      <w:r w:rsidRPr="00177E3C">
        <w:t>, par konvojējamo personu pārvadāšanai nepieciešamo transpor</w:t>
      </w:r>
      <w:r>
        <w:t>tlīdzekļu iegādi 1</w:t>
      </w:r>
      <w:r w:rsidR="00B7787F">
        <w:t>,3</w:t>
      </w:r>
      <w:r>
        <w:t xml:space="preserve"> </w:t>
      </w:r>
      <w:r w:rsidR="00B7787F">
        <w:t>milj.</w:t>
      </w:r>
      <w:r>
        <w:t xml:space="preserve"> </w:t>
      </w:r>
      <w:r w:rsidRPr="00C0032E">
        <w:rPr>
          <w:i/>
          <w:iCs/>
        </w:rPr>
        <w:t>euro</w:t>
      </w:r>
      <w:r>
        <w:t>.</w:t>
      </w:r>
    </w:p>
    <w:p w14:paraId="01AA3DF3" w14:textId="499EFB0F" w:rsidR="00FB11FC" w:rsidRPr="00177E3C" w:rsidRDefault="00403C07" w:rsidP="002A2F6E">
      <w:pPr>
        <w:pStyle w:val="Pamatteksts1"/>
      </w:pPr>
      <w:r>
        <w:t>Būtiskāko s</w:t>
      </w:r>
      <w:r w:rsidR="00FB11FC" w:rsidRPr="00177E3C">
        <w:t>amazinājumu šajā postenī veido:</w:t>
      </w:r>
    </w:p>
    <w:p w14:paraId="7B1750B7" w14:textId="71E7E15F" w:rsidR="00FB11FC" w:rsidRPr="002A2F6E" w:rsidRDefault="00FB11FC" w:rsidP="002A2F6E">
      <w:pPr>
        <w:pStyle w:val="Bullets"/>
      </w:pPr>
      <w:r w:rsidRPr="002A2F6E">
        <w:t xml:space="preserve">Aizsardzības ministrijai </w:t>
      </w:r>
      <w:r w:rsidR="00FE1C7D" w:rsidRPr="002A2F6E">
        <w:t>(</w:t>
      </w:r>
      <w:r w:rsidRPr="002A2F6E">
        <w:t>55</w:t>
      </w:r>
      <w:r w:rsidR="00B7787F" w:rsidRPr="002A2F6E">
        <w:t>,3</w:t>
      </w:r>
      <w:r w:rsidRPr="002A2F6E">
        <w:t xml:space="preserve">) </w:t>
      </w:r>
      <w:r w:rsidR="00B7787F" w:rsidRPr="002A2F6E">
        <w:t>milj.</w:t>
      </w:r>
      <w:r w:rsidR="00E24982" w:rsidRPr="002A2F6E">
        <w:t xml:space="preserve"> </w:t>
      </w:r>
      <w:r w:rsidRPr="002A2F6E">
        <w:t>euro vērtībā par transportlīdzekļu iegādi iepriekšējā saimnieciskajā gadā;</w:t>
      </w:r>
    </w:p>
    <w:p w14:paraId="48807A96" w14:textId="6DAF45EF" w:rsidR="00FB11FC" w:rsidRPr="002A2F6E" w:rsidRDefault="00FE1C7D" w:rsidP="002A2F6E">
      <w:pPr>
        <w:pStyle w:val="Bullets"/>
      </w:pPr>
      <w:r w:rsidRPr="002A2F6E">
        <w:t>Finanšu ministrijai (</w:t>
      </w:r>
      <w:r w:rsidR="00FB11FC" w:rsidRPr="002A2F6E">
        <w:t>31</w:t>
      </w:r>
      <w:r w:rsidR="00B7787F" w:rsidRPr="002A2F6E">
        <w:t>,6</w:t>
      </w:r>
      <w:r w:rsidR="00FB11FC" w:rsidRPr="002A2F6E">
        <w:t xml:space="preserve">) </w:t>
      </w:r>
      <w:r w:rsidR="00B7787F" w:rsidRPr="002A2F6E">
        <w:t>milj.</w:t>
      </w:r>
      <w:r w:rsidR="00E24982" w:rsidRPr="002A2F6E">
        <w:t xml:space="preserve"> </w:t>
      </w:r>
      <w:r w:rsidR="00FB11FC" w:rsidRPr="002A2F6E">
        <w:t xml:space="preserve">euro vērtībā, </w:t>
      </w:r>
      <w:r w:rsidR="00C0032E" w:rsidRPr="002A2F6E">
        <w:t>p</w:t>
      </w:r>
      <w:r w:rsidR="00FB11FC" w:rsidRPr="002A2F6E">
        <w:t>ar VAS “Valsts nekustamie īpašumi” realizēto būvniecības projektu 2023.</w:t>
      </w:r>
      <w:r w:rsidR="00C0032E" w:rsidRPr="002A2F6E">
        <w:t> </w:t>
      </w:r>
      <w:r w:rsidR="00FB11FC" w:rsidRPr="002A2F6E">
        <w:t>gadā un pasākumu 2024.</w:t>
      </w:r>
      <w:r w:rsidR="00C0032E" w:rsidRPr="002A2F6E">
        <w:t> </w:t>
      </w:r>
      <w:r w:rsidR="00FB11FC" w:rsidRPr="002A2F6E">
        <w:t>gadā plānotā finansējuma izmaiņām;</w:t>
      </w:r>
    </w:p>
    <w:p w14:paraId="025E9C4C" w14:textId="637DDCE3" w:rsidR="00FB11FC" w:rsidRPr="005F47C7" w:rsidRDefault="00FB11FC" w:rsidP="002A2F6E">
      <w:pPr>
        <w:pStyle w:val="Bullets"/>
        <w:rPr>
          <w:bCs/>
        </w:rPr>
      </w:pPr>
      <w:r w:rsidRPr="002A2F6E">
        <w:t>Izglī</w:t>
      </w:r>
      <w:r w:rsidR="00FE1C7D" w:rsidRPr="002A2F6E">
        <w:t>tības un zinātnes ministrijai (</w:t>
      </w:r>
      <w:r w:rsidRPr="002A2F6E">
        <w:t>13</w:t>
      </w:r>
      <w:r w:rsidR="00B7787F" w:rsidRPr="002A2F6E">
        <w:t>,3</w:t>
      </w:r>
      <w:r w:rsidRPr="002A2F6E">
        <w:t xml:space="preserve">) </w:t>
      </w:r>
      <w:r w:rsidR="00B7787F" w:rsidRPr="002A2F6E">
        <w:t>milj.</w:t>
      </w:r>
      <w:r w:rsidR="00E24982" w:rsidRPr="002A2F6E">
        <w:t xml:space="preserve"> </w:t>
      </w:r>
      <w:r w:rsidRPr="002A2F6E">
        <w:t>euro vērtībā, izmaiņas saistītas ar iepirkumu samazinājumu, piešķirtā finansējuma samazinājumu kapitāliem izdevumiem, kā arī izdevumu</w:t>
      </w:r>
      <w:r w:rsidRPr="00177E3C">
        <w:t xml:space="preserve"> samazinājumu biroja tehnikas iegādei iepriekšējā periodā projekta "Izglītības iestāžu </w:t>
      </w:r>
      <w:proofErr w:type="spellStart"/>
      <w:r w:rsidRPr="00177E3C">
        <w:t>digitalizācija</w:t>
      </w:r>
      <w:proofErr w:type="spellEnd"/>
      <w:r w:rsidRPr="00177E3C">
        <w:t xml:space="preserve"> 7.-9.klasēm" ietvaros nodošanai pašvaldībām un padotības iestādēm.</w:t>
      </w:r>
      <w:r w:rsidRPr="005F47C7">
        <w:rPr>
          <w:bCs/>
        </w:rPr>
        <w:t xml:space="preserve"> </w:t>
      </w:r>
    </w:p>
    <w:p w14:paraId="029EBA66" w14:textId="77777777" w:rsidR="00FB11FC" w:rsidRPr="00177E3C" w:rsidRDefault="00FB11FC" w:rsidP="00FB11FC">
      <w:pPr>
        <w:pStyle w:val="Heading4"/>
      </w:pPr>
      <w:r w:rsidRPr="00177E3C">
        <w:t>Piezīme Nr. NP.B27. Citi izdevumi no ieguldījumu darbības</w:t>
      </w:r>
    </w:p>
    <w:p w14:paraId="1E6183AC" w14:textId="6D6EC160" w:rsidR="00FB11FC" w:rsidRPr="00177E3C" w:rsidRDefault="00FB11FC" w:rsidP="002A2F6E">
      <w:pPr>
        <w:pStyle w:val="Pamatteksts1"/>
      </w:pPr>
      <w:r w:rsidRPr="002A2F6E">
        <w:t>Citu</w:t>
      </w:r>
      <w:r w:rsidRPr="00177E3C">
        <w:t xml:space="preserve"> izdevumu no ieguldījumu darbības palielinājumu </w:t>
      </w:r>
      <w:r w:rsidRPr="00177E3C">
        <w:rPr>
          <w:rFonts w:cstheme="minorBidi"/>
        </w:rPr>
        <w:t>1</w:t>
      </w:r>
      <w:r w:rsidR="00B7787F">
        <w:rPr>
          <w:rFonts w:cstheme="minorBidi"/>
        </w:rPr>
        <w:t> </w:t>
      </w:r>
      <w:r w:rsidRPr="00177E3C">
        <w:rPr>
          <w:rFonts w:cstheme="minorBidi"/>
        </w:rPr>
        <w:t>691</w:t>
      </w:r>
      <w:r w:rsidR="00B7787F">
        <w:rPr>
          <w:rFonts w:cstheme="minorBidi"/>
        </w:rPr>
        <w:t>,1</w:t>
      </w:r>
      <w:r w:rsidRPr="00177E3C">
        <w:rPr>
          <w:rFonts w:cstheme="minorBidi"/>
        </w:rPr>
        <w:t> </w:t>
      </w:r>
      <w:r w:rsidR="00B7787F">
        <w:rPr>
          <w:rFonts w:cstheme="minorBidi"/>
        </w:rPr>
        <w:t>milj.</w:t>
      </w:r>
      <w:r w:rsidRPr="00177E3C">
        <w:rPr>
          <w:rFonts w:cstheme="minorBidi"/>
        </w:rPr>
        <w:t xml:space="preserve"> </w:t>
      </w:r>
      <w:r w:rsidRPr="00177E3C">
        <w:rPr>
          <w:rFonts w:cstheme="minorBidi"/>
          <w:i/>
        </w:rPr>
        <w:t>euro</w:t>
      </w:r>
      <w:r w:rsidRPr="00177E3C">
        <w:rPr>
          <w:rFonts w:cstheme="minorBidi"/>
        </w:rPr>
        <w:t xml:space="preserve"> </w:t>
      </w:r>
      <w:r w:rsidRPr="00177E3C">
        <w:t xml:space="preserve">vērtībā galvenokārt veido fiksētas likmes īstermiņa noguldījumu veikšana ārvalstu kredītiestādēs </w:t>
      </w:r>
      <w:r w:rsidRPr="00177E3C">
        <w:rPr>
          <w:rFonts w:cstheme="minorBidi"/>
        </w:rPr>
        <w:t>1</w:t>
      </w:r>
      <w:r w:rsidR="00B7787F">
        <w:rPr>
          <w:rFonts w:cstheme="minorBidi"/>
        </w:rPr>
        <w:t> </w:t>
      </w:r>
      <w:r w:rsidRPr="00177E3C">
        <w:rPr>
          <w:rFonts w:cstheme="minorBidi"/>
        </w:rPr>
        <w:t>6</w:t>
      </w:r>
      <w:r>
        <w:rPr>
          <w:rFonts w:cstheme="minorBidi"/>
        </w:rPr>
        <w:t>45</w:t>
      </w:r>
      <w:r w:rsidR="00B7787F">
        <w:rPr>
          <w:rFonts w:cstheme="minorBidi"/>
        </w:rPr>
        <w:t>,0</w:t>
      </w:r>
      <w:r w:rsidRPr="00177E3C">
        <w:rPr>
          <w:rFonts w:cstheme="minorBidi"/>
        </w:rPr>
        <w:t> </w:t>
      </w:r>
      <w:r w:rsidR="00B7787F">
        <w:rPr>
          <w:rFonts w:cstheme="minorBidi"/>
        </w:rPr>
        <w:t>milj.</w:t>
      </w:r>
      <w:r w:rsidRPr="00177E3C">
        <w:rPr>
          <w:rFonts w:cstheme="minorBidi"/>
        </w:rPr>
        <w:t xml:space="preserve"> </w:t>
      </w:r>
      <w:r w:rsidRPr="00177E3C">
        <w:rPr>
          <w:rFonts w:cstheme="minorBidi"/>
          <w:i/>
        </w:rPr>
        <w:t>euro</w:t>
      </w:r>
      <w:r w:rsidRPr="00177E3C">
        <w:rPr>
          <w:rFonts w:cstheme="minorBidi"/>
        </w:rPr>
        <w:t xml:space="preserve"> vērtībā</w:t>
      </w:r>
      <w:r w:rsidR="00C0032E" w:rsidRPr="00C0032E">
        <w:t xml:space="preserve"> </w:t>
      </w:r>
      <w:r w:rsidR="00C0032E">
        <w:t>v</w:t>
      </w:r>
      <w:r w:rsidR="00C0032E" w:rsidRPr="00177E3C">
        <w:t>alsts budžeta finanšu uzskaitē</w:t>
      </w:r>
      <w:r w:rsidRPr="00177E3C">
        <w:rPr>
          <w:rFonts w:cstheme="minorBidi"/>
        </w:rPr>
        <w:t>,</w:t>
      </w:r>
      <w:r w:rsidRPr="00177E3C">
        <w:t xml:space="preserve"> Izglītības un zinātnes ministrijas (Latvijas Universitātes) termiņnoguldījums kredītiestādē 25</w:t>
      </w:r>
      <w:r w:rsidR="00B7787F">
        <w:t>,7</w:t>
      </w:r>
      <w:r w:rsidRPr="00177E3C">
        <w:t> </w:t>
      </w:r>
      <w:r w:rsidR="00B7787F">
        <w:t>milj.</w:t>
      </w:r>
      <w:r w:rsidRPr="00177E3C">
        <w:t> </w:t>
      </w:r>
      <w:r w:rsidRPr="00177E3C">
        <w:rPr>
          <w:i/>
        </w:rPr>
        <w:t>euro</w:t>
      </w:r>
      <w:r w:rsidRPr="00177E3C">
        <w:t xml:space="preserve"> vērtībā un Veselības ministrijas (Rīgas Stradiņa universitātes) termiņnoguldījums kredītiestādē 19</w:t>
      </w:r>
      <w:r w:rsidR="00B7787F">
        <w:t>,1</w:t>
      </w:r>
      <w:r w:rsidRPr="00177E3C">
        <w:t> </w:t>
      </w:r>
      <w:r w:rsidR="00B7787F">
        <w:t>milj.</w:t>
      </w:r>
      <w:r w:rsidRPr="00177E3C">
        <w:t xml:space="preserve"> </w:t>
      </w:r>
      <w:r w:rsidRPr="00177E3C">
        <w:rPr>
          <w:i/>
        </w:rPr>
        <w:t>euro</w:t>
      </w:r>
      <w:r w:rsidRPr="00177E3C">
        <w:t xml:space="preserve"> vērtībā. </w:t>
      </w:r>
    </w:p>
    <w:p w14:paraId="1E0512D5" w14:textId="77777777" w:rsidR="00FB11FC" w:rsidRPr="00177E3C" w:rsidRDefault="00FB11FC" w:rsidP="002A2F6E">
      <w:pPr>
        <w:pStyle w:val="Pamatteksts1"/>
      </w:pPr>
      <w:r w:rsidRPr="00177E3C">
        <w:t xml:space="preserve">Informācija par </w:t>
      </w:r>
      <w:r w:rsidRPr="002A2F6E">
        <w:t>citiem</w:t>
      </w:r>
      <w:r w:rsidRPr="00177E3C">
        <w:t xml:space="preserve"> izdevumiem no ieguldījumu darbības sniegta 3.6. tabulā. </w:t>
      </w:r>
    </w:p>
    <w:p w14:paraId="58D9E2B2" w14:textId="04EB1E48" w:rsidR="00FB11FC" w:rsidRPr="00177E3C" w:rsidRDefault="00FB11FC" w:rsidP="00FB11FC">
      <w:pPr>
        <w:pStyle w:val="Tabulasnosaukums"/>
        <w:spacing w:before="0"/>
        <w:ind w:left="720"/>
        <w:rPr>
          <w:rFonts w:eastAsia="Arial Unicode MS"/>
          <w:color w:val="17365D"/>
          <w:szCs w:val="20"/>
        </w:rPr>
      </w:pPr>
      <w:r w:rsidRPr="00177E3C">
        <w:rPr>
          <w:rFonts w:eastAsia="Arial Unicode MS"/>
          <w:color w:val="17365D"/>
          <w:szCs w:val="20"/>
        </w:rPr>
        <w:t>3.6. tabula. NP.B27</w:t>
      </w:r>
      <w:r w:rsidR="00D921E0">
        <w:rPr>
          <w:rFonts w:eastAsia="Arial Unicode MS"/>
          <w:color w:val="17365D"/>
          <w:szCs w:val="20"/>
        </w:rPr>
        <w:t>.</w:t>
      </w:r>
      <w:r w:rsidRPr="00177E3C">
        <w:rPr>
          <w:rFonts w:eastAsia="Arial Unicode MS"/>
          <w:color w:val="17365D"/>
          <w:szCs w:val="20"/>
        </w:rPr>
        <w:t xml:space="preserve"> Citi izdevumi no ieguldījumu darbības</w:t>
      </w:r>
      <w:r w:rsidRPr="00177E3C">
        <w:rPr>
          <w:bCs/>
          <w:color w:val="17365D"/>
          <w:szCs w:val="20"/>
        </w:rPr>
        <w:t xml:space="preserve"> (</w:t>
      </w:r>
      <w:r w:rsidRPr="00177E3C">
        <w:rPr>
          <w:color w:val="17365D"/>
          <w:szCs w:val="20"/>
        </w:rPr>
        <w:t>euro)</w:t>
      </w:r>
    </w:p>
    <w:tbl>
      <w:tblPr>
        <w:tblW w:w="4991" w:type="pct"/>
        <w:tblBorders>
          <w:top w:val="single" w:sz="4" w:space="0" w:color="auto"/>
          <w:bottom w:val="single" w:sz="4" w:space="0" w:color="000000"/>
          <w:insideH w:val="single" w:sz="4" w:space="0" w:color="000000"/>
        </w:tblBorders>
        <w:tblLook w:val="04A0" w:firstRow="1" w:lastRow="0" w:firstColumn="1" w:lastColumn="0" w:noHBand="0" w:noVBand="1"/>
      </w:tblPr>
      <w:tblGrid>
        <w:gridCol w:w="5954"/>
        <w:gridCol w:w="1908"/>
        <w:gridCol w:w="1616"/>
      </w:tblGrid>
      <w:tr w:rsidR="002F41F2" w:rsidRPr="00177E3C" w14:paraId="62597FD3" w14:textId="77777777" w:rsidTr="002F41F2">
        <w:trPr>
          <w:trHeight w:val="314"/>
          <w:tblHeader/>
        </w:trPr>
        <w:tc>
          <w:tcPr>
            <w:tcW w:w="5954" w:type="dxa"/>
            <w:tcBorders>
              <w:top w:val="nil"/>
              <w:bottom w:val="single" w:sz="4" w:space="0" w:color="17365D"/>
            </w:tcBorders>
            <w:shd w:val="clear" w:color="auto" w:fill="B8CCE4" w:themeFill="accent1" w:themeFillTint="66"/>
            <w:vAlign w:val="center"/>
            <w:hideMark/>
          </w:tcPr>
          <w:p w14:paraId="39DA9C9C"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Darījuma apraksts</w:t>
            </w:r>
          </w:p>
        </w:tc>
        <w:tc>
          <w:tcPr>
            <w:tcW w:w="1908" w:type="dxa"/>
            <w:tcBorders>
              <w:top w:val="nil"/>
              <w:bottom w:val="single" w:sz="4" w:space="0" w:color="17365D"/>
            </w:tcBorders>
            <w:shd w:val="clear" w:color="auto" w:fill="B8CCE4" w:themeFill="accent1" w:themeFillTint="66"/>
            <w:vAlign w:val="center"/>
            <w:hideMark/>
          </w:tcPr>
          <w:p w14:paraId="09ED4CD9"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Pārskata periodā</w:t>
            </w:r>
          </w:p>
        </w:tc>
        <w:tc>
          <w:tcPr>
            <w:tcW w:w="1616" w:type="dxa"/>
            <w:tcBorders>
              <w:top w:val="nil"/>
              <w:bottom w:val="single" w:sz="4" w:space="0" w:color="17365D"/>
            </w:tcBorders>
            <w:shd w:val="clear" w:color="auto" w:fill="B8CCE4" w:themeFill="accent1" w:themeFillTint="66"/>
          </w:tcPr>
          <w:p w14:paraId="6FA9DB93"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Iepriekšējā pārskata periodā</w:t>
            </w:r>
          </w:p>
        </w:tc>
      </w:tr>
      <w:tr w:rsidR="002F41F2" w:rsidRPr="00177E3C" w14:paraId="7A719A4F" w14:textId="77777777" w:rsidTr="002F41F2">
        <w:trPr>
          <w:trHeight w:val="255"/>
          <w:tblHeader/>
        </w:trPr>
        <w:tc>
          <w:tcPr>
            <w:tcW w:w="5954" w:type="dxa"/>
            <w:tcBorders>
              <w:top w:val="single" w:sz="4" w:space="0" w:color="17365D"/>
              <w:bottom w:val="single" w:sz="4" w:space="0" w:color="17365D"/>
            </w:tcBorders>
            <w:shd w:val="clear" w:color="auto" w:fill="auto"/>
            <w:vAlign w:val="center"/>
            <w:hideMark/>
          </w:tcPr>
          <w:p w14:paraId="1E89B15F"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A</w:t>
            </w:r>
          </w:p>
        </w:tc>
        <w:tc>
          <w:tcPr>
            <w:tcW w:w="1908" w:type="dxa"/>
            <w:tcBorders>
              <w:top w:val="single" w:sz="4" w:space="0" w:color="17365D"/>
              <w:bottom w:val="single" w:sz="4" w:space="0" w:color="17365D"/>
            </w:tcBorders>
            <w:shd w:val="clear" w:color="auto" w:fill="auto"/>
            <w:vAlign w:val="center"/>
            <w:hideMark/>
          </w:tcPr>
          <w:p w14:paraId="28FE70E1"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1</w:t>
            </w:r>
          </w:p>
        </w:tc>
        <w:tc>
          <w:tcPr>
            <w:tcW w:w="1616" w:type="dxa"/>
            <w:tcBorders>
              <w:top w:val="single" w:sz="4" w:space="0" w:color="17365D"/>
              <w:bottom w:val="single" w:sz="4" w:space="0" w:color="17365D"/>
            </w:tcBorders>
          </w:tcPr>
          <w:p w14:paraId="443D3045"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2</w:t>
            </w:r>
          </w:p>
        </w:tc>
      </w:tr>
      <w:tr w:rsidR="002F41F2" w:rsidRPr="00177E3C" w14:paraId="02205652" w14:textId="77777777" w:rsidTr="002F41F2">
        <w:trPr>
          <w:trHeight w:val="255"/>
        </w:trPr>
        <w:tc>
          <w:tcPr>
            <w:tcW w:w="5954" w:type="dxa"/>
            <w:tcBorders>
              <w:top w:val="single" w:sz="4" w:space="0" w:color="17365D"/>
              <w:bottom w:val="single" w:sz="4" w:space="0" w:color="17365D"/>
            </w:tcBorders>
            <w:shd w:val="clear" w:color="F2F2F2" w:fill="FFFFFF"/>
            <w:vAlign w:val="center"/>
          </w:tcPr>
          <w:p w14:paraId="7339C155" w14:textId="77777777" w:rsidR="002F41F2" w:rsidRPr="00177E3C" w:rsidRDefault="002F41F2" w:rsidP="00C7199B">
            <w:pPr>
              <w:spacing w:after="0" w:line="240" w:lineRule="auto"/>
              <w:rPr>
                <w:bCs/>
                <w:color w:val="17365D"/>
                <w:sz w:val="18"/>
                <w:szCs w:val="18"/>
                <w:lang w:eastAsia="lv-LV"/>
              </w:rPr>
            </w:pPr>
            <w:r w:rsidRPr="00177E3C">
              <w:rPr>
                <w:bCs/>
                <w:color w:val="17365D"/>
                <w:sz w:val="18"/>
                <w:szCs w:val="18"/>
                <w:lang w:eastAsia="lv-LV"/>
              </w:rPr>
              <w:t>Termiņnoguldījumu, kuru sākotnējais termiņš pārsniedz 90 dienas, veikšana</w:t>
            </w:r>
          </w:p>
        </w:tc>
        <w:tc>
          <w:tcPr>
            <w:tcW w:w="1908" w:type="dxa"/>
            <w:tcBorders>
              <w:top w:val="single" w:sz="4" w:space="0" w:color="17365D"/>
              <w:bottom w:val="single" w:sz="4" w:space="0" w:color="17365D"/>
            </w:tcBorders>
            <w:shd w:val="clear" w:color="F2F2F2" w:fill="FFFFFF"/>
            <w:vAlign w:val="center"/>
          </w:tcPr>
          <w:p w14:paraId="5D1CCE1A" w14:textId="77777777" w:rsidR="002F41F2" w:rsidRPr="00177E3C" w:rsidRDefault="002F41F2" w:rsidP="00C7199B">
            <w:pPr>
              <w:spacing w:after="0" w:line="240" w:lineRule="auto"/>
              <w:jc w:val="right"/>
              <w:rPr>
                <w:bCs/>
                <w:color w:val="17365D"/>
                <w:sz w:val="18"/>
                <w:szCs w:val="18"/>
                <w:lang w:eastAsia="lv-LV"/>
              </w:rPr>
            </w:pPr>
            <w:r w:rsidRPr="00177E3C">
              <w:rPr>
                <w:rFonts w:cs="Times New Roman"/>
                <w:color w:val="17365D"/>
                <w:sz w:val="18"/>
                <w:szCs w:val="18"/>
              </w:rPr>
              <w:t>1 779 105 013</w:t>
            </w:r>
          </w:p>
        </w:tc>
        <w:tc>
          <w:tcPr>
            <w:tcW w:w="1616" w:type="dxa"/>
            <w:tcBorders>
              <w:top w:val="single" w:sz="4" w:space="0" w:color="17365D"/>
              <w:bottom w:val="single" w:sz="4" w:space="0" w:color="17365D"/>
            </w:tcBorders>
            <w:shd w:val="clear" w:color="F2F2F2" w:fill="FFFFFF"/>
            <w:vAlign w:val="center"/>
          </w:tcPr>
          <w:p w14:paraId="351BAF49" w14:textId="77777777" w:rsidR="002F41F2" w:rsidRPr="00177E3C" w:rsidRDefault="002F41F2" w:rsidP="00C7199B">
            <w:pPr>
              <w:spacing w:after="0" w:line="240" w:lineRule="auto"/>
              <w:jc w:val="right"/>
              <w:rPr>
                <w:bCs/>
                <w:color w:val="17365D"/>
                <w:sz w:val="18"/>
                <w:szCs w:val="18"/>
                <w:lang w:eastAsia="lv-LV"/>
              </w:rPr>
            </w:pPr>
            <w:r w:rsidRPr="00177E3C">
              <w:rPr>
                <w:bCs/>
                <w:color w:val="17365D"/>
                <w:sz w:val="18"/>
                <w:szCs w:val="18"/>
                <w:lang w:eastAsia="lv-LV"/>
              </w:rPr>
              <w:t>88 005</w:t>
            </w:r>
            <w:r w:rsidRPr="00177E3C">
              <w:rPr>
                <w:rFonts w:cs="Times New Roman"/>
                <w:color w:val="17365D"/>
                <w:sz w:val="18"/>
                <w:szCs w:val="18"/>
              </w:rPr>
              <w:t> </w:t>
            </w:r>
            <w:r w:rsidRPr="00177E3C">
              <w:rPr>
                <w:bCs/>
                <w:color w:val="17365D"/>
                <w:sz w:val="18"/>
                <w:szCs w:val="18"/>
                <w:lang w:eastAsia="lv-LV"/>
              </w:rPr>
              <w:t>132</w:t>
            </w:r>
          </w:p>
        </w:tc>
      </w:tr>
      <w:tr w:rsidR="002F41F2" w:rsidRPr="00177E3C" w14:paraId="134E5E68" w14:textId="77777777" w:rsidTr="002F41F2">
        <w:trPr>
          <w:trHeight w:val="255"/>
        </w:trPr>
        <w:tc>
          <w:tcPr>
            <w:tcW w:w="5954" w:type="dxa"/>
            <w:tcBorders>
              <w:top w:val="single" w:sz="4" w:space="0" w:color="17365D"/>
              <w:bottom w:val="nil"/>
            </w:tcBorders>
            <w:shd w:val="clear" w:color="auto" w:fill="B8CCE4" w:themeFill="accent1" w:themeFillTint="66"/>
            <w:vAlign w:val="center"/>
            <w:hideMark/>
          </w:tcPr>
          <w:p w14:paraId="2D9C3040" w14:textId="77777777" w:rsidR="002F41F2" w:rsidRPr="00177E3C" w:rsidRDefault="002F41F2" w:rsidP="00C7199B">
            <w:pPr>
              <w:spacing w:after="0" w:line="240" w:lineRule="auto"/>
              <w:rPr>
                <w:bCs/>
                <w:color w:val="17365D"/>
                <w:sz w:val="18"/>
                <w:szCs w:val="18"/>
                <w:lang w:eastAsia="lv-LV"/>
              </w:rPr>
            </w:pPr>
            <w:r w:rsidRPr="00177E3C">
              <w:rPr>
                <w:b/>
                <w:bCs/>
                <w:color w:val="17365D"/>
                <w:sz w:val="18"/>
                <w:szCs w:val="18"/>
                <w:lang w:eastAsia="lv-LV"/>
              </w:rPr>
              <w:t>Kopā</w:t>
            </w:r>
          </w:p>
        </w:tc>
        <w:tc>
          <w:tcPr>
            <w:tcW w:w="1908" w:type="dxa"/>
            <w:tcBorders>
              <w:top w:val="single" w:sz="4" w:space="0" w:color="17365D"/>
              <w:bottom w:val="nil"/>
            </w:tcBorders>
            <w:shd w:val="clear" w:color="auto" w:fill="B8CCE4" w:themeFill="accent1" w:themeFillTint="66"/>
            <w:vAlign w:val="center"/>
            <w:hideMark/>
          </w:tcPr>
          <w:p w14:paraId="368D9257" w14:textId="77777777" w:rsidR="002F41F2" w:rsidRPr="00177E3C" w:rsidRDefault="002F41F2" w:rsidP="00C7199B">
            <w:pPr>
              <w:spacing w:after="0" w:line="240" w:lineRule="auto"/>
              <w:jc w:val="right"/>
              <w:rPr>
                <w:bCs/>
                <w:color w:val="17365D"/>
                <w:sz w:val="18"/>
                <w:szCs w:val="18"/>
                <w:lang w:eastAsia="lv-LV"/>
              </w:rPr>
            </w:pPr>
            <w:r w:rsidRPr="00177E3C">
              <w:rPr>
                <w:rFonts w:cs="Times New Roman"/>
                <w:b/>
                <w:color w:val="17365D"/>
                <w:sz w:val="18"/>
                <w:szCs w:val="18"/>
              </w:rPr>
              <w:t>1 779 105 013</w:t>
            </w:r>
          </w:p>
        </w:tc>
        <w:tc>
          <w:tcPr>
            <w:tcW w:w="1616" w:type="dxa"/>
            <w:tcBorders>
              <w:top w:val="single" w:sz="4" w:space="0" w:color="17365D"/>
              <w:bottom w:val="nil"/>
            </w:tcBorders>
            <w:shd w:val="clear" w:color="auto" w:fill="B8CCE4" w:themeFill="accent1" w:themeFillTint="66"/>
            <w:vAlign w:val="center"/>
          </w:tcPr>
          <w:p w14:paraId="7033EE6A" w14:textId="77777777" w:rsidR="002F41F2" w:rsidRPr="00177E3C" w:rsidRDefault="002F41F2" w:rsidP="00C7199B">
            <w:pPr>
              <w:spacing w:after="0" w:line="240" w:lineRule="auto"/>
              <w:jc w:val="right"/>
              <w:rPr>
                <w:bCs/>
                <w:color w:val="17365D"/>
                <w:sz w:val="18"/>
                <w:szCs w:val="18"/>
                <w:lang w:eastAsia="lv-LV"/>
              </w:rPr>
            </w:pPr>
            <w:r w:rsidRPr="00177E3C">
              <w:rPr>
                <w:b/>
                <w:bCs/>
                <w:color w:val="17365D"/>
                <w:sz w:val="18"/>
                <w:szCs w:val="18"/>
                <w:lang w:eastAsia="lv-LV"/>
              </w:rPr>
              <w:t>88 005 132</w:t>
            </w:r>
          </w:p>
        </w:tc>
      </w:tr>
    </w:tbl>
    <w:p w14:paraId="40888609" w14:textId="77777777" w:rsidR="00FB11FC" w:rsidRPr="00177E3C" w:rsidRDefault="00FB11FC" w:rsidP="00FB11FC">
      <w:pPr>
        <w:pStyle w:val="BodyTextIndent"/>
        <w:spacing w:after="120" w:line="240" w:lineRule="auto"/>
        <w:jc w:val="both"/>
        <w:rPr>
          <w:bCs/>
          <w:color w:val="17365D"/>
        </w:rPr>
      </w:pPr>
    </w:p>
    <w:p w14:paraId="0FF9F43D" w14:textId="77777777" w:rsidR="0055737C" w:rsidRDefault="0055737C" w:rsidP="002F7275">
      <w:pPr>
        <w:pStyle w:val="Pamatteksts1"/>
      </w:pPr>
    </w:p>
    <w:p w14:paraId="53C9E6B3" w14:textId="77777777" w:rsidR="0055737C" w:rsidRDefault="0055737C" w:rsidP="002F7275">
      <w:pPr>
        <w:pStyle w:val="Pamatteksts1"/>
      </w:pPr>
    </w:p>
    <w:p w14:paraId="50FA0239" w14:textId="77777777" w:rsidR="0055737C" w:rsidRDefault="0055737C" w:rsidP="002F7275">
      <w:pPr>
        <w:pStyle w:val="Pamatteksts1"/>
      </w:pPr>
    </w:p>
    <w:p w14:paraId="7A49CBAB" w14:textId="77777777" w:rsidR="002F7275" w:rsidRDefault="002F7275" w:rsidP="002F7275">
      <w:pPr>
        <w:pStyle w:val="Pamatteksts1"/>
      </w:pPr>
    </w:p>
    <w:p w14:paraId="508AE155" w14:textId="03A44BBB" w:rsidR="00FB11FC" w:rsidRPr="00177E3C" w:rsidRDefault="00FB11FC" w:rsidP="00FB11FC">
      <w:pPr>
        <w:pStyle w:val="Heading3"/>
      </w:pPr>
      <w:r w:rsidRPr="00177E3C">
        <w:lastRenderedPageBreak/>
        <w:t>Naudas līdzekļu plūsma no finansēšanas darbības</w:t>
      </w:r>
    </w:p>
    <w:p w14:paraId="7AF36074" w14:textId="1213631D" w:rsidR="00FB11FC" w:rsidRPr="00177E3C" w:rsidRDefault="00FB11FC" w:rsidP="00FB11FC">
      <w:pPr>
        <w:pStyle w:val="Tabulasnosaukums"/>
        <w:spacing w:before="0"/>
        <w:rPr>
          <w:rFonts w:eastAsia="Arial Unicode MS"/>
          <w:color w:val="17365D"/>
          <w:szCs w:val="20"/>
        </w:rPr>
      </w:pPr>
      <w:r w:rsidRPr="00177E3C">
        <w:rPr>
          <w:rFonts w:eastAsia="Arial Unicode MS"/>
          <w:color w:val="17365D"/>
          <w:szCs w:val="20"/>
        </w:rPr>
        <w:t>3.7. tabula. NP.C</w:t>
      </w:r>
      <w:r w:rsidR="00D921E0">
        <w:rPr>
          <w:rFonts w:eastAsia="Arial Unicode MS"/>
          <w:color w:val="17365D"/>
          <w:szCs w:val="20"/>
        </w:rPr>
        <w:t>.</w:t>
      </w:r>
      <w:r w:rsidRPr="00177E3C">
        <w:rPr>
          <w:rFonts w:eastAsia="Arial Unicode MS"/>
          <w:color w:val="17365D"/>
          <w:szCs w:val="20"/>
        </w:rPr>
        <w:t xml:space="preserve"> Finansēšanas </w:t>
      </w:r>
      <w:r w:rsidRPr="00177E3C">
        <w:rPr>
          <w:bCs/>
          <w:color w:val="17365D"/>
          <w:szCs w:val="20"/>
        </w:rPr>
        <w:t>ieņēmumi un izdevumi (</w:t>
      </w:r>
      <w:r w:rsidRPr="00177E3C">
        <w:rPr>
          <w:color w:val="17365D"/>
          <w:szCs w:val="20"/>
        </w:rPr>
        <w:t>euro)</w:t>
      </w:r>
    </w:p>
    <w:tbl>
      <w:tblPr>
        <w:tblW w:w="9531" w:type="dxa"/>
        <w:tblLayout w:type="fixed"/>
        <w:tblLook w:val="04A0" w:firstRow="1" w:lastRow="0" w:firstColumn="1" w:lastColumn="0" w:noHBand="0" w:noVBand="1"/>
      </w:tblPr>
      <w:tblGrid>
        <w:gridCol w:w="2835"/>
        <w:gridCol w:w="992"/>
        <w:gridCol w:w="1418"/>
        <w:gridCol w:w="1276"/>
        <w:gridCol w:w="1701"/>
        <w:gridCol w:w="1309"/>
      </w:tblGrid>
      <w:tr w:rsidR="00FB11FC" w:rsidRPr="00177E3C" w14:paraId="205E44C7" w14:textId="77777777" w:rsidTr="002F41F2">
        <w:trPr>
          <w:trHeight w:val="791"/>
          <w:tblHeader/>
        </w:trPr>
        <w:tc>
          <w:tcPr>
            <w:tcW w:w="2835" w:type="dxa"/>
            <w:tcBorders>
              <w:bottom w:val="single" w:sz="4" w:space="0" w:color="17365D"/>
            </w:tcBorders>
            <w:shd w:val="clear" w:color="auto" w:fill="B9CDE5"/>
            <w:vAlign w:val="center"/>
            <w:hideMark/>
          </w:tcPr>
          <w:p w14:paraId="65C83587" w14:textId="41A9B5A0" w:rsidR="00FB11FC" w:rsidRPr="00177E3C" w:rsidRDefault="00104640" w:rsidP="00C7199B">
            <w:pPr>
              <w:spacing w:after="0" w:line="240" w:lineRule="auto"/>
              <w:jc w:val="center"/>
              <w:rPr>
                <w:rFonts w:cs="Times New Roman"/>
                <w:b/>
                <w:color w:val="17365D"/>
                <w:sz w:val="18"/>
                <w:szCs w:val="18"/>
                <w:lang w:eastAsia="lv-LV"/>
              </w:rPr>
            </w:pPr>
            <w:r>
              <w:rPr>
                <w:rFonts w:eastAsia="Times New Roman" w:cs="Times New Roman"/>
                <w:b/>
                <w:bCs/>
                <w:color w:val="17365D"/>
                <w:sz w:val="18"/>
                <w:szCs w:val="18"/>
                <w:lang w:eastAsia="lv-LV"/>
              </w:rPr>
              <w:t>Posteņa nosaukums</w:t>
            </w:r>
          </w:p>
        </w:tc>
        <w:tc>
          <w:tcPr>
            <w:tcW w:w="992" w:type="dxa"/>
            <w:tcBorders>
              <w:bottom w:val="single" w:sz="4" w:space="0" w:color="17365D"/>
            </w:tcBorders>
            <w:shd w:val="clear" w:color="auto" w:fill="B9CDE5"/>
            <w:vAlign w:val="center"/>
          </w:tcPr>
          <w:p w14:paraId="4CBA71C1"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Piezīmes Nr.</w:t>
            </w:r>
          </w:p>
        </w:tc>
        <w:tc>
          <w:tcPr>
            <w:tcW w:w="1418" w:type="dxa"/>
            <w:tcBorders>
              <w:bottom w:val="single" w:sz="4" w:space="0" w:color="17365D"/>
            </w:tcBorders>
            <w:shd w:val="clear" w:color="auto" w:fill="B9CDE5"/>
            <w:vAlign w:val="center"/>
          </w:tcPr>
          <w:p w14:paraId="27AAE0AA"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Pārskata periods</w:t>
            </w:r>
          </w:p>
        </w:tc>
        <w:tc>
          <w:tcPr>
            <w:tcW w:w="1276" w:type="dxa"/>
            <w:tcBorders>
              <w:bottom w:val="single" w:sz="4" w:space="0" w:color="17365D"/>
            </w:tcBorders>
            <w:shd w:val="clear" w:color="auto" w:fill="B9CDE5"/>
            <w:vAlign w:val="center"/>
          </w:tcPr>
          <w:p w14:paraId="6179B4A5" w14:textId="77777777" w:rsidR="00FB11FC" w:rsidRPr="00177E3C" w:rsidRDefault="00FB11FC" w:rsidP="00C7199B">
            <w:pPr>
              <w:spacing w:after="0" w:line="240" w:lineRule="auto"/>
              <w:jc w:val="center"/>
              <w:rPr>
                <w:rFonts w:cs="Times New Roman"/>
                <w:b/>
                <w:color w:val="17365D"/>
                <w:sz w:val="18"/>
                <w:szCs w:val="18"/>
                <w:lang w:eastAsia="lv-LV"/>
              </w:rPr>
            </w:pPr>
            <w:r w:rsidRPr="00177E3C">
              <w:rPr>
                <w:rFonts w:cs="Times New Roman"/>
                <w:b/>
                <w:color w:val="17365D"/>
                <w:sz w:val="18"/>
                <w:szCs w:val="18"/>
                <w:lang w:eastAsia="lv-LV"/>
              </w:rPr>
              <w:t>Iepriekšējais pārskata periods</w:t>
            </w:r>
          </w:p>
        </w:tc>
        <w:tc>
          <w:tcPr>
            <w:tcW w:w="1701" w:type="dxa"/>
            <w:tcBorders>
              <w:bottom w:val="single" w:sz="4" w:space="0" w:color="17365D"/>
            </w:tcBorders>
            <w:shd w:val="clear" w:color="auto" w:fill="B9CDE5"/>
            <w:vAlign w:val="center"/>
          </w:tcPr>
          <w:p w14:paraId="15140472" w14:textId="77777777" w:rsidR="00FB11FC" w:rsidRPr="00177E3C" w:rsidRDefault="00FB11FC" w:rsidP="00C7199B">
            <w:pPr>
              <w:spacing w:after="0" w:line="240" w:lineRule="auto"/>
              <w:ind w:left="-107" w:right="-109"/>
              <w:jc w:val="center"/>
              <w:rPr>
                <w:rFonts w:cs="Times New Roman"/>
                <w:b/>
                <w:color w:val="17365D"/>
                <w:sz w:val="18"/>
                <w:szCs w:val="18"/>
                <w:lang w:eastAsia="lv-LV"/>
              </w:rPr>
            </w:pPr>
            <w:r w:rsidRPr="00177E3C">
              <w:rPr>
                <w:rFonts w:cs="Times New Roman"/>
                <w:b/>
                <w:color w:val="17365D"/>
                <w:sz w:val="18"/>
                <w:szCs w:val="18"/>
                <w:lang w:eastAsia="lv-LV"/>
              </w:rPr>
              <w:t>Palielinājums (+), samazinājums (–)    (1. – 2.)</w:t>
            </w:r>
          </w:p>
        </w:tc>
        <w:tc>
          <w:tcPr>
            <w:tcW w:w="1309" w:type="dxa"/>
            <w:tcBorders>
              <w:bottom w:val="single" w:sz="4" w:space="0" w:color="17365D"/>
            </w:tcBorders>
            <w:shd w:val="clear" w:color="auto" w:fill="B9CDE5"/>
            <w:vAlign w:val="center"/>
          </w:tcPr>
          <w:p w14:paraId="3BFB4F79" w14:textId="77777777" w:rsidR="00FB11FC" w:rsidRPr="00177E3C" w:rsidRDefault="00FB11FC" w:rsidP="00C7199B">
            <w:pPr>
              <w:spacing w:after="0" w:line="240" w:lineRule="auto"/>
              <w:ind w:left="-107" w:right="-109"/>
              <w:jc w:val="center"/>
              <w:rPr>
                <w:rFonts w:cs="Times New Roman"/>
                <w:b/>
                <w:color w:val="17365D"/>
                <w:sz w:val="18"/>
                <w:szCs w:val="18"/>
                <w:lang w:eastAsia="lv-LV"/>
              </w:rPr>
            </w:pPr>
            <w:r w:rsidRPr="00177E3C">
              <w:rPr>
                <w:rFonts w:cs="Times New Roman"/>
                <w:b/>
                <w:color w:val="17365D"/>
                <w:sz w:val="18"/>
                <w:szCs w:val="18"/>
                <w:lang w:eastAsia="lv-LV"/>
              </w:rPr>
              <w:t xml:space="preserve">Procentuālās izmaiņas </w:t>
            </w:r>
          </w:p>
          <w:p w14:paraId="3324A86E" w14:textId="77777777" w:rsidR="00FB11FC" w:rsidRPr="00177E3C" w:rsidRDefault="00FB11FC" w:rsidP="00C7199B">
            <w:pPr>
              <w:spacing w:after="0" w:line="240" w:lineRule="auto"/>
              <w:ind w:left="-107" w:right="-109"/>
              <w:jc w:val="center"/>
              <w:rPr>
                <w:rFonts w:cs="Times New Roman"/>
                <w:b/>
                <w:color w:val="17365D"/>
                <w:sz w:val="18"/>
                <w:szCs w:val="18"/>
                <w:lang w:eastAsia="lv-LV"/>
              </w:rPr>
            </w:pPr>
            <w:r w:rsidRPr="00177E3C">
              <w:rPr>
                <w:rFonts w:cs="Times New Roman"/>
                <w:b/>
                <w:color w:val="17365D"/>
                <w:sz w:val="18"/>
                <w:szCs w:val="18"/>
                <w:lang w:eastAsia="lv-LV"/>
              </w:rPr>
              <w:t>(3. / 2. x 100)</w:t>
            </w:r>
          </w:p>
        </w:tc>
      </w:tr>
      <w:tr w:rsidR="00FB11FC" w:rsidRPr="00177E3C" w14:paraId="6DAC85FA" w14:textId="77777777" w:rsidTr="00CB1C27">
        <w:trPr>
          <w:trHeight w:val="60"/>
          <w:tblHeader/>
        </w:trPr>
        <w:tc>
          <w:tcPr>
            <w:tcW w:w="2835" w:type="dxa"/>
            <w:tcBorders>
              <w:top w:val="single" w:sz="4" w:space="0" w:color="17365D"/>
              <w:bottom w:val="single" w:sz="4" w:space="0" w:color="17365D"/>
            </w:tcBorders>
            <w:shd w:val="clear" w:color="auto" w:fill="auto"/>
            <w:vAlign w:val="center"/>
          </w:tcPr>
          <w:p w14:paraId="5B813E57"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A</w:t>
            </w:r>
          </w:p>
        </w:tc>
        <w:tc>
          <w:tcPr>
            <w:tcW w:w="992" w:type="dxa"/>
            <w:tcBorders>
              <w:top w:val="single" w:sz="4" w:space="0" w:color="17365D"/>
              <w:bottom w:val="single" w:sz="4" w:space="0" w:color="17365D"/>
            </w:tcBorders>
            <w:shd w:val="clear" w:color="auto" w:fill="auto"/>
            <w:vAlign w:val="center"/>
          </w:tcPr>
          <w:p w14:paraId="0841645A"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B</w:t>
            </w:r>
          </w:p>
        </w:tc>
        <w:tc>
          <w:tcPr>
            <w:tcW w:w="1418" w:type="dxa"/>
            <w:tcBorders>
              <w:top w:val="single" w:sz="4" w:space="0" w:color="17365D"/>
              <w:bottom w:val="single" w:sz="4" w:space="0" w:color="17365D"/>
            </w:tcBorders>
            <w:shd w:val="clear" w:color="auto" w:fill="auto"/>
            <w:vAlign w:val="center"/>
          </w:tcPr>
          <w:p w14:paraId="4FB394E1"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1</w:t>
            </w:r>
          </w:p>
        </w:tc>
        <w:tc>
          <w:tcPr>
            <w:tcW w:w="1276" w:type="dxa"/>
            <w:tcBorders>
              <w:top w:val="single" w:sz="4" w:space="0" w:color="17365D"/>
              <w:bottom w:val="single" w:sz="4" w:space="0" w:color="17365D"/>
            </w:tcBorders>
            <w:shd w:val="clear" w:color="auto" w:fill="auto"/>
            <w:vAlign w:val="center"/>
          </w:tcPr>
          <w:p w14:paraId="376360D1"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2</w:t>
            </w:r>
          </w:p>
        </w:tc>
        <w:tc>
          <w:tcPr>
            <w:tcW w:w="1701" w:type="dxa"/>
            <w:tcBorders>
              <w:top w:val="single" w:sz="4" w:space="0" w:color="17365D"/>
              <w:bottom w:val="single" w:sz="4" w:space="0" w:color="17365D"/>
            </w:tcBorders>
            <w:shd w:val="clear" w:color="auto" w:fill="auto"/>
            <w:vAlign w:val="center"/>
          </w:tcPr>
          <w:p w14:paraId="7A860D09"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3</w:t>
            </w:r>
          </w:p>
        </w:tc>
        <w:tc>
          <w:tcPr>
            <w:tcW w:w="1309" w:type="dxa"/>
            <w:tcBorders>
              <w:top w:val="single" w:sz="4" w:space="0" w:color="17365D"/>
              <w:bottom w:val="single" w:sz="4" w:space="0" w:color="17365D"/>
            </w:tcBorders>
            <w:shd w:val="clear" w:color="auto" w:fill="auto"/>
            <w:vAlign w:val="center"/>
          </w:tcPr>
          <w:p w14:paraId="03AF0DAE" w14:textId="77777777" w:rsidR="00FB11FC" w:rsidRPr="00177E3C" w:rsidRDefault="00FB11FC" w:rsidP="00C7199B">
            <w:pPr>
              <w:spacing w:after="0" w:line="240" w:lineRule="auto"/>
              <w:jc w:val="center"/>
              <w:rPr>
                <w:rFonts w:cs="Times New Roman"/>
                <w:b/>
                <w:color w:val="17365D"/>
                <w:sz w:val="18"/>
                <w:szCs w:val="18"/>
              </w:rPr>
            </w:pPr>
            <w:r w:rsidRPr="00177E3C">
              <w:rPr>
                <w:rFonts w:cs="Times New Roman"/>
                <w:b/>
                <w:color w:val="17365D"/>
                <w:sz w:val="18"/>
                <w:szCs w:val="18"/>
              </w:rPr>
              <w:t>4</w:t>
            </w:r>
          </w:p>
        </w:tc>
      </w:tr>
      <w:tr w:rsidR="00FB11FC" w:rsidRPr="00177E3C" w14:paraId="4E6F3A32" w14:textId="77777777" w:rsidTr="00CB1C27">
        <w:trPr>
          <w:trHeight w:val="319"/>
        </w:trPr>
        <w:tc>
          <w:tcPr>
            <w:tcW w:w="2835" w:type="dxa"/>
            <w:tcBorders>
              <w:top w:val="single" w:sz="4" w:space="0" w:color="17365D"/>
              <w:bottom w:val="single" w:sz="4" w:space="0" w:color="17365D"/>
            </w:tcBorders>
            <w:shd w:val="clear" w:color="auto" w:fill="auto"/>
            <w:vAlign w:val="center"/>
          </w:tcPr>
          <w:p w14:paraId="0E9CC9C0" w14:textId="77777777" w:rsidR="00FB11FC" w:rsidRPr="00177E3C" w:rsidRDefault="00FB11FC" w:rsidP="00C7199B">
            <w:pPr>
              <w:spacing w:after="0" w:line="240" w:lineRule="auto"/>
              <w:rPr>
                <w:rFonts w:cs="Times New Roman"/>
                <w:b/>
                <w:color w:val="17365D"/>
                <w:sz w:val="18"/>
                <w:szCs w:val="18"/>
              </w:rPr>
            </w:pPr>
            <w:r w:rsidRPr="00177E3C">
              <w:rPr>
                <w:rFonts w:cs="Times New Roman"/>
                <w:b/>
                <w:color w:val="17365D"/>
                <w:sz w:val="18"/>
                <w:szCs w:val="18"/>
              </w:rPr>
              <w:t xml:space="preserve">Ieņēmumi no finansēšanas darbības </w:t>
            </w:r>
          </w:p>
        </w:tc>
        <w:tc>
          <w:tcPr>
            <w:tcW w:w="992" w:type="dxa"/>
            <w:tcBorders>
              <w:top w:val="single" w:sz="4" w:space="0" w:color="17365D"/>
              <w:bottom w:val="single" w:sz="4" w:space="0" w:color="17365D"/>
            </w:tcBorders>
            <w:shd w:val="clear" w:color="auto" w:fill="auto"/>
            <w:vAlign w:val="center"/>
          </w:tcPr>
          <w:p w14:paraId="2FF47D07" w14:textId="77777777" w:rsidR="00FB11FC" w:rsidRPr="00177E3C" w:rsidRDefault="00FB11FC" w:rsidP="00C7199B">
            <w:pPr>
              <w:spacing w:after="0" w:line="240" w:lineRule="auto"/>
              <w:jc w:val="center"/>
              <w:rPr>
                <w:rFonts w:cs="Times New Roman"/>
                <w:b/>
                <w:color w:val="17365D"/>
                <w:sz w:val="18"/>
                <w:szCs w:val="18"/>
              </w:rPr>
            </w:pPr>
          </w:p>
        </w:tc>
        <w:tc>
          <w:tcPr>
            <w:tcW w:w="1418" w:type="dxa"/>
            <w:tcBorders>
              <w:top w:val="single" w:sz="4" w:space="0" w:color="17365D"/>
              <w:bottom w:val="single" w:sz="4" w:space="0" w:color="17365D"/>
            </w:tcBorders>
            <w:shd w:val="clear" w:color="auto" w:fill="auto"/>
            <w:vAlign w:val="center"/>
          </w:tcPr>
          <w:p w14:paraId="516D4AD0"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3 167 704 249</w:t>
            </w:r>
          </w:p>
        </w:tc>
        <w:tc>
          <w:tcPr>
            <w:tcW w:w="1276" w:type="dxa"/>
            <w:tcBorders>
              <w:top w:val="single" w:sz="4" w:space="0" w:color="17365D"/>
              <w:bottom w:val="single" w:sz="4" w:space="0" w:color="17365D"/>
            </w:tcBorders>
            <w:shd w:val="clear" w:color="auto" w:fill="auto"/>
            <w:vAlign w:val="center"/>
          </w:tcPr>
          <w:p w14:paraId="68DBDC29"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3 619 042 224</w:t>
            </w:r>
          </w:p>
        </w:tc>
        <w:tc>
          <w:tcPr>
            <w:tcW w:w="1701" w:type="dxa"/>
            <w:tcBorders>
              <w:top w:val="single" w:sz="4" w:space="0" w:color="17365D"/>
              <w:bottom w:val="single" w:sz="4" w:space="0" w:color="17365D"/>
            </w:tcBorders>
            <w:shd w:val="clear" w:color="auto" w:fill="auto"/>
            <w:vAlign w:val="center"/>
          </w:tcPr>
          <w:p w14:paraId="5599FF7D"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-451 337 975</w:t>
            </w:r>
          </w:p>
        </w:tc>
        <w:tc>
          <w:tcPr>
            <w:tcW w:w="1309" w:type="dxa"/>
            <w:tcBorders>
              <w:top w:val="single" w:sz="4" w:space="0" w:color="17365D"/>
              <w:bottom w:val="single" w:sz="4" w:space="0" w:color="17365D"/>
            </w:tcBorders>
            <w:shd w:val="clear" w:color="auto" w:fill="auto"/>
            <w:vAlign w:val="center"/>
          </w:tcPr>
          <w:p w14:paraId="0FEB3C26"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-12.47</w:t>
            </w:r>
          </w:p>
        </w:tc>
      </w:tr>
      <w:tr w:rsidR="00FB11FC" w:rsidRPr="00177E3C" w14:paraId="2CDA225E" w14:textId="77777777" w:rsidTr="00CB1C27">
        <w:trPr>
          <w:trHeight w:val="319"/>
        </w:trPr>
        <w:tc>
          <w:tcPr>
            <w:tcW w:w="2835" w:type="dxa"/>
            <w:tcBorders>
              <w:top w:val="single" w:sz="4" w:space="0" w:color="17365D"/>
              <w:bottom w:val="single" w:sz="4" w:space="0" w:color="17365D"/>
            </w:tcBorders>
            <w:shd w:val="clear" w:color="auto" w:fill="auto"/>
            <w:vAlign w:val="center"/>
          </w:tcPr>
          <w:p w14:paraId="1C187971" w14:textId="77777777" w:rsidR="00FB11FC" w:rsidRPr="00177E3C" w:rsidRDefault="00FB11FC" w:rsidP="00C7199B">
            <w:pPr>
              <w:spacing w:after="0" w:line="240" w:lineRule="auto"/>
              <w:rPr>
                <w:rFonts w:cs="Times New Roman"/>
                <w:color w:val="17365D"/>
                <w:sz w:val="18"/>
                <w:szCs w:val="18"/>
              </w:rPr>
            </w:pPr>
            <w:r w:rsidRPr="00177E3C">
              <w:rPr>
                <w:rFonts w:cs="Times New Roman"/>
                <w:color w:val="17365D"/>
                <w:sz w:val="18"/>
                <w:szCs w:val="18"/>
              </w:rPr>
              <w:t>Aizņēmumi un emitētie parāda vērtspapīri</w:t>
            </w:r>
          </w:p>
        </w:tc>
        <w:tc>
          <w:tcPr>
            <w:tcW w:w="992" w:type="dxa"/>
            <w:tcBorders>
              <w:top w:val="single" w:sz="4" w:space="0" w:color="17365D"/>
              <w:bottom w:val="single" w:sz="4" w:space="0" w:color="17365D"/>
            </w:tcBorders>
            <w:shd w:val="clear" w:color="auto" w:fill="auto"/>
            <w:vAlign w:val="center"/>
          </w:tcPr>
          <w:p w14:paraId="71F79F64" w14:textId="6BF68773" w:rsidR="00FB11FC" w:rsidRPr="00177E3C" w:rsidRDefault="00FB11FC" w:rsidP="00C7199B">
            <w:pPr>
              <w:spacing w:after="0" w:line="240" w:lineRule="auto"/>
              <w:jc w:val="center"/>
              <w:rPr>
                <w:rFonts w:cs="Times New Roman"/>
                <w:color w:val="17365D"/>
                <w:sz w:val="18"/>
                <w:szCs w:val="18"/>
              </w:rPr>
            </w:pPr>
            <w:r w:rsidRPr="00177E3C">
              <w:rPr>
                <w:rFonts w:cs="Times New Roman"/>
                <w:color w:val="17365D"/>
                <w:sz w:val="18"/>
                <w:szCs w:val="18"/>
              </w:rPr>
              <w:t>NP.C11</w:t>
            </w:r>
            <w:r w:rsidR="006E6B94">
              <w:rPr>
                <w:rFonts w:cs="Times New Roman"/>
                <w:color w:val="17365D"/>
                <w:sz w:val="18"/>
                <w:szCs w:val="18"/>
              </w:rPr>
              <w:t>.</w:t>
            </w:r>
          </w:p>
        </w:tc>
        <w:tc>
          <w:tcPr>
            <w:tcW w:w="1418" w:type="dxa"/>
            <w:tcBorders>
              <w:top w:val="single" w:sz="4" w:space="0" w:color="17365D"/>
              <w:bottom w:val="single" w:sz="4" w:space="0" w:color="17365D"/>
            </w:tcBorders>
            <w:shd w:val="clear" w:color="auto" w:fill="auto"/>
            <w:vAlign w:val="center"/>
          </w:tcPr>
          <w:p w14:paraId="43AABA23"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3 091 172 524</w:t>
            </w:r>
          </w:p>
        </w:tc>
        <w:tc>
          <w:tcPr>
            <w:tcW w:w="1276" w:type="dxa"/>
            <w:tcBorders>
              <w:top w:val="single" w:sz="4" w:space="0" w:color="17365D"/>
              <w:bottom w:val="single" w:sz="4" w:space="0" w:color="17365D"/>
            </w:tcBorders>
            <w:shd w:val="clear" w:color="auto" w:fill="auto"/>
            <w:vAlign w:val="center"/>
          </w:tcPr>
          <w:p w14:paraId="07B39F78"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3 568 271 333</w:t>
            </w:r>
          </w:p>
        </w:tc>
        <w:tc>
          <w:tcPr>
            <w:tcW w:w="1701" w:type="dxa"/>
            <w:tcBorders>
              <w:top w:val="single" w:sz="4" w:space="0" w:color="17365D"/>
              <w:bottom w:val="single" w:sz="4" w:space="0" w:color="17365D"/>
            </w:tcBorders>
            <w:shd w:val="clear" w:color="auto" w:fill="auto"/>
            <w:vAlign w:val="center"/>
          </w:tcPr>
          <w:p w14:paraId="10F96E67"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-477 098 809</w:t>
            </w:r>
          </w:p>
        </w:tc>
        <w:tc>
          <w:tcPr>
            <w:tcW w:w="1309" w:type="dxa"/>
            <w:tcBorders>
              <w:top w:val="single" w:sz="4" w:space="0" w:color="17365D"/>
              <w:bottom w:val="single" w:sz="4" w:space="0" w:color="17365D"/>
            </w:tcBorders>
            <w:shd w:val="clear" w:color="auto" w:fill="auto"/>
            <w:vAlign w:val="center"/>
          </w:tcPr>
          <w:p w14:paraId="4C0D148C"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-13.37</w:t>
            </w:r>
          </w:p>
        </w:tc>
      </w:tr>
      <w:tr w:rsidR="00FB11FC" w:rsidRPr="00E807EB" w14:paraId="304BB075" w14:textId="77777777" w:rsidTr="009A153B">
        <w:trPr>
          <w:trHeight w:val="60"/>
        </w:trPr>
        <w:tc>
          <w:tcPr>
            <w:tcW w:w="2835" w:type="dxa"/>
            <w:tcBorders>
              <w:top w:val="single" w:sz="4" w:space="0" w:color="17365D"/>
              <w:bottom w:val="single" w:sz="4" w:space="0" w:color="17365D"/>
            </w:tcBorders>
            <w:shd w:val="clear" w:color="auto" w:fill="auto"/>
            <w:vAlign w:val="center"/>
          </w:tcPr>
          <w:p w14:paraId="47652C04" w14:textId="77777777" w:rsidR="00FB11FC" w:rsidRPr="00E807EB" w:rsidRDefault="00FB11FC" w:rsidP="00C7199B">
            <w:pPr>
              <w:spacing w:after="0" w:line="240" w:lineRule="auto"/>
              <w:rPr>
                <w:rFonts w:cs="Times New Roman"/>
                <w:color w:val="17365D"/>
                <w:sz w:val="18"/>
                <w:szCs w:val="18"/>
              </w:rPr>
            </w:pPr>
            <w:r w:rsidRPr="00E807EB">
              <w:rPr>
                <w:rFonts w:cs="Times New Roman"/>
                <w:color w:val="17365D"/>
                <w:sz w:val="18"/>
                <w:szCs w:val="18"/>
              </w:rPr>
              <w:t>Procentu ieņēmumi</w:t>
            </w:r>
          </w:p>
        </w:tc>
        <w:tc>
          <w:tcPr>
            <w:tcW w:w="992" w:type="dxa"/>
            <w:tcBorders>
              <w:top w:val="single" w:sz="4" w:space="0" w:color="17365D"/>
              <w:bottom w:val="single" w:sz="4" w:space="0" w:color="17365D"/>
            </w:tcBorders>
            <w:shd w:val="clear" w:color="auto" w:fill="auto"/>
            <w:vAlign w:val="center"/>
          </w:tcPr>
          <w:p w14:paraId="0F567451" w14:textId="0C7E4CF2" w:rsidR="00FB11FC" w:rsidRPr="00E807EB" w:rsidRDefault="00FB11FC" w:rsidP="00C7199B">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02B8F942" w14:textId="77777777" w:rsidR="00FB11FC" w:rsidRPr="00E807EB" w:rsidRDefault="00FB11FC" w:rsidP="00C7199B">
            <w:pPr>
              <w:spacing w:after="0" w:line="240" w:lineRule="auto"/>
              <w:jc w:val="right"/>
              <w:rPr>
                <w:rFonts w:cs="Times New Roman"/>
                <w:color w:val="17365D"/>
                <w:sz w:val="18"/>
                <w:szCs w:val="18"/>
              </w:rPr>
            </w:pPr>
            <w:r w:rsidRPr="00E807EB">
              <w:rPr>
                <w:rFonts w:cs="Times New Roman"/>
                <w:color w:val="17365D"/>
                <w:sz w:val="18"/>
                <w:szCs w:val="18"/>
              </w:rPr>
              <w:t>31 531 725</w:t>
            </w:r>
          </w:p>
        </w:tc>
        <w:tc>
          <w:tcPr>
            <w:tcW w:w="1276" w:type="dxa"/>
            <w:tcBorders>
              <w:top w:val="single" w:sz="4" w:space="0" w:color="17365D"/>
              <w:bottom w:val="single" w:sz="4" w:space="0" w:color="17365D"/>
            </w:tcBorders>
            <w:shd w:val="clear" w:color="auto" w:fill="auto"/>
            <w:vAlign w:val="center"/>
          </w:tcPr>
          <w:p w14:paraId="0D3F0470" w14:textId="77777777" w:rsidR="00FB11FC" w:rsidRPr="00E807EB" w:rsidRDefault="00FB11FC" w:rsidP="00C7199B">
            <w:pPr>
              <w:spacing w:after="0" w:line="240" w:lineRule="auto"/>
              <w:jc w:val="right"/>
              <w:rPr>
                <w:rFonts w:cs="Times New Roman"/>
                <w:color w:val="17365D"/>
                <w:sz w:val="18"/>
                <w:szCs w:val="18"/>
              </w:rPr>
            </w:pPr>
            <w:r w:rsidRPr="00E807EB">
              <w:rPr>
                <w:rFonts w:cs="Times New Roman"/>
                <w:color w:val="17365D"/>
                <w:sz w:val="18"/>
                <w:szCs w:val="18"/>
              </w:rPr>
              <w:t>4 418 077</w:t>
            </w:r>
          </w:p>
        </w:tc>
        <w:tc>
          <w:tcPr>
            <w:tcW w:w="1701" w:type="dxa"/>
            <w:tcBorders>
              <w:top w:val="single" w:sz="4" w:space="0" w:color="17365D"/>
              <w:bottom w:val="single" w:sz="4" w:space="0" w:color="17365D"/>
            </w:tcBorders>
            <w:shd w:val="clear" w:color="auto" w:fill="auto"/>
            <w:vAlign w:val="center"/>
          </w:tcPr>
          <w:p w14:paraId="4599FDA7" w14:textId="77777777" w:rsidR="00FB11FC" w:rsidRPr="00E807EB" w:rsidRDefault="00FB11FC" w:rsidP="00C7199B">
            <w:pPr>
              <w:spacing w:after="0" w:line="240" w:lineRule="auto"/>
              <w:jc w:val="right"/>
              <w:rPr>
                <w:rFonts w:cs="Times New Roman"/>
                <w:color w:val="17365D"/>
                <w:sz w:val="18"/>
                <w:szCs w:val="18"/>
              </w:rPr>
            </w:pPr>
            <w:r w:rsidRPr="00E807EB">
              <w:rPr>
                <w:rFonts w:cs="Times New Roman"/>
                <w:color w:val="17365D"/>
                <w:sz w:val="18"/>
                <w:szCs w:val="18"/>
              </w:rPr>
              <w:t>27 113 648</w:t>
            </w:r>
          </w:p>
        </w:tc>
        <w:tc>
          <w:tcPr>
            <w:tcW w:w="1309" w:type="dxa"/>
            <w:tcBorders>
              <w:top w:val="single" w:sz="4" w:space="0" w:color="17365D"/>
              <w:bottom w:val="single" w:sz="4" w:space="0" w:color="17365D"/>
            </w:tcBorders>
            <w:shd w:val="clear" w:color="auto" w:fill="auto"/>
            <w:vAlign w:val="center"/>
          </w:tcPr>
          <w:p w14:paraId="3FA4CCA5" w14:textId="77777777" w:rsidR="00FB11FC" w:rsidRPr="00E807EB" w:rsidRDefault="00FB11FC" w:rsidP="00C7199B">
            <w:pPr>
              <w:spacing w:after="0" w:line="240" w:lineRule="auto"/>
              <w:jc w:val="right"/>
              <w:rPr>
                <w:rFonts w:cs="Times New Roman"/>
                <w:color w:val="17365D"/>
                <w:sz w:val="18"/>
                <w:szCs w:val="18"/>
              </w:rPr>
            </w:pPr>
            <w:r w:rsidRPr="00E807EB">
              <w:rPr>
                <w:rFonts w:cs="Times New Roman"/>
                <w:color w:val="17365D"/>
                <w:sz w:val="18"/>
                <w:szCs w:val="18"/>
              </w:rPr>
              <w:t>613.70</w:t>
            </w:r>
          </w:p>
        </w:tc>
      </w:tr>
      <w:tr w:rsidR="00FB11FC" w:rsidRPr="00177E3C" w14:paraId="3AF16545" w14:textId="77777777" w:rsidTr="00CB1C27">
        <w:trPr>
          <w:trHeight w:val="319"/>
        </w:trPr>
        <w:tc>
          <w:tcPr>
            <w:tcW w:w="2835" w:type="dxa"/>
            <w:tcBorders>
              <w:top w:val="single" w:sz="4" w:space="0" w:color="17365D"/>
              <w:bottom w:val="single" w:sz="4" w:space="0" w:color="17365D"/>
            </w:tcBorders>
            <w:shd w:val="clear" w:color="auto" w:fill="auto"/>
            <w:vAlign w:val="center"/>
          </w:tcPr>
          <w:p w14:paraId="62BD3C2A" w14:textId="77777777" w:rsidR="00FB11FC" w:rsidRPr="00177E3C" w:rsidRDefault="00FB11FC" w:rsidP="00C7199B">
            <w:pPr>
              <w:spacing w:after="0" w:line="240" w:lineRule="auto"/>
              <w:rPr>
                <w:rFonts w:cs="Times New Roman"/>
                <w:color w:val="17365D"/>
                <w:sz w:val="18"/>
                <w:szCs w:val="18"/>
              </w:rPr>
            </w:pPr>
            <w:r w:rsidRPr="00177E3C">
              <w:rPr>
                <w:rFonts w:cs="Times New Roman"/>
                <w:color w:val="17365D"/>
                <w:sz w:val="18"/>
                <w:szCs w:val="18"/>
              </w:rPr>
              <w:t>Citi ieņēmumi no finansēšanas darbības</w:t>
            </w:r>
          </w:p>
        </w:tc>
        <w:tc>
          <w:tcPr>
            <w:tcW w:w="992" w:type="dxa"/>
            <w:tcBorders>
              <w:top w:val="single" w:sz="4" w:space="0" w:color="17365D"/>
              <w:bottom w:val="single" w:sz="4" w:space="0" w:color="17365D"/>
            </w:tcBorders>
            <w:shd w:val="clear" w:color="auto" w:fill="auto"/>
            <w:vAlign w:val="center"/>
          </w:tcPr>
          <w:p w14:paraId="10B9F1ED" w14:textId="77777777" w:rsidR="00FB11FC" w:rsidRPr="00177E3C" w:rsidRDefault="00FB11FC" w:rsidP="00C7199B">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4882BC55"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45 000 000</w:t>
            </w:r>
          </w:p>
        </w:tc>
        <w:tc>
          <w:tcPr>
            <w:tcW w:w="1276" w:type="dxa"/>
            <w:tcBorders>
              <w:top w:val="single" w:sz="4" w:space="0" w:color="17365D"/>
              <w:bottom w:val="single" w:sz="4" w:space="0" w:color="17365D"/>
            </w:tcBorders>
            <w:shd w:val="clear" w:color="auto" w:fill="auto"/>
            <w:vAlign w:val="center"/>
          </w:tcPr>
          <w:p w14:paraId="5A7FDB4C"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46 352 814</w:t>
            </w:r>
          </w:p>
        </w:tc>
        <w:tc>
          <w:tcPr>
            <w:tcW w:w="1701" w:type="dxa"/>
            <w:tcBorders>
              <w:top w:val="single" w:sz="4" w:space="0" w:color="17365D"/>
              <w:bottom w:val="single" w:sz="4" w:space="0" w:color="17365D"/>
            </w:tcBorders>
            <w:shd w:val="clear" w:color="auto" w:fill="auto"/>
            <w:vAlign w:val="center"/>
          </w:tcPr>
          <w:p w14:paraId="760CEB51"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-1 352 814</w:t>
            </w:r>
          </w:p>
        </w:tc>
        <w:tc>
          <w:tcPr>
            <w:tcW w:w="1309" w:type="dxa"/>
            <w:tcBorders>
              <w:top w:val="single" w:sz="4" w:space="0" w:color="17365D"/>
              <w:bottom w:val="single" w:sz="4" w:space="0" w:color="17365D"/>
            </w:tcBorders>
            <w:shd w:val="clear" w:color="auto" w:fill="auto"/>
            <w:vAlign w:val="center"/>
          </w:tcPr>
          <w:p w14:paraId="68AC742A"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-2.92</w:t>
            </w:r>
          </w:p>
        </w:tc>
      </w:tr>
      <w:tr w:rsidR="00FB11FC" w:rsidRPr="00177E3C" w14:paraId="71CFDE9E" w14:textId="77777777" w:rsidTr="00CB1C27">
        <w:trPr>
          <w:trHeight w:val="319"/>
        </w:trPr>
        <w:tc>
          <w:tcPr>
            <w:tcW w:w="2835" w:type="dxa"/>
            <w:tcBorders>
              <w:top w:val="single" w:sz="4" w:space="0" w:color="17365D"/>
              <w:bottom w:val="single" w:sz="4" w:space="0" w:color="17365D"/>
            </w:tcBorders>
            <w:shd w:val="clear" w:color="auto" w:fill="auto"/>
            <w:vAlign w:val="center"/>
          </w:tcPr>
          <w:p w14:paraId="59C6E520" w14:textId="77777777" w:rsidR="00FB11FC" w:rsidRPr="00177E3C" w:rsidRDefault="00FB11FC" w:rsidP="00C7199B">
            <w:pPr>
              <w:spacing w:after="0" w:line="240" w:lineRule="auto"/>
              <w:rPr>
                <w:rFonts w:cs="Times New Roman"/>
                <w:color w:val="17365D"/>
                <w:sz w:val="18"/>
                <w:szCs w:val="18"/>
              </w:rPr>
            </w:pPr>
            <w:r w:rsidRPr="00177E3C">
              <w:rPr>
                <w:rFonts w:cs="Times New Roman"/>
                <w:b/>
                <w:color w:val="17365D"/>
                <w:sz w:val="18"/>
                <w:szCs w:val="18"/>
              </w:rPr>
              <w:t>Izdevumi no finansēšanas darbības</w:t>
            </w:r>
          </w:p>
        </w:tc>
        <w:tc>
          <w:tcPr>
            <w:tcW w:w="992" w:type="dxa"/>
            <w:tcBorders>
              <w:top w:val="single" w:sz="4" w:space="0" w:color="17365D"/>
              <w:bottom w:val="single" w:sz="4" w:space="0" w:color="17365D"/>
            </w:tcBorders>
            <w:shd w:val="clear" w:color="auto" w:fill="auto"/>
            <w:vAlign w:val="center"/>
          </w:tcPr>
          <w:p w14:paraId="3E50ED64" w14:textId="77777777" w:rsidR="00FB11FC" w:rsidRPr="00177E3C" w:rsidRDefault="00FB11FC" w:rsidP="00C7199B">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41AFFD54"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2 145 825 630</w:t>
            </w:r>
          </w:p>
        </w:tc>
        <w:tc>
          <w:tcPr>
            <w:tcW w:w="1276" w:type="dxa"/>
            <w:tcBorders>
              <w:top w:val="single" w:sz="4" w:space="0" w:color="17365D"/>
              <w:bottom w:val="single" w:sz="4" w:space="0" w:color="17365D"/>
            </w:tcBorders>
            <w:shd w:val="clear" w:color="auto" w:fill="auto"/>
            <w:vAlign w:val="center"/>
          </w:tcPr>
          <w:p w14:paraId="17965DDA"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2 325 059 204</w:t>
            </w:r>
          </w:p>
        </w:tc>
        <w:tc>
          <w:tcPr>
            <w:tcW w:w="1701" w:type="dxa"/>
            <w:tcBorders>
              <w:top w:val="single" w:sz="4" w:space="0" w:color="17365D"/>
              <w:bottom w:val="single" w:sz="4" w:space="0" w:color="17365D"/>
            </w:tcBorders>
            <w:shd w:val="clear" w:color="auto" w:fill="auto"/>
            <w:vAlign w:val="center"/>
          </w:tcPr>
          <w:p w14:paraId="7E9B41F8"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-179 233 574</w:t>
            </w:r>
          </w:p>
        </w:tc>
        <w:tc>
          <w:tcPr>
            <w:tcW w:w="1309" w:type="dxa"/>
            <w:tcBorders>
              <w:top w:val="single" w:sz="4" w:space="0" w:color="17365D"/>
              <w:bottom w:val="single" w:sz="4" w:space="0" w:color="17365D"/>
            </w:tcBorders>
            <w:shd w:val="clear" w:color="auto" w:fill="auto"/>
            <w:vAlign w:val="center"/>
          </w:tcPr>
          <w:p w14:paraId="253EB5C4" w14:textId="77777777" w:rsidR="00FB11FC" w:rsidRPr="00177E3C" w:rsidRDefault="00FB11FC" w:rsidP="00C7199B">
            <w:pPr>
              <w:spacing w:after="0" w:line="240" w:lineRule="auto"/>
              <w:jc w:val="right"/>
              <w:rPr>
                <w:rFonts w:cs="Times New Roman"/>
                <w:b/>
                <w:color w:val="17365D"/>
                <w:sz w:val="18"/>
                <w:szCs w:val="18"/>
              </w:rPr>
            </w:pPr>
            <w:r w:rsidRPr="00177E3C">
              <w:rPr>
                <w:rFonts w:cs="Times New Roman"/>
                <w:b/>
                <w:color w:val="17365D"/>
                <w:sz w:val="18"/>
                <w:szCs w:val="18"/>
              </w:rPr>
              <w:t>-7.71</w:t>
            </w:r>
          </w:p>
        </w:tc>
      </w:tr>
      <w:tr w:rsidR="00FB11FC" w:rsidRPr="00177E3C" w14:paraId="44864558" w14:textId="77777777" w:rsidTr="00CB1C27">
        <w:trPr>
          <w:trHeight w:val="319"/>
        </w:trPr>
        <w:tc>
          <w:tcPr>
            <w:tcW w:w="2835" w:type="dxa"/>
            <w:tcBorders>
              <w:top w:val="single" w:sz="4" w:space="0" w:color="17365D"/>
              <w:bottom w:val="single" w:sz="4" w:space="0" w:color="17365D"/>
            </w:tcBorders>
            <w:shd w:val="clear" w:color="auto" w:fill="auto"/>
            <w:vAlign w:val="center"/>
          </w:tcPr>
          <w:p w14:paraId="4E9C3900" w14:textId="77777777" w:rsidR="00FB11FC" w:rsidRPr="00177E3C" w:rsidRDefault="00FB11FC" w:rsidP="00C7199B">
            <w:pPr>
              <w:spacing w:after="0" w:line="240" w:lineRule="auto"/>
              <w:rPr>
                <w:rFonts w:cs="Times New Roman"/>
                <w:color w:val="17365D"/>
                <w:sz w:val="18"/>
                <w:szCs w:val="18"/>
              </w:rPr>
            </w:pPr>
            <w:r w:rsidRPr="00177E3C">
              <w:rPr>
                <w:rFonts w:cs="Times New Roman"/>
                <w:color w:val="17365D"/>
                <w:sz w:val="18"/>
                <w:szCs w:val="18"/>
              </w:rPr>
              <w:t>Aizņēmumi un emitētie parāda vērtspapīri</w:t>
            </w:r>
          </w:p>
        </w:tc>
        <w:tc>
          <w:tcPr>
            <w:tcW w:w="992" w:type="dxa"/>
            <w:tcBorders>
              <w:top w:val="single" w:sz="4" w:space="0" w:color="17365D"/>
              <w:bottom w:val="single" w:sz="4" w:space="0" w:color="17365D"/>
            </w:tcBorders>
            <w:shd w:val="clear" w:color="auto" w:fill="auto"/>
            <w:vAlign w:val="center"/>
          </w:tcPr>
          <w:p w14:paraId="5A439A87" w14:textId="4EB52493" w:rsidR="00FB11FC" w:rsidRPr="00177E3C" w:rsidRDefault="00FB11FC" w:rsidP="00C7199B">
            <w:pPr>
              <w:spacing w:after="0" w:line="240" w:lineRule="auto"/>
              <w:jc w:val="center"/>
              <w:rPr>
                <w:rFonts w:cs="Times New Roman"/>
                <w:color w:val="17365D"/>
                <w:sz w:val="18"/>
                <w:szCs w:val="18"/>
              </w:rPr>
            </w:pPr>
            <w:r w:rsidRPr="00177E3C">
              <w:rPr>
                <w:rFonts w:cs="Times New Roman"/>
                <w:color w:val="17365D"/>
                <w:sz w:val="18"/>
                <w:szCs w:val="18"/>
              </w:rPr>
              <w:t>NP.C21</w:t>
            </w:r>
            <w:r w:rsidR="006E6B94">
              <w:rPr>
                <w:rFonts w:cs="Times New Roman"/>
                <w:color w:val="17365D"/>
                <w:sz w:val="18"/>
                <w:szCs w:val="18"/>
              </w:rPr>
              <w:t>.</w:t>
            </w:r>
          </w:p>
        </w:tc>
        <w:tc>
          <w:tcPr>
            <w:tcW w:w="1418" w:type="dxa"/>
            <w:tcBorders>
              <w:top w:val="single" w:sz="4" w:space="0" w:color="17365D"/>
              <w:bottom w:val="single" w:sz="4" w:space="0" w:color="17365D"/>
            </w:tcBorders>
            <w:shd w:val="clear" w:color="auto" w:fill="auto"/>
            <w:vAlign w:val="center"/>
          </w:tcPr>
          <w:p w14:paraId="6E8C0B9A"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1 729 168 770</w:t>
            </w:r>
          </w:p>
        </w:tc>
        <w:tc>
          <w:tcPr>
            <w:tcW w:w="1276" w:type="dxa"/>
            <w:tcBorders>
              <w:top w:val="single" w:sz="4" w:space="0" w:color="17365D"/>
              <w:bottom w:val="single" w:sz="4" w:space="0" w:color="17365D"/>
            </w:tcBorders>
            <w:shd w:val="clear" w:color="auto" w:fill="auto"/>
            <w:vAlign w:val="center"/>
          </w:tcPr>
          <w:p w14:paraId="0DA5F5A1"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2 096 767 977</w:t>
            </w:r>
          </w:p>
        </w:tc>
        <w:tc>
          <w:tcPr>
            <w:tcW w:w="1701" w:type="dxa"/>
            <w:tcBorders>
              <w:top w:val="single" w:sz="4" w:space="0" w:color="17365D"/>
              <w:bottom w:val="single" w:sz="4" w:space="0" w:color="17365D"/>
            </w:tcBorders>
            <w:shd w:val="clear" w:color="auto" w:fill="auto"/>
            <w:vAlign w:val="center"/>
          </w:tcPr>
          <w:p w14:paraId="32CCDD82"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-367 599 207</w:t>
            </w:r>
          </w:p>
        </w:tc>
        <w:tc>
          <w:tcPr>
            <w:tcW w:w="1309" w:type="dxa"/>
            <w:tcBorders>
              <w:top w:val="single" w:sz="4" w:space="0" w:color="17365D"/>
              <w:bottom w:val="single" w:sz="4" w:space="0" w:color="17365D"/>
            </w:tcBorders>
            <w:shd w:val="clear" w:color="auto" w:fill="auto"/>
            <w:vAlign w:val="center"/>
          </w:tcPr>
          <w:p w14:paraId="785A8AA8"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-17.53</w:t>
            </w:r>
          </w:p>
        </w:tc>
      </w:tr>
      <w:tr w:rsidR="00FB11FC" w:rsidRPr="00177E3C" w14:paraId="56364A27" w14:textId="77777777" w:rsidTr="009A153B">
        <w:trPr>
          <w:trHeight w:val="76"/>
        </w:trPr>
        <w:tc>
          <w:tcPr>
            <w:tcW w:w="2835" w:type="dxa"/>
            <w:tcBorders>
              <w:top w:val="single" w:sz="4" w:space="0" w:color="17365D"/>
              <w:bottom w:val="single" w:sz="4" w:space="0" w:color="17365D"/>
            </w:tcBorders>
            <w:shd w:val="clear" w:color="auto" w:fill="auto"/>
            <w:vAlign w:val="center"/>
          </w:tcPr>
          <w:p w14:paraId="6E1F139D" w14:textId="77777777" w:rsidR="00FB11FC" w:rsidRPr="00177E3C" w:rsidRDefault="00FB11FC" w:rsidP="00C7199B">
            <w:pPr>
              <w:spacing w:after="0" w:line="240" w:lineRule="auto"/>
              <w:rPr>
                <w:rFonts w:cs="Times New Roman"/>
                <w:color w:val="17365D"/>
                <w:sz w:val="18"/>
                <w:szCs w:val="18"/>
              </w:rPr>
            </w:pPr>
            <w:r w:rsidRPr="00177E3C">
              <w:rPr>
                <w:rFonts w:cs="Times New Roman"/>
                <w:color w:val="17365D"/>
                <w:sz w:val="18"/>
                <w:szCs w:val="18"/>
              </w:rPr>
              <w:t>Procentu izdevumi</w:t>
            </w:r>
          </w:p>
        </w:tc>
        <w:tc>
          <w:tcPr>
            <w:tcW w:w="992" w:type="dxa"/>
            <w:tcBorders>
              <w:top w:val="single" w:sz="4" w:space="0" w:color="17365D"/>
              <w:bottom w:val="single" w:sz="4" w:space="0" w:color="17365D"/>
            </w:tcBorders>
            <w:shd w:val="clear" w:color="auto" w:fill="auto"/>
            <w:vAlign w:val="center"/>
          </w:tcPr>
          <w:p w14:paraId="39405549" w14:textId="64B352E9" w:rsidR="00FB11FC" w:rsidRPr="00177E3C" w:rsidRDefault="00FB11FC" w:rsidP="00C7199B">
            <w:pPr>
              <w:spacing w:after="0" w:line="240" w:lineRule="auto"/>
              <w:jc w:val="center"/>
              <w:rPr>
                <w:rFonts w:cs="Times New Roman"/>
                <w:color w:val="17365D"/>
                <w:sz w:val="18"/>
                <w:szCs w:val="18"/>
              </w:rPr>
            </w:pPr>
            <w:r w:rsidRPr="00177E3C">
              <w:rPr>
                <w:rFonts w:cs="Times New Roman"/>
                <w:color w:val="17365D"/>
                <w:sz w:val="18"/>
                <w:szCs w:val="18"/>
              </w:rPr>
              <w:t>NP.C22</w:t>
            </w:r>
            <w:r w:rsidR="006E6B94">
              <w:rPr>
                <w:rFonts w:cs="Times New Roman"/>
                <w:color w:val="17365D"/>
                <w:sz w:val="18"/>
                <w:szCs w:val="18"/>
              </w:rPr>
              <w:t>.</w:t>
            </w:r>
          </w:p>
        </w:tc>
        <w:tc>
          <w:tcPr>
            <w:tcW w:w="1418" w:type="dxa"/>
            <w:tcBorders>
              <w:top w:val="single" w:sz="4" w:space="0" w:color="17365D"/>
              <w:bottom w:val="single" w:sz="4" w:space="0" w:color="17365D"/>
            </w:tcBorders>
            <w:shd w:val="clear" w:color="auto" w:fill="auto"/>
            <w:vAlign w:val="center"/>
          </w:tcPr>
          <w:p w14:paraId="7414B70B"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371 656 860</w:t>
            </w:r>
          </w:p>
        </w:tc>
        <w:tc>
          <w:tcPr>
            <w:tcW w:w="1276" w:type="dxa"/>
            <w:tcBorders>
              <w:top w:val="single" w:sz="4" w:space="0" w:color="17365D"/>
              <w:bottom w:val="single" w:sz="4" w:space="0" w:color="17365D"/>
            </w:tcBorders>
            <w:shd w:val="clear" w:color="auto" w:fill="auto"/>
            <w:vAlign w:val="center"/>
          </w:tcPr>
          <w:p w14:paraId="59BF25EB"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228 291 227</w:t>
            </w:r>
          </w:p>
        </w:tc>
        <w:tc>
          <w:tcPr>
            <w:tcW w:w="1701" w:type="dxa"/>
            <w:tcBorders>
              <w:top w:val="single" w:sz="4" w:space="0" w:color="17365D"/>
              <w:bottom w:val="single" w:sz="4" w:space="0" w:color="17365D"/>
            </w:tcBorders>
            <w:shd w:val="clear" w:color="auto" w:fill="auto"/>
            <w:vAlign w:val="center"/>
          </w:tcPr>
          <w:p w14:paraId="151E8B34"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143 365 633</w:t>
            </w:r>
          </w:p>
        </w:tc>
        <w:tc>
          <w:tcPr>
            <w:tcW w:w="1309" w:type="dxa"/>
            <w:tcBorders>
              <w:top w:val="single" w:sz="4" w:space="0" w:color="17365D"/>
              <w:bottom w:val="single" w:sz="4" w:space="0" w:color="17365D"/>
            </w:tcBorders>
            <w:shd w:val="clear" w:color="auto" w:fill="auto"/>
            <w:vAlign w:val="center"/>
          </w:tcPr>
          <w:p w14:paraId="4FCF13C5"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62.80</w:t>
            </w:r>
          </w:p>
        </w:tc>
      </w:tr>
      <w:tr w:rsidR="00FB11FC" w:rsidRPr="00177E3C" w14:paraId="145B7D3F" w14:textId="77777777" w:rsidTr="00CB1C27">
        <w:trPr>
          <w:trHeight w:val="319"/>
        </w:trPr>
        <w:tc>
          <w:tcPr>
            <w:tcW w:w="2835" w:type="dxa"/>
            <w:tcBorders>
              <w:top w:val="single" w:sz="4" w:space="0" w:color="17365D"/>
              <w:bottom w:val="single" w:sz="4" w:space="0" w:color="17365D"/>
            </w:tcBorders>
            <w:shd w:val="clear" w:color="auto" w:fill="auto"/>
            <w:vAlign w:val="center"/>
          </w:tcPr>
          <w:p w14:paraId="7BC78EFC" w14:textId="77777777" w:rsidR="00FB11FC" w:rsidRPr="00177E3C" w:rsidRDefault="00FB11FC" w:rsidP="00C7199B">
            <w:pPr>
              <w:spacing w:after="0" w:line="240" w:lineRule="auto"/>
              <w:rPr>
                <w:rFonts w:cs="Times New Roman"/>
                <w:color w:val="17365D"/>
                <w:sz w:val="18"/>
                <w:szCs w:val="18"/>
              </w:rPr>
            </w:pPr>
            <w:r w:rsidRPr="00177E3C">
              <w:rPr>
                <w:rFonts w:cs="Times New Roman"/>
                <w:color w:val="17365D"/>
                <w:sz w:val="18"/>
                <w:szCs w:val="18"/>
              </w:rPr>
              <w:t>Citi izdevumi no finansēšanas darbības</w:t>
            </w:r>
          </w:p>
        </w:tc>
        <w:tc>
          <w:tcPr>
            <w:tcW w:w="992" w:type="dxa"/>
            <w:tcBorders>
              <w:top w:val="single" w:sz="4" w:space="0" w:color="17365D"/>
              <w:bottom w:val="single" w:sz="4" w:space="0" w:color="17365D"/>
            </w:tcBorders>
            <w:shd w:val="clear" w:color="auto" w:fill="auto"/>
            <w:vAlign w:val="center"/>
          </w:tcPr>
          <w:p w14:paraId="31C54B10" w14:textId="5E43B9C7" w:rsidR="00FB11FC" w:rsidRPr="00177E3C" w:rsidRDefault="00FB11FC" w:rsidP="00C7199B">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78DD85D7"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45 000 000</w:t>
            </w:r>
          </w:p>
        </w:tc>
        <w:tc>
          <w:tcPr>
            <w:tcW w:w="1276" w:type="dxa"/>
            <w:tcBorders>
              <w:top w:val="single" w:sz="4" w:space="0" w:color="17365D"/>
              <w:bottom w:val="single" w:sz="4" w:space="0" w:color="17365D"/>
            </w:tcBorders>
            <w:shd w:val="clear" w:color="auto" w:fill="auto"/>
            <w:vAlign w:val="center"/>
          </w:tcPr>
          <w:p w14:paraId="656491EC"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0</w:t>
            </w:r>
          </w:p>
        </w:tc>
        <w:tc>
          <w:tcPr>
            <w:tcW w:w="1701" w:type="dxa"/>
            <w:tcBorders>
              <w:top w:val="single" w:sz="4" w:space="0" w:color="17365D"/>
              <w:bottom w:val="single" w:sz="4" w:space="0" w:color="17365D"/>
            </w:tcBorders>
            <w:shd w:val="clear" w:color="auto" w:fill="auto"/>
            <w:vAlign w:val="center"/>
          </w:tcPr>
          <w:p w14:paraId="5E3EFEA6"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45 000 000</w:t>
            </w:r>
          </w:p>
        </w:tc>
        <w:tc>
          <w:tcPr>
            <w:tcW w:w="1309" w:type="dxa"/>
            <w:tcBorders>
              <w:top w:val="single" w:sz="4" w:space="0" w:color="17365D"/>
              <w:bottom w:val="single" w:sz="4" w:space="0" w:color="17365D"/>
            </w:tcBorders>
            <w:shd w:val="clear" w:color="auto" w:fill="auto"/>
            <w:vAlign w:val="center"/>
          </w:tcPr>
          <w:p w14:paraId="31BC0012"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x</w:t>
            </w:r>
          </w:p>
        </w:tc>
      </w:tr>
      <w:tr w:rsidR="00FB11FC" w:rsidRPr="00177E3C" w14:paraId="44E62DE5" w14:textId="77777777" w:rsidTr="00CB1C27">
        <w:trPr>
          <w:trHeight w:val="227"/>
        </w:trPr>
        <w:tc>
          <w:tcPr>
            <w:tcW w:w="2835" w:type="dxa"/>
            <w:tcBorders>
              <w:top w:val="single" w:sz="4" w:space="0" w:color="17365D"/>
            </w:tcBorders>
            <w:shd w:val="clear" w:color="auto" w:fill="B9CDE5"/>
            <w:vAlign w:val="center"/>
          </w:tcPr>
          <w:p w14:paraId="14E09109" w14:textId="77777777" w:rsidR="00FB11FC" w:rsidRPr="00177E3C" w:rsidRDefault="00FB11FC" w:rsidP="00C7199B">
            <w:pPr>
              <w:spacing w:after="0" w:line="240" w:lineRule="auto"/>
              <w:rPr>
                <w:rFonts w:cs="Times New Roman"/>
                <w:color w:val="17365D"/>
                <w:sz w:val="18"/>
                <w:szCs w:val="18"/>
              </w:rPr>
            </w:pPr>
          </w:p>
        </w:tc>
        <w:tc>
          <w:tcPr>
            <w:tcW w:w="992" w:type="dxa"/>
            <w:tcBorders>
              <w:top w:val="single" w:sz="4" w:space="0" w:color="17365D"/>
            </w:tcBorders>
            <w:shd w:val="clear" w:color="auto" w:fill="B9CDE5"/>
            <w:vAlign w:val="center"/>
          </w:tcPr>
          <w:p w14:paraId="0628D420" w14:textId="77777777" w:rsidR="00FB11FC" w:rsidRPr="00177E3C" w:rsidRDefault="00FB11FC" w:rsidP="00C7199B">
            <w:pPr>
              <w:spacing w:after="0" w:line="240" w:lineRule="auto"/>
              <w:jc w:val="center"/>
              <w:rPr>
                <w:rFonts w:cs="Times New Roman"/>
                <w:color w:val="17365D"/>
                <w:sz w:val="18"/>
                <w:szCs w:val="18"/>
              </w:rPr>
            </w:pPr>
          </w:p>
        </w:tc>
        <w:tc>
          <w:tcPr>
            <w:tcW w:w="1418" w:type="dxa"/>
            <w:tcBorders>
              <w:top w:val="single" w:sz="4" w:space="0" w:color="17365D"/>
            </w:tcBorders>
            <w:shd w:val="clear" w:color="auto" w:fill="B9CDE5"/>
            <w:vAlign w:val="center"/>
          </w:tcPr>
          <w:p w14:paraId="675E7889" w14:textId="77777777" w:rsidR="00FB11FC" w:rsidRPr="00177E3C" w:rsidRDefault="00FB11FC" w:rsidP="00C7199B">
            <w:pPr>
              <w:spacing w:after="0" w:line="240" w:lineRule="auto"/>
              <w:jc w:val="right"/>
              <w:rPr>
                <w:rFonts w:cs="Times New Roman"/>
                <w:color w:val="17365D"/>
                <w:sz w:val="18"/>
                <w:szCs w:val="18"/>
              </w:rPr>
            </w:pPr>
          </w:p>
        </w:tc>
        <w:tc>
          <w:tcPr>
            <w:tcW w:w="1276" w:type="dxa"/>
            <w:tcBorders>
              <w:top w:val="single" w:sz="4" w:space="0" w:color="17365D"/>
            </w:tcBorders>
            <w:shd w:val="clear" w:color="auto" w:fill="B9CDE5"/>
            <w:vAlign w:val="center"/>
          </w:tcPr>
          <w:p w14:paraId="2E43005A" w14:textId="77777777" w:rsidR="00FB11FC" w:rsidRPr="00177E3C" w:rsidRDefault="00FB11FC" w:rsidP="00C7199B">
            <w:pPr>
              <w:spacing w:after="0" w:line="240" w:lineRule="auto"/>
              <w:jc w:val="right"/>
              <w:rPr>
                <w:rFonts w:cs="Times New Roman"/>
                <w:color w:val="17365D"/>
                <w:sz w:val="18"/>
                <w:szCs w:val="18"/>
              </w:rPr>
            </w:pPr>
          </w:p>
        </w:tc>
        <w:tc>
          <w:tcPr>
            <w:tcW w:w="1701" w:type="dxa"/>
            <w:tcBorders>
              <w:top w:val="single" w:sz="4" w:space="0" w:color="17365D"/>
            </w:tcBorders>
            <w:shd w:val="clear" w:color="auto" w:fill="B9CDE5"/>
            <w:vAlign w:val="center"/>
          </w:tcPr>
          <w:p w14:paraId="5B715BB4" w14:textId="77777777" w:rsidR="00FB11FC" w:rsidRPr="00177E3C" w:rsidRDefault="00FB11FC" w:rsidP="00C7199B">
            <w:pPr>
              <w:spacing w:after="0" w:line="240" w:lineRule="auto"/>
              <w:jc w:val="right"/>
              <w:rPr>
                <w:rFonts w:cs="Times New Roman"/>
                <w:color w:val="17365D"/>
                <w:sz w:val="18"/>
                <w:szCs w:val="18"/>
              </w:rPr>
            </w:pPr>
          </w:p>
        </w:tc>
        <w:tc>
          <w:tcPr>
            <w:tcW w:w="1309" w:type="dxa"/>
            <w:tcBorders>
              <w:top w:val="single" w:sz="4" w:space="0" w:color="17365D"/>
            </w:tcBorders>
            <w:shd w:val="clear" w:color="auto" w:fill="B9CDE5"/>
            <w:vAlign w:val="center"/>
          </w:tcPr>
          <w:p w14:paraId="26D7EE85" w14:textId="77777777" w:rsidR="00FB11FC" w:rsidRPr="00177E3C" w:rsidRDefault="00FB11FC" w:rsidP="00C7199B">
            <w:pPr>
              <w:spacing w:after="0" w:line="240" w:lineRule="auto"/>
              <w:jc w:val="right"/>
              <w:rPr>
                <w:rFonts w:cs="Times New Roman"/>
                <w:color w:val="17365D"/>
                <w:sz w:val="18"/>
                <w:szCs w:val="18"/>
              </w:rPr>
            </w:pPr>
          </w:p>
        </w:tc>
      </w:tr>
    </w:tbl>
    <w:p w14:paraId="5E83B661" w14:textId="77777777" w:rsidR="00FB11FC" w:rsidRPr="00177E3C" w:rsidRDefault="00FB11FC" w:rsidP="00FB11FC">
      <w:pPr>
        <w:pStyle w:val="Heading4"/>
        <w:rPr>
          <w:rFonts w:cstheme="minorBidi"/>
        </w:rPr>
      </w:pPr>
      <w:r w:rsidRPr="00177E3C">
        <w:t>Piezīme Nr. NP.C11. Aizņēmumi un emitētie parāda vērtspapīri</w:t>
      </w:r>
    </w:p>
    <w:p w14:paraId="44AA2957" w14:textId="22B60E7E" w:rsidR="00FB11FC" w:rsidRPr="00177E3C" w:rsidRDefault="00FB11FC" w:rsidP="00854AC6">
      <w:pPr>
        <w:pStyle w:val="Pamatteksts1"/>
      </w:pPr>
      <w:r w:rsidRPr="00177E3C">
        <w:t>Valsts budžeta finanšu uzskaitē aizņēmumu un emitēto parāda vērtspapīru naudas plūsmas ieņēmumu būtisku samazinājumu galvenokārt veido</w:t>
      </w:r>
      <w:r w:rsidR="003B3208">
        <w:t xml:space="preserve"> </w:t>
      </w:r>
      <w:r w:rsidRPr="00177E3C">
        <w:t>fiksētas likmes parāda vērtspapīru emisija</w:t>
      </w:r>
      <w:r w:rsidR="003B3208">
        <w:t>s samazinājums salīdzinājumā ar iepriekšējo pārskata gadu</w:t>
      </w:r>
      <w:r w:rsidRPr="00177E3C">
        <w:t xml:space="preserve"> </w:t>
      </w:r>
      <w:r w:rsidR="00854AC6">
        <w:t>(</w:t>
      </w:r>
      <w:r w:rsidR="003B3208">
        <w:t>311</w:t>
      </w:r>
      <w:r w:rsidR="00B7787F">
        <w:t>,</w:t>
      </w:r>
      <w:r w:rsidR="003B3208">
        <w:t>3</w:t>
      </w:r>
      <w:r w:rsidR="00854AC6">
        <w:t>)</w:t>
      </w:r>
      <w:r w:rsidRPr="00177E3C">
        <w:t> </w:t>
      </w:r>
      <w:r w:rsidR="00B7787F">
        <w:t>milj.</w:t>
      </w:r>
      <w:r w:rsidRPr="00177E3C">
        <w:t xml:space="preserve"> </w:t>
      </w:r>
      <w:proofErr w:type="spellStart"/>
      <w:r w:rsidRPr="00177E3C">
        <w:rPr>
          <w:i/>
        </w:rPr>
        <w:t>euro</w:t>
      </w:r>
      <w:proofErr w:type="spellEnd"/>
      <w:r w:rsidRPr="00177E3C">
        <w:t xml:space="preserve"> vērtībā</w:t>
      </w:r>
      <w:r w:rsidR="003B3208">
        <w:t xml:space="preserve"> un </w:t>
      </w:r>
      <w:r w:rsidR="00854AC6">
        <w:t xml:space="preserve">(200,0) milj. </w:t>
      </w:r>
      <w:proofErr w:type="spellStart"/>
      <w:r w:rsidR="00854AC6" w:rsidRPr="00854AC6">
        <w:rPr>
          <w:i/>
          <w:iCs/>
        </w:rPr>
        <w:t>euro</w:t>
      </w:r>
      <w:proofErr w:type="spellEnd"/>
      <w:r w:rsidR="00854AC6">
        <w:t xml:space="preserve"> apmērā samazinājās saņemtie aizņēmumi.</w:t>
      </w:r>
    </w:p>
    <w:p w14:paraId="1E923C99" w14:textId="77777777" w:rsidR="0055737C" w:rsidRDefault="0055737C" w:rsidP="0055737C">
      <w:pPr>
        <w:pStyle w:val="Pamatteksts1"/>
        <w:rPr>
          <w:bCs/>
        </w:rPr>
      </w:pPr>
    </w:p>
    <w:p w14:paraId="3304FE26" w14:textId="72CF879B" w:rsidR="00C0032E" w:rsidRDefault="00FB11FC" w:rsidP="0055737C">
      <w:pPr>
        <w:pStyle w:val="Pamatteksts1"/>
        <w:rPr>
          <w:bCs/>
        </w:rPr>
      </w:pPr>
      <w:r w:rsidRPr="00177E3C">
        <w:rPr>
          <w:bCs/>
        </w:rPr>
        <w:t xml:space="preserve">Citu </w:t>
      </w:r>
      <w:r w:rsidRPr="00177E3C">
        <w:t xml:space="preserve">ieņēmumu </w:t>
      </w:r>
      <w:r w:rsidRPr="002A2F6E">
        <w:t>veidi</w:t>
      </w:r>
      <w:r w:rsidRPr="00177E3C">
        <w:t xml:space="preserve"> no finansēšanas darbības</w:t>
      </w:r>
      <w:r w:rsidRPr="00177E3C">
        <w:rPr>
          <w:bCs/>
        </w:rPr>
        <w:t xml:space="preserve"> norādīti 3.8. tabulā. </w:t>
      </w:r>
    </w:p>
    <w:p w14:paraId="77ED2647" w14:textId="004B73F1" w:rsidR="00FB11FC" w:rsidRPr="00177E3C" w:rsidRDefault="00FB11FC" w:rsidP="00FB11FC">
      <w:pPr>
        <w:pStyle w:val="Tabulasnosaukums"/>
        <w:spacing w:before="0"/>
        <w:ind w:left="2880"/>
        <w:rPr>
          <w:rFonts w:eastAsia="Arial Unicode MS"/>
          <w:color w:val="17365D"/>
          <w:szCs w:val="20"/>
        </w:rPr>
      </w:pPr>
      <w:r w:rsidRPr="00177E3C">
        <w:rPr>
          <w:rFonts w:eastAsia="Arial Unicode MS"/>
          <w:color w:val="17365D"/>
          <w:szCs w:val="20"/>
        </w:rPr>
        <w:t>3.8. tabula. NP.C13</w:t>
      </w:r>
      <w:r w:rsidR="00D921E0">
        <w:rPr>
          <w:rFonts w:eastAsia="Arial Unicode MS"/>
          <w:color w:val="17365D"/>
          <w:szCs w:val="20"/>
        </w:rPr>
        <w:t>.</w:t>
      </w:r>
      <w:r w:rsidRPr="00177E3C">
        <w:rPr>
          <w:rFonts w:eastAsia="Arial Unicode MS"/>
          <w:color w:val="17365D"/>
          <w:szCs w:val="20"/>
        </w:rPr>
        <w:t xml:space="preserve"> Citi ieņēmumi no finansēšanas darbības</w:t>
      </w:r>
      <w:r w:rsidRPr="00177E3C">
        <w:rPr>
          <w:bCs/>
          <w:color w:val="17365D"/>
          <w:szCs w:val="20"/>
        </w:rPr>
        <w:t xml:space="preserve"> (</w:t>
      </w:r>
      <w:r w:rsidRPr="00177E3C">
        <w:rPr>
          <w:color w:val="17365D"/>
          <w:szCs w:val="20"/>
        </w:rPr>
        <w:t>euro)</w:t>
      </w:r>
    </w:p>
    <w:tbl>
      <w:tblPr>
        <w:tblW w:w="4991" w:type="pct"/>
        <w:tblBorders>
          <w:top w:val="single" w:sz="4" w:space="0" w:color="auto"/>
          <w:bottom w:val="single" w:sz="4" w:space="0" w:color="000000"/>
          <w:insideH w:val="single" w:sz="4" w:space="0" w:color="000000"/>
        </w:tblBorders>
        <w:tblLook w:val="04A0" w:firstRow="1" w:lastRow="0" w:firstColumn="1" w:lastColumn="0" w:noHBand="0" w:noVBand="1"/>
      </w:tblPr>
      <w:tblGrid>
        <w:gridCol w:w="5954"/>
        <w:gridCol w:w="1908"/>
        <w:gridCol w:w="1616"/>
      </w:tblGrid>
      <w:tr w:rsidR="002F41F2" w:rsidRPr="00177E3C" w14:paraId="229C2895" w14:textId="77777777" w:rsidTr="002F41F2">
        <w:trPr>
          <w:trHeight w:val="314"/>
          <w:tblHeader/>
        </w:trPr>
        <w:tc>
          <w:tcPr>
            <w:tcW w:w="5954" w:type="dxa"/>
            <w:tcBorders>
              <w:top w:val="nil"/>
              <w:bottom w:val="single" w:sz="4" w:space="0" w:color="17365D"/>
            </w:tcBorders>
            <w:shd w:val="clear" w:color="auto" w:fill="B8CCE4" w:themeFill="accent1" w:themeFillTint="66"/>
            <w:vAlign w:val="center"/>
            <w:hideMark/>
          </w:tcPr>
          <w:p w14:paraId="5FE25C31"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Darījuma apraksts</w:t>
            </w:r>
          </w:p>
        </w:tc>
        <w:tc>
          <w:tcPr>
            <w:tcW w:w="1908" w:type="dxa"/>
            <w:tcBorders>
              <w:top w:val="nil"/>
              <w:bottom w:val="single" w:sz="4" w:space="0" w:color="17365D"/>
            </w:tcBorders>
            <w:shd w:val="clear" w:color="auto" w:fill="B8CCE4" w:themeFill="accent1" w:themeFillTint="66"/>
            <w:vAlign w:val="center"/>
            <w:hideMark/>
          </w:tcPr>
          <w:p w14:paraId="7AFFF2E7"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Pārskata periodā</w:t>
            </w:r>
          </w:p>
        </w:tc>
        <w:tc>
          <w:tcPr>
            <w:tcW w:w="1616" w:type="dxa"/>
            <w:tcBorders>
              <w:top w:val="nil"/>
              <w:bottom w:val="single" w:sz="4" w:space="0" w:color="17365D"/>
            </w:tcBorders>
            <w:shd w:val="clear" w:color="auto" w:fill="B8CCE4" w:themeFill="accent1" w:themeFillTint="66"/>
          </w:tcPr>
          <w:p w14:paraId="48168293"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Iepriekšējā pārskata periodā</w:t>
            </w:r>
          </w:p>
        </w:tc>
      </w:tr>
      <w:tr w:rsidR="002F41F2" w:rsidRPr="00177E3C" w14:paraId="2526FA7E" w14:textId="77777777" w:rsidTr="002F41F2">
        <w:trPr>
          <w:trHeight w:val="255"/>
          <w:tblHeader/>
        </w:trPr>
        <w:tc>
          <w:tcPr>
            <w:tcW w:w="5954" w:type="dxa"/>
            <w:tcBorders>
              <w:top w:val="single" w:sz="4" w:space="0" w:color="17365D"/>
              <w:bottom w:val="single" w:sz="4" w:space="0" w:color="17365D"/>
            </w:tcBorders>
            <w:shd w:val="clear" w:color="auto" w:fill="auto"/>
            <w:vAlign w:val="center"/>
            <w:hideMark/>
          </w:tcPr>
          <w:p w14:paraId="5BCD942D"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A</w:t>
            </w:r>
          </w:p>
        </w:tc>
        <w:tc>
          <w:tcPr>
            <w:tcW w:w="1908" w:type="dxa"/>
            <w:tcBorders>
              <w:top w:val="single" w:sz="4" w:space="0" w:color="17365D"/>
              <w:bottom w:val="single" w:sz="4" w:space="0" w:color="17365D"/>
            </w:tcBorders>
            <w:shd w:val="clear" w:color="auto" w:fill="auto"/>
            <w:vAlign w:val="center"/>
            <w:hideMark/>
          </w:tcPr>
          <w:p w14:paraId="1FABF7E8"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1</w:t>
            </w:r>
          </w:p>
        </w:tc>
        <w:tc>
          <w:tcPr>
            <w:tcW w:w="1616" w:type="dxa"/>
            <w:tcBorders>
              <w:top w:val="single" w:sz="4" w:space="0" w:color="17365D"/>
              <w:bottom w:val="single" w:sz="4" w:space="0" w:color="17365D"/>
            </w:tcBorders>
          </w:tcPr>
          <w:p w14:paraId="23523E26" w14:textId="77777777" w:rsidR="002F41F2" w:rsidRPr="00177E3C" w:rsidRDefault="002F41F2" w:rsidP="00C7199B">
            <w:pPr>
              <w:spacing w:after="0" w:line="240" w:lineRule="auto"/>
              <w:jc w:val="center"/>
              <w:rPr>
                <w:b/>
                <w:bCs/>
                <w:color w:val="17365D"/>
                <w:sz w:val="18"/>
                <w:szCs w:val="18"/>
                <w:lang w:eastAsia="lv-LV"/>
              </w:rPr>
            </w:pPr>
            <w:r w:rsidRPr="00177E3C">
              <w:rPr>
                <w:b/>
                <w:bCs/>
                <w:color w:val="17365D"/>
                <w:sz w:val="18"/>
                <w:szCs w:val="18"/>
                <w:lang w:eastAsia="lv-LV"/>
              </w:rPr>
              <w:t>2</w:t>
            </w:r>
          </w:p>
        </w:tc>
      </w:tr>
      <w:tr w:rsidR="002F41F2" w:rsidRPr="00177E3C" w14:paraId="7333B4AA" w14:textId="77777777" w:rsidTr="002F41F2">
        <w:trPr>
          <w:trHeight w:val="255"/>
        </w:trPr>
        <w:tc>
          <w:tcPr>
            <w:tcW w:w="5954" w:type="dxa"/>
            <w:tcBorders>
              <w:top w:val="single" w:sz="4" w:space="0" w:color="17365D"/>
              <w:bottom w:val="single" w:sz="4" w:space="0" w:color="17365D"/>
            </w:tcBorders>
            <w:shd w:val="clear" w:color="F2F2F2" w:fill="FFFFFF"/>
            <w:vAlign w:val="center"/>
          </w:tcPr>
          <w:p w14:paraId="63648093" w14:textId="77777777" w:rsidR="002F41F2" w:rsidRPr="00177E3C" w:rsidRDefault="002F41F2" w:rsidP="00C7199B">
            <w:pPr>
              <w:spacing w:after="0" w:line="240" w:lineRule="auto"/>
              <w:rPr>
                <w:bCs/>
                <w:color w:val="17365D"/>
                <w:sz w:val="18"/>
                <w:szCs w:val="18"/>
                <w:lang w:eastAsia="lv-LV"/>
              </w:rPr>
            </w:pPr>
            <w:r w:rsidRPr="00177E3C">
              <w:rPr>
                <w:bCs/>
                <w:color w:val="17365D"/>
                <w:sz w:val="18"/>
                <w:szCs w:val="18"/>
                <w:lang w:eastAsia="lv-LV"/>
              </w:rPr>
              <w:t>Valsts budžeta finanšu uzskaites ieņēmumi no atvasināto finanšu instrumentu rezultāta</w:t>
            </w:r>
          </w:p>
        </w:tc>
        <w:tc>
          <w:tcPr>
            <w:tcW w:w="1908" w:type="dxa"/>
            <w:tcBorders>
              <w:top w:val="single" w:sz="4" w:space="0" w:color="17365D"/>
              <w:bottom w:val="single" w:sz="4" w:space="0" w:color="17365D"/>
            </w:tcBorders>
            <w:shd w:val="clear" w:color="F2F2F2" w:fill="FFFFFF"/>
            <w:vAlign w:val="center"/>
          </w:tcPr>
          <w:p w14:paraId="619BAD2B" w14:textId="77777777" w:rsidR="002F41F2" w:rsidRPr="00177E3C" w:rsidRDefault="002F41F2" w:rsidP="00C7199B">
            <w:pPr>
              <w:spacing w:after="0" w:line="240" w:lineRule="auto"/>
              <w:ind w:right="223"/>
              <w:jc w:val="right"/>
              <w:rPr>
                <w:bCs/>
                <w:color w:val="17365D"/>
                <w:sz w:val="18"/>
                <w:szCs w:val="18"/>
                <w:lang w:eastAsia="lv-LV"/>
              </w:rPr>
            </w:pPr>
            <w:r w:rsidRPr="00177E3C">
              <w:rPr>
                <w:bCs/>
                <w:color w:val="17365D"/>
                <w:sz w:val="18"/>
                <w:szCs w:val="18"/>
                <w:lang w:eastAsia="lv-LV"/>
              </w:rPr>
              <w:t>0</w:t>
            </w:r>
          </w:p>
        </w:tc>
        <w:tc>
          <w:tcPr>
            <w:tcW w:w="1616" w:type="dxa"/>
            <w:tcBorders>
              <w:top w:val="single" w:sz="4" w:space="0" w:color="17365D"/>
              <w:bottom w:val="single" w:sz="4" w:space="0" w:color="17365D"/>
            </w:tcBorders>
            <w:shd w:val="clear" w:color="F2F2F2" w:fill="FFFFFF"/>
            <w:vAlign w:val="center"/>
          </w:tcPr>
          <w:p w14:paraId="2C4F2463" w14:textId="77777777" w:rsidR="002F41F2" w:rsidRPr="00177E3C" w:rsidRDefault="002F41F2" w:rsidP="00C7199B">
            <w:pPr>
              <w:spacing w:after="0" w:line="240" w:lineRule="auto"/>
              <w:ind w:right="223"/>
              <w:jc w:val="right"/>
              <w:rPr>
                <w:bCs/>
                <w:color w:val="17365D"/>
                <w:sz w:val="18"/>
                <w:szCs w:val="18"/>
                <w:lang w:eastAsia="lv-LV"/>
              </w:rPr>
            </w:pPr>
            <w:r w:rsidRPr="00177E3C">
              <w:rPr>
                <w:bCs/>
                <w:color w:val="17365D"/>
                <w:sz w:val="18"/>
                <w:szCs w:val="18"/>
                <w:lang w:eastAsia="lv-LV"/>
              </w:rPr>
              <w:t>1 352</w:t>
            </w:r>
            <w:r w:rsidRPr="00177E3C">
              <w:rPr>
                <w:rFonts w:cs="Times New Roman"/>
                <w:color w:val="17365D"/>
                <w:sz w:val="18"/>
                <w:szCs w:val="18"/>
              </w:rPr>
              <w:t> </w:t>
            </w:r>
            <w:r w:rsidRPr="00177E3C">
              <w:rPr>
                <w:bCs/>
                <w:color w:val="17365D"/>
                <w:sz w:val="18"/>
                <w:szCs w:val="18"/>
                <w:lang w:eastAsia="lv-LV"/>
              </w:rPr>
              <w:t>814</w:t>
            </w:r>
          </w:p>
        </w:tc>
      </w:tr>
      <w:tr w:rsidR="002F41F2" w:rsidRPr="00177E3C" w14:paraId="4B66B7B0" w14:textId="77777777" w:rsidTr="002F41F2">
        <w:trPr>
          <w:trHeight w:val="255"/>
        </w:trPr>
        <w:tc>
          <w:tcPr>
            <w:tcW w:w="5954" w:type="dxa"/>
            <w:tcBorders>
              <w:top w:val="single" w:sz="4" w:space="0" w:color="17365D"/>
              <w:bottom w:val="single" w:sz="4" w:space="0" w:color="17365D"/>
            </w:tcBorders>
            <w:shd w:val="clear" w:color="F2F2F2" w:fill="FFFFFF"/>
            <w:vAlign w:val="center"/>
          </w:tcPr>
          <w:p w14:paraId="21A6E1A2" w14:textId="77777777" w:rsidR="002F41F2" w:rsidRPr="00177E3C" w:rsidRDefault="002F41F2" w:rsidP="00C7199B">
            <w:pPr>
              <w:spacing w:after="0" w:line="240" w:lineRule="auto"/>
              <w:rPr>
                <w:bCs/>
                <w:color w:val="17365D"/>
                <w:sz w:val="18"/>
                <w:szCs w:val="18"/>
                <w:lang w:eastAsia="lv-LV"/>
              </w:rPr>
            </w:pPr>
            <w:r w:rsidRPr="00177E3C">
              <w:rPr>
                <w:bCs/>
                <w:color w:val="17365D"/>
                <w:sz w:val="18"/>
                <w:szCs w:val="18"/>
                <w:lang w:eastAsia="lv-LV"/>
              </w:rPr>
              <w:t xml:space="preserve">Valsts budžeta finanšu uzskaites ieņēmumi no  </w:t>
            </w:r>
            <w:proofErr w:type="spellStart"/>
            <w:r w:rsidRPr="00177E3C">
              <w:rPr>
                <w:bCs/>
                <w:color w:val="17365D"/>
                <w:sz w:val="18"/>
                <w:szCs w:val="18"/>
                <w:lang w:eastAsia="lv-LV"/>
              </w:rPr>
              <w:t>nefinanšu</w:t>
            </w:r>
            <w:proofErr w:type="spellEnd"/>
            <w:r w:rsidRPr="00177E3C">
              <w:rPr>
                <w:bCs/>
                <w:color w:val="17365D"/>
                <w:sz w:val="18"/>
                <w:szCs w:val="18"/>
                <w:lang w:eastAsia="lv-LV"/>
              </w:rPr>
              <w:t xml:space="preserve"> institūcijām</w:t>
            </w:r>
          </w:p>
        </w:tc>
        <w:tc>
          <w:tcPr>
            <w:tcW w:w="1908" w:type="dxa"/>
            <w:tcBorders>
              <w:top w:val="single" w:sz="4" w:space="0" w:color="17365D"/>
              <w:bottom w:val="single" w:sz="4" w:space="0" w:color="17365D"/>
            </w:tcBorders>
            <w:shd w:val="clear" w:color="F2F2F2" w:fill="FFFFFF"/>
            <w:vAlign w:val="center"/>
          </w:tcPr>
          <w:p w14:paraId="77BBB5A9" w14:textId="77777777" w:rsidR="002F41F2" w:rsidRPr="00177E3C" w:rsidRDefault="002F41F2" w:rsidP="00C7199B">
            <w:pPr>
              <w:spacing w:after="0" w:line="240" w:lineRule="auto"/>
              <w:ind w:right="223"/>
              <w:jc w:val="right"/>
              <w:rPr>
                <w:bCs/>
                <w:color w:val="17365D"/>
                <w:sz w:val="18"/>
                <w:szCs w:val="18"/>
                <w:lang w:eastAsia="lv-LV"/>
              </w:rPr>
            </w:pPr>
            <w:r w:rsidRPr="00177E3C">
              <w:rPr>
                <w:bCs/>
                <w:color w:val="17365D"/>
                <w:sz w:val="18"/>
                <w:szCs w:val="18"/>
                <w:lang w:eastAsia="lv-LV"/>
              </w:rPr>
              <w:t>45 000</w:t>
            </w:r>
            <w:r w:rsidRPr="00177E3C">
              <w:rPr>
                <w:rFonts w:cs="Times New Roman"/>
                <w:color w:val="17365D"/>
                <w:sz w:val="18"/>
                <w:szCs w:val="18"/>
              </w:rPr>
              <w:t> </w:t>
            </w:r>
            <w:r w:rsidRPr="00177E3C">
              <w:rPr>
                <w:bCs/>
                <w:color w:val="17365D"/>
                <w:sz w:val="18"/>
                <w:szCs w:val="18"/>
                <w:lang w:eastAsia="lv-LV"/>
              </w:rPr>
              <w:t>000</w:t>
            </w:r>
          </w:p>
        </w:tc>
        <w:tc>
          <w:tcPr>
            <w:tcW w:w="1616" w:type="dxa"/>
            <w:tcBorders>
              <w:top w:val="single" w:sz="4" w:space="0" w:color="17365D"/>
              <w:bottom w:val="single" w:sz="4" w:space="0" w:color="17365D"/>
            </w:tcBorders>
            <w:shd w:val="clear" w:color="F2F2F2" w:fill="FFFFFF"/>
            <w:vAlign w:val="center"/>
          </w:tcPr>
          <w:p w14:paraId="77351B56" w14:textId="77777777" w:rsidR="002F41F2" w:rsidRPr="00177E3C" w:rsidRDefault="002F41F2" w:rsidP="00C7199B">
            <w:pPr>
              <w:spacing w:after="0" w:line="240" w:lineRule="auto"/>
              <w:ind w:right="223"/>
              <w:jc w:val="right"/>
              <w:rPr>
                <w:bCs/>
                <w:color w:val="17365D"/>
                <w:sz w:val="18"/>
                <w:szCs w:val="18"/>
                <w:lang w:eastAsia="lv-LV"/>
              </w:rPr>
            </w:pPr>
            <w:r w:rsidRPr="00177E3C">
              <w:rPr>
                <w:bCs/>
                <w:color w:val="17365D"/>
                <w:sz w:val="18"/>
                <w:szCs w:val="18"/>
                <w:lang w:eastAsia="lv-LV"/>
              </w:rPr>
              <w:t>45 000</w:t>
            </w:r>
            <w:r w:rsidRPr="00177E3C">
              <w:rPr>
                <w:rFonts w:cs="Times New Roman"/>
                <w:color w:val="17365D"/>
                <w:sz w:val="18"/>
                <w:szCs w:val="18"/>
              </w:rPr>
              <w:t> </w:t>
            </w:r>
            <w:r w:rsidRPr="00177E3C">
              <w:rPr>
                <w:bCs/>
                <w:color w:val="17365D"/>
                <w:sz w:val="18"/>
                <w:szCs w:val="18"/>
                <w:lang w:eastAsia="lv-LV"/>
              </w:rPr>
              <w:t>000</w:t>
            </w:r>
          </w:p>
        </w:tc>
      </w:tr>
      <w:tr w:rsidR="002F41F2" w:rsidRPr="00177E3C" w14:paraId="248E035E" w14:textId="77777777" w:rsidTr="002F41F2">
        <w:trPr>
          <w:trHeight w:val="255"/>
        </w:trPr>
        <w:tc>
          <w:tcPr>
            <w:tcW w:w="5954" w:type="dxa"/>
            <w:tcBorders>
              <w:top w:val="single" w:sz="4" w:space="0" w:color="17365D"/>
              <w:bottom w:val="nil"/>
            </w:tcBorders>
            <w:shd w:val="clear" w:color="auto" w:fill="B8CCE4" w:themeFill="accent1" w:themeFillTint="66"/>
            <w:vAlign w:val="center"/>
            <w:hideMark/>
          </w:tcPr>
          <w:p w14:paraId="3EA1C81C" w14:textId="77777777" w:rsidR="002F41F2" w:rsidRPr="00177E3C" w:rsidRDefault="002F41F2" w:rsidP="00C7199B">
            <w:pPr>
              <w:spacing w:after="0" w:line="240" w:lineRule="auto"/>
              <w:rPr>
                <w:bCs/>
                <w:color w:val="17365D"/>
                <w:sz w:val="18"/>
                <w:szCs w:val="18"/>
                <w:lang w:eastAsia="lv-LV"/>
              </w:rPr>
            </w:pPr>
            <w:r w:rsidRPr="00177E3C">
              <w:rPr>
                <w:b/>
                <w:bCs/>
                <w:color w:val="17365D"/>
                <w:sz w:val="18"/>
                <w:szCs w:val="18"/>
                <w:lang w:eastAsia="lv-LV"/>
              </w:rPr>
              <w:t>Kopā</w:t>
            </w:r>
          </w:p>
        </w:tc>
        <w:tc>
          <w:tcPr>
            <w:tcW w:w="1908" w:type="dxa"/>
            <w:tcBorders>
              <w:top w:val="single" w:sz="4" w:space="0" w:color="17365D"/>
              <w:bottom w:val="nil"/>
            </w:tcBorders>
            <w:shd w:val="clear" w:color="auto" w:fill="B8CCE4" w:themeFill="accent1" w:themeFillTint="66"/>
            <w:vAlign w:val="center"/>
            <w:hideMark/>
          </w:tcPr>
          <w:p w14:paraId="4BB21FE9" w14:textId="77777777" w:rsidR="002F41F2" w:rsidRPr="00177E3C" w:rsidRDefault="002F41F2" w:rsidP="00C7199B">
            <w:pPr>
              <w:spacing w:after="0" w:line="240" w:lineRule="auto"/>
              <w:ind w:right="223"/>
              <w:jc w:val="right"/>
              <w:rPr>
                <w:bCs/>
                <w:color w:val="17365D"/>
                <w:sz w:val="18"/>
                <w:szCs w:val="18"/>
                <w:lang w:eastAsia="lv-LV"/>
              </w:rPr>
            </w:pPr>
            <w:r w:rsidRPr="00177E3C">
              <w:rPr>
                <w:b/>
                <w:bCs/>
                <w:color w:val="17365D"/>
                <w:sz w:val="18"/>
                <w:szCs w:val="18"/>
                <w:lang w:eastAsia="lv-LV"/>
              </w:rPr>
              <w:t>45 000 000</w:t>
            </w:r>
          </w:p>
        </w:tc>
        <w:tc>
          <w:tcPr>
            <w:tcW w:w="1616" w:type="dxa"/>
            <w:tcBorders>
              <w:top w:val="single" w:sz="4" w:space="0" w:color="17365D"/>
              <w:bottom w:val="nil"/>
            </w:tcBorders>
            <w:shd w:val="clear" w:color="auto" w:fill="B8CCE4" w:themeFill="accent1" w:themeFillTint="66"/>
            <w:vAlign w:val="center"/>
          </w:tcPr>
          <w:p w14:paraId="0B7F0FCE" w14:textId="77777777" w:rsidR="002F41F2" w:rsidRPr="00177E3C" w:rsidRDefault="002F41F2" w:rsidP="00C7199B">
            <w:pPr>
              <w:spacing w:after="0" w:line="240" w:lineRule="auto"/>
              <w:ind w:right="223"/>
              <w:jc w:val="right"/>
              <w:rPr>
                <w:bCs/>
                <w:color w:val="17365D"/>
                <w:sz w:val="18"/>
                <w:szCs w:val="18"/>
                <w:lang w:eastAsia="lv-LV"/>
              </w:rPr>
            </w:pPr>
            <w:r w:rsidRPr="00177E3C">
              <w:rPr>
                <w:b/>
                <w:bCs/>
                <w:color w:val="17365D"/>
                <w:sz w:val="18"/>
                <w:szCs w:val="18"/>
                <w:lang w:eastAsia="lv-LV"/>
              </w:rPr>
              <w:t>46 352 814</w:t>
            </w:r>
          </w:p>
        </w:tc>
      </w:tr>
    </w:tbl>
    <w:p w14:paraId="7723E318" w14:textId="77777777" w:rsidR="00FB11FC" w:rsidRPr="00177E3C" w:rsidRDefault="00FB11FC" w:rsidP="00FB11FC">
      <w:pPr>
        <w:pStyle w:val="Heading4"/>
      </w:pPr>
      <w:r w:rsidRPr="00177E3C">
        <w:t>Piezīme Nr. NP.C21. Aizņēmumi un emitētie parāda vērtspapīri</w:t>
      </w:r>
    </w:p>
    <w:p w14:paraId="36CC0788" w14:textId="1E45088A" w:rsidR="00FB11FC" w:rsidRPr="00177E3C" w:rsidRDefault="00FB11FC" w:rsidP="002A2F6E">
      <w:pPr>
        <w:pStyle w:val="Pamatteksts1"/>
      </w:pPr>
      <w:r w:rsidRPr="00177E3C">
        <w:t xml:space="preserve">Šī </w:t>
      </w:r>
      <w:r w:rsidRPr="002A2F6E">
        <w:t>posteņa</w:t>
      </w:r>
      <w:r w:rsidRPr="00177E3C">
        <w:t xml:space="preserve"> būtiskas izmaiņas veido</w:t>
      </w:r>
      <w:r w:rsidR="00C0032E" w:rsidRPr="00C0032E">
        <w:t xml:space="preserve"> </w:t>
      </w:r>
      <w:r w:rsidR="00C0032E" w:rsidRPr="00177E3C">
        <w:t>valsts budžeta finanšu uzskaitē</w:t>
      </w:r>
      <w:r w:rsidRPr="00177E3C">
        <w:t>:</w:t>
      </w:r>
    </w:p>
    <w:p w14:paraId="4C49B0F7" w14:textId="167E0C48" w:rsidR="00FB11FC" w:rsidRPr="00177E3C" w:rsidRDefault="00FB11FC" w:rsidP="002A2F6E">
      <w:pPr>
        <w:pStyle w:val="Bullets"/>
      </w:pPr>
      <w:r w:rsidRPr="00177E3C">
        <w:t xml:space="preserve">izdevumu palielinājums no </w:t>
      </w:r>
      <w:proofErr w:type="spellStart"/>
      <w:r w:rsidRPr="00177E3C">
        <w:t>krājobligāciju</w:t>
      </w:r>
      <w:proofErr w:type="spellEnd"/>
      <w:r w:rsidRPr="00177E3C">
        <w:t xml:space="preserve"> dzēšanas </w:t>
      </w:r>
      <w:r w:rsidRPr="00177E3C">
        <w:rPr>
          <w:rFonts w:cstheme="minorBidi"/>
        </w:rPr>
        <w:t>188</w:t>
      </w:r>
      <w:r w:rsidR="00B7787F">
        <w:rPr>
          <w:rFonts w:cstheme="minorBidi"/>
        </w:rPr>
        <w:t>,8</w:t>
      </w:r>
      <w:r w:rsidRPr="00177E3C">
        <w:rPr>
          <w:rFonts w:cstheme="minorBidi"/>
        </w:rPr>
        <w:t> </w:t>
      </w:r>
      <w:r w:rsidR="00B7787F">
        <w:rPr>
          <w:rFonts w:cstheme="minorBidi"/>
        </w:rPr>
        <w:t>milj.</w:t>
      </w:r>
      <w:r w:rsidRPr="00177E3C">
        <w:rPr>
          <w:rFonts w:cstheme="minorBidi"/>
        </w:rPr>
        <w:t xml:space="preserve"> </w:t>
      </w:r>
      <w:r w:rsidRPr="00177E3C">
        <w:rPr>
          <w:rFonts w:cstheme="minorBidi"/>
          <w:i/>
        </w:rPr>
        <w:t>euro</w:t>
      </w:r>
      <w:r w:rsidRPr="00177E3C">
        <w:rPr>
          <w:rFonts w:cstheme="minorBidi"/>
        </w:rPr>
        <w:t xml:space="preserve"> vērtībā;</w:t>
      </w:r>
    </w:p>
    <w:p w14:paraId="4216D54A" w14:textId="596553CC" w:rsidR="00FB11FC" w:rsidRPr="00177E3C" w:rsidRDefault="00FB11FC" w:rsidP="002A2F6E">
      <w:pPr>
        <w:pStyle w:val="Bullets"/>
      </w:pPr>
      <w:r w:rsidRPr="00177E3C">
        <w:rPr>
          <w:rFonts w:cstheme="minorBidi"/>
        </w:rPr>
        <w:t>izejošās naudas plūsmas samazinājums no vidējā un ilgtermiņa parāda vērtspapīru dzēšanas 202</w:t>
      </w:r>
      <w:r w:rsidR="00B7787F">
        <w:rPr>
          <w:rFonts w:cstheme="minorBidi"/>
        </w:rPr>
        <w:t>,2</w:t>
      </w:r>
      <w:r w:rsidRPr="00177E3C">
        <w:rPr>
          <w:rFonts w:cstheme="minorBidi"/>
        </w:rPr>
        <w:t> </w:t>
      </w:r>
      <w:r w:rsidR="00B7787F">
        <w:rPr>
          <w:rFonts w:cstheme="minorBidi"/>
        </w:rPr>
        <w:t>milj.</w:t>
      </w:r>
      <w:r w:rsidRPr="00177E3C">
        <w:rPr>
          <w:rFonts w:cstheme="minorBidi"/>
        </w:rPr>
        <w:t xml:space="preserve"> </w:t>
      </w:r>
      <w:r w:rsidRPr="00177E3C">
        <w:rPr>
          <w:rFonts w:cstheme="minorBidi"/>
          <w:i/>
        </w:rPr>
        <w:t>euro</w:t>
      </w:r>
      <w:r w:rsidRPr="00177E3C">
        <w:rPr>
          <w:rFonts w:cstheme="minorBidi"/>
        </w:rPr>
        <w:t xml:space="preserve"> vērtībā un no aizņēmuma atmaksām 348</w:t>
      </w:r>
      <w:r w:rsidR="00B7787F">
        <w:rPr>
          <w:rFonts w:cstheme="minorBidi"/>
        </w:rPr>
        <w:t>,9</w:t>
      </w:r>
      <w:r w:rsidRPr="00177E3C">
        <w:rPr>
          <w:rFonts w:cstheme="minorBidi"/>
        </w:rPr>
        <w:t xml:space="preserve"> </w:t>
      </w:r>
      <w:r w:rsidR="00B7787F">
        <w:rPr>
          <w:rFonts w:cstheme="minorBidi"/>
        </w:rPr>
        <w:t>milj.</w:t>
      </w:r>
      <w:r w:rsidRPr="00177E3C">
        <w:rPr>
          <w:rFonts w:cstheme="minorBidi"/>
        </w:rPr>
        <w:t xml:space="preserve"> </w:t>
      </w:r>
      <w:r w:rsidRPr="00177E3C">
        <w:rPr>
          <w:rFonts w:cstheme="minorBidi"/>
          <w:i/>
        </w:rPr>
        <w:t>euro</w:t>
      </w:r>
      <w:r w:rsidR="00441D3E">
        <w:rPr>
          <w:rFonts w:cstheme="minorBidi"/>
        </w:rPr>
        <w:t xml:space="preserve"> vērtībā.</w:t>
      </w:r>
    </w:p>
    <w:p w14:paraId="01013E65" w14:textId="77777777" w:rsidR="00FB11FC" w:rsidRPr="00177E3C" w:rsidRDefault="00FB11FC" w:rsidP="00FB11FC">
      <w:pPr>
        <w:pStyle w:val="Heading4"/>
      </w:pPr>
      <w:r w:rsidRPr="00177E3C">
        <w:t>Piezīme Nr. NP.C22. Procentu izdevumi</w:t>
      </w:r>
    </w:p>
    <w:p w14:paraId="27C3593F" w14:textId="42881108" w:rsidR="00FB11FC" w:rsidRPr="002A2F6E" w:rsidRDefault="00FB11FC" w:rsidP="002A2F6E">
      <w:pPr>
        <w:pStyle w:val="Pamatteksts1"/>
      </w:pPr>
      <w:r w:rsidRPr="005F47C7">
        <w:t xml:space="preserve">Šī posteņa </w:t>
      </w:r>
      <w:r w:rsidRPr="002A2F6E">
        <w:t xml:space="preserve">būtiskas izmaiņas veido izdevumu palielinājums </w:t>
      </w:r>
      <w:r w:rsidR="00C0032E" w:rsidRPr="002A2F6E">
        <w:t xml:space="preserve">valsts budžeta finanšu uzskaitē </w:t>
      </w:r>
      <w:r w:rsidRPr="002A2F6E">
        <w:t>ārvalstu un starptautiskajām finanšu institūcijām par aizņēmumiem un vērtspapīriem 135</w:t>
      </w:r>
      <w:r w:rsidR="00B7787F" w:rsidRPr="002A2F6E">
        <w:t>,1</w:t>
      </w:r>
      <w:r w:rsidRPr="002A2F6E">
        <w:t xml:space="preserve"> </w:t>
      </w:r>
      <w:r w:rsidR="00B7787F" w:rsidRPr="002A2F6E">
        <w:t>milj.</w:t>
      </w:r>
      <w:r w:rsidRPr="002A2F6E">
        <w:t xml:space="preserve"> euro</w:t>
      </w:r>
      <w:r w:rsidR="00B7787F" w:rsidRPr="002A2F6E">
        <w:t xml:space="preserve"> vērtībā</w:t>
      </w:r>
      <w:r w:rsidRPr="002A2F6E">
        <w:t>, par aizņēmumiem un vērtspapīriem no iekšzemes finanšu institūcijām 4</w:t>
      </w:r>
      <w:r w:rsidR="00B7787F" w:rsidRPr="002A2F6E">
        <w:t>,7</w:t>
      </w:r>
      <w:r w:rsidRPr="002A2F6E">
        <w:t xml:space="preserve"> </w:t>
      </w:r>
      <w:r w:rsidR="00B7787F" w:rsidRPr="002A2F6E">
        <w:t>milj.</w:t>
      </w:r>
      <w:r w:rsidRPr="002A2F6E">
        <w:t xml:space="preserve"> euro,  par depozītiem un kontu atlikumu izmantošanu saskaņā ar noslēgtajiem līgumiem 12</w:t>
      </w:r>
      <w:r w:rsidR="00B7787F" w:rsidRPr="002A2F6E">
        <w:t>,2</w:t>
      </w:r>
      <w:r w:rsidRPr="002A2F6E">
        <w:t xml:space="preserve"> </w:t>
      </w:r>
      <w:r w:rsidR="00B7787F" w:rsidRPr="002A2F6E">
        <w:t>milj.</w:t>
      </w:r>
      <w:r w:rsidRPr="002A2F6E">
        <w:t xml:space="preserve"> euro</w:t>
      </w:r>
      <w:r w:rsidR="00441D3E" w:rsidRPr="002A2F6E">
        <w:t xml:space="preserve"> vērtībā.</w:t>
      </w:r>
    </w:p>
    <w:p w14:paraId="6E8FF467" w14:textId="77777777" w:rsidR="002D0A2A" w:rsidRDefault="002D0A2A" w:rsidP="002A2F6E">
      <w:pPr>
        <w:pStyle w:val="Pamatteksts1"/>
      </w:pPr>
    </w:p>
    <w:p w14:paraId="4BD3527A" w14:textId="77777777" w:rsidR="002D0A2A" w:rsidRDefault="002D0A2A" w:rsidP="002A2F6E">
      <w:pPr>
        <w:pStyle w:val="Pamatteksts1"/>
      </w:pPr>
    </w:p>
    <w:p w14:paraId="5DA05F18" w14:textId="239FFDAB" w:rsidR="00441D3E" w:rsidRPr="005F47C7" w:rsidRDefault="00441D3E" w:rsidP="002A2F6E">
      <w:pPr>
        <w:pStyle w:val="Pamatteksts1"/>
      </w:pPr>
      <w:r w:rsidRPr="002A2F6E">
        <w:lastRenderedPageBreak/>
        <w:t>Citu izdevumi</w:t>
      </w:r>
      <w:r w:rsidRPr="005F47C7">
        <w:t xml:space="preserve"> veidi no finansēšanas darbības norādīti 3.9. tabulā. </w:t>
      </w:r>
    </w:p>
    <w:p w14:paraId="3E22646E" w14:textId="77777777" w:rsidR="002F41F2" w:rsidRDefault="002F41F2" w:rsidP="00441D3E">
      <w:pPr>
        <w:pStyle w:val="Tabulasnosaukums"/>
        <w:spacing w:before="0"/>
        <w:ind w:left="2880"/>
        <w:rPr>
          <w:rFonts w:eastAsia="Arial Unicode MS"/>
          <w:color w:val="17365D"/>
          <w:szCs w:val="20"/>
        </w:rPr>
      </w:pPr>
    </w:p>
    <w:p w14:paraId="2EC9D5F2" w14:textId="03C52B7F" w:rsidR="00441D3E" w:rsidRPr="00177E3C" w:rsidRDefault="00441D3E" w:rsidP="00441D3E">
      <w:pPr>
        <w:pStyle w:val="Tabulasnosaukums"/>
        <w:spacing w:before="0"/>
        <w:ind w:left="2880"/>
        <w:rPr>
          <w:rFonts w:eastAsia="Arial Unicode MS"/>
          <w:color w:val="17365D"/>
          <w:szCs w:val="20"/>
        </w:rPr>
      </w:pPr>
      <w:r>
        <w:rPr>
          <w:rFonts w:eastAsia="Arial Unicode MS"/>
          <w:color w:val="17365D"/>
          <w:szCs w:val="20"/>
        </w:rPr>
        <w:t>3.9. tabula. NP.C2</w:t>
      </w:r>
      <w:r w:rsidRPr="00177E3C">
        <w:rPr>
          <w:rFonts w:eastAsia="Arial Unicode MS"/>
          <w:color w:val="17365D"/>
          <w:szCs w:val="20"/>
        </w:rPr>
        <w:t>3</w:t>
      </w:r>
      <w:r w:rsidR="00D921E0">
        <w:rPr>
          <w:rFonts w:eastAsia="Arial Unicode MS"/>
          <w:color w:val="17365D"/>
          <w:szCs w:val="20"/>
        </w:rPr>
        <w:t>.</w:t>
      </w:r>
      <w:r w:rsidRPr="00177E3C">
        <w:rPr>
          <w:rFonts w:eastAsia="Arial Unicode MS"/>
          <w:color w:val="17365D"/>
          <w:szCs w:val="20"/>
        </w:rPr>
        <w:t xml:space="preserve"> Citi </w:t>
      </w:r>
      <w:r>
        <w:rPr>
          <w:rFonts w:eastAsia="Arial Unicode MS"/>
          <w:color w:val="17365D"/>
          <w:szCs w:val="20"/>
        </w:rPr>
        <w:t>izdevumi</w:t>
      </w:r>
      <w:r w:rsidRPr="00177E3C">
        <w:rPr>
          <w:rFonts w:eastAsia="Arial Unicode MS"/>
          <w:color w:val="17365D"/>
          <w:szCs w:val="20"/>
        </w:rPr>
        <w:t xml:space="preserve"> no finansēšanas darbības</w:t>
      </w:r>
      <w:r w:rsidRPr="00177E3C">
        <w:rPr>
          <w:bCs/>
          <w:color w:val="17365D"/>
          <w:szCs w:val="20"/>
        </w:rPr>
        <w:t xml:space="preserve"> (</w:t>
      </w:r>
      <w:r w:rsidRPr="00177E3C">
        <w:rPr>
          <w:color w:val="17365D"/>
          <w:szCs w:val="20"/>
        </w:rPr>
        <w:t>euro)</w:t>
      </w:r>
    </w:p>
    <w:tbl>
      <w:tblPr>
        <w:tblW w:w="5000" w:type="pct"/>
        <w:jc w:val="center"/>
        <w:tblBorders>
          <w:top w:val="single" w:sz="4" w:space="0" w:color="auto"/>
          <w:bottom w:val="single" w:sz="4" w:space="0" w:color="000000"/>
          <w:insideH w:val="single" w:sz="4" w:space="0" w:color="000000"/>
        </w:tblBorders>
        <w:tblLook w:val="04A0" w:firstRow="1" w:lastRow="0" w:firstColumn="1" w:lastColumn="0" w:noHBand="0" w:noVBand="1"/>
      </w:tblPr>
      <w:tblGrid>
        <w:gridCol w:w="5883"/>
        <w:gridCol w:w="1955"/>
        <w:gridCol w:w="1657"/>
      </w:tblGrid>
      <w:tr w:rsidR="002F41F2" w:rsidRPr="00177E3C" w14:paraId="7A08C60C" w14:textId="77777777" w:rsidTr="002F41F2">
        <w:trPr>
          <w:trHeight w:val="314"/>
          <w:tblHeader/>
          <w:jc w:val="center"/>
        </w:trPr>
        <w:tc>
          <w:tcPr>
            <w:tcW w:w="5954" w:type="dxa"/>
            <w:tcBorders>
              <w:top w:val="nil"/>
              <w:bottom w:val="single" w:sz="4" w:space="0" w:color="17365D"/>
            </w:tcBorders>
            <w:shd w:val="clear" w:color="auto" w:fill="B8CCE4" w:themeFill="accent1" w:themeFillTint="66"/>
            <w:vAlign w:val="center"/>
            <w:hideMark/>
          </w:tcPr>
          <w:p w14:paraId="10216D13" w14:textId="77777777" w:rsidR="002F41F2" w:rsidRPr="00177E3C" w:rsidRDefault="002F41F2" w:rsidP="00340FCF">
            <w:pPr>
              <w:spacing w:after="0" w:line="240" w:lineRule="auto"/>
              <w:jc w:val="center"/>
              <w:rPr>
                <w:b/>
                <w:bCs/>
                <w:color w:val="17365D"/>
                <w:sz w:val="18"/>
                <w:szCs w:val="18"/>
                <w:lang w:eastAsia="lv-LV"/>
              </w:rPr>
            </w:pPr>
            <w:r w:rsidRPr="00177E3C">
              <w:rPr>
                <w:b/>
                <w:bCs/>
                <w:color w:val="17365D"/>
                <w:sz w:val="18"/>
                <w:szCs w:val="18"/>
                <w:lang w:eastAsia="lv-LV"/>
              </w:rPr>
              <w:t>Darījuma apraksts</w:t>
            </w:r>
          </w:p>
        </w:tc>
        <w:tc>
          <w:tcPr>
            <w:tcW w:w="1965" w:type="dxa"/>
            <w:tcBorders>
              <w:top w:val="nil"/>
              <w:bottom w:val="single" w:sz="4" w:space="0" w:color="17365D"/>
            </w:tcBorders>
            <w:shd w:val="clear" w:color="auto" w:fill="B8CCE4" w:themeFill="accent1" w:themeFillTint="66"/>
            <w:vAlign w:val="center"/>
            <w:hideMark/>
          </w:tcPr>
          <w:p w14:paraId="68CAF136" w14:textId="77777777" w:rsidR="002F41F2" w:rsidRPr="00177E3C" w:rsidRDefault="002F41F2" w:rsidP="00340FCF">
            <w:pPr>
              <w:spacing w:after="0" w:line="240" w:lineRule="auto"/>
              <w:jc w:val="center"/>
              <w:rPr>
                <w:b/>
                <w:bCs/>
                <w:color w:val="17365D"/>
                <w:sz w:val="18"/>
                <w:szCs w:val="18"/>
                <w:lang w:eastAsia="lv-LV"/>
              </w:rPr>
            </w:pPr>
            <w:r w:rsidRPr="00177E3C">
              <w:rPr>
                <w:b/>
                <w:bCs/>
                <w:color w:val="17365D"/>
                <w:sz w:val="18"/>
                <w:szCs w:val="18"/>
                <w:lang w:eastAsia="lv-LV"/>
              </w:rPr>
              <w:t>Pārskata periodā</w:t>
            </w:r>
          </w:p>
        </w:tc>
        <w:tc>
          <w:tcPr>
            <w:tcW w:w="1666" w:type="dxa"/>
            <w:tcBorders>
              <w:top w:val="nil"/>
              <w:bottom w:val="single" w:sz="4" w:space="0" w:color="17365D"/>
            </w:tcBorders>
            <w:shd w:val="clear" w:color="auto" w:fill="B8CCE4" w:themeFill="accent1" w:themeFillTint="66"/>
          </w:tcPr>
          <w:p w14:paraId="4C948D97" w14:textId="77777777" w:rsidR="002F41F2" w:rsidRPr="00177E3C" w:rsidRDefault="002F41F2" w:rsidP="00340FCF">
            <w:pPr>
              <w:spacing w:after="0" w:line="240" w:lineRule="auto"/>
              <w:jc w:val="center"/>
              <w:rPr>
                <w:b/>
                <w:bCs/>
                <w:color w:val="17365D"/>
                <w:sz w:val="18"/>
                <w:szCs w:val="18"/>
                <w:lang w:eastAsia="lv-LV"/>
              </w:rPr>
            </w:pPr>
            <w:r w:rsidRPr="00177E3C">
              <w:rPr>
                <w:b/>
                <w:bCs/>
                <w:color w:val="17365D"/>
                <w:sz w:val="18"/>
                <w:szCs w:val="18"/>
                <w:lang w:eastAsia="lv-LV"/>
              </w:rPr>
              <w:t>Iepriekšējā pārskata periodā</w:t>
            </w:r>
          </w:p>
        </w:tc>
      </w:tr>
      <w:tr w:rsidR="002F41F2" w:rsidRPr="00177E3C" w14:paraId="5D876113" w14:textId="77777777" w:rsidTr="002F41F2">
        <w:trPr>
          <w:trHeight w:val="255"/>
          <w:tblHeader/>
          <w:jc w:val="center"/>
        </w:trPr>
        <w:tc>
          <w:tcPr>
            <w:tcW w:w="5954" w:type="dxa"/>
            <w:tcBorders>
              <w:top w:val="single" w:sz="4" w:space="0" w:color="17365D"/>
              <w:bottom w:val="single" w:sz="4" w:space="0" w:color="17365D"/>
            </w:tcBorders>
            <w:shd w:val="clear" w:color="auto" w:fill="auto"/>
            <w:vAlign w:val="center"/>
            <w:hideMark/>
          </w:tcPr>
          <w:p w14:paraId="3DA2C5A7" w14:textId="77777777" w:rsidR="002F41F2" w:rsidRPr="00177E3C" w:rsidRDefault="002F41F2" w:rsidP="00340FCF">
            <w:pPr>
              <w:spacing w:after="0" w:line="240" w:lineRule="auto"/>
              <w:jc w:val="center"/>
              <w:rPr>
                <w:b/>
                <w:bCs/>
                <w:color w:val="17365D"/>
                <w:sz w:val="18"/>
                <w:szCs w:val="18"/>
                <w:lang w:eastAsia="lv-LV"/>
              </w:rPr>
            </w:pPr>
            <w:r w:rsidRPr="00177E3C">
              <w:rPr>
                <w:b/>
                <w:bCs/>
                <w:color w:val="17365D"/>
                <w:sz w:val="18"/>
                <w:szCs w:val="18"/>
                <w:lang w:eastAsia="lv-LV"/>
              </w:rPr>
              <w:t>A</w:t>
            </w:r>
          </w:p>
        </w:tc>
        <w:tc>
          <w:tcPr>
            <w:tcW w:w="1965" w:type="dxa"/>
            <w:tcBorders>
              <w:top w:val="single" w:sz="4" w:space="0" w:color="17365D"/>
              <w:bottom w:val="single" w:sz="4" w:space="0" w:color="17365D"/>
            </w:tcBorders>
            <w:shd w:val="clear" w:color="auto" w:fill="auto"/>
            <w:vAlign w:val="center"/>
            <w:hideMark/>
          </w:tcPr>
          <w:p w14:paraId="207D6FA1" w14:textId="77777777" w:rsidR="002F41F2" w:rsidRPr="00177E3C" w:rsidRDefault="002F41F2" w:rsidP="00340FCF">
            <w:pPr>
              <w:spacing w:after="0" w:line="240" w:lineRule="auto"/>
              <w:jc w:val="center"/>
              <w:rPr>
                <w:b/>
                <w:bCs/>
                <w:color w:val="17365D"/>
                <w:sz w:val="18"/>
                <w:szCs w:val="18"/>
                <w:lang w:eastAsia="lv-LV"/>
              </w:rPr>
            </w:pPr>
            <w:r w:rsidRPr="00177E3C">
              <w:rPr>
                <w:b/>
                <w:bCs/>
                <w:color w:val="17365D"/>
                <w:sz w:val="18"/>
                <w:szCs w:val="18"/>
                <w:lang w:eastAsia="lv-LV"/>
              </w:rPr>
              <w:t>1</w:t>
            </w:r>
          </w:p>
        </w:tc>
        <w:tc>
          <w:tcPr>
            <w:tcW w:w="1666" w:type="dxa"/>
            <w:tcBorders>
              <w:top w:val="single" w:sz="4" w:space="0" w:color="17365D"/>
              <w:bottom w:val="single" w:sz="4" w:space="0" w:color="17365D"/>
            </w:tcBorders>
            <w:vAlign w:val="center"/>
          </w:tcPr>
          <w:p w14:paraId="07302851" w14:textId="77777777" w:rsidR="002F41F2" w:rsidRPr="00177E3C" w:rsidRDefault="002F41F2" w:rsidP="00340FCF">
            <w:pPr>
              <w:spacing w:after="0" w:line="240" w:lineRule="auto"/>
              <w:jc w:val="center"/>
              <w:rPr>
                <w:b/>
                <w:bCs/>
                <w:color w:val="17365D"/>
                <w:sz w:val="18"/>
                <w:szCs w:val="18"/>
                <w:lang w:eastAsia="lv-LV"/>
              </w:rPr>
            </w:pPr>
            <w:r w:rsidRPr="00177E3C">
              <w:rPr>
                <w:b/>
                <w:bCs/>
                <w:color w:val="17365D"/>
                <w:sz w:val="18"/>
                <w:szCs w:val="18"/>
                <w:lang w:eastAsia="lv-LV"/>
              </w:rPr>
              <w:t>2</w:t>
            </w:r>
          </w:p>
        </w:tc>
      </w:tr>
      <w:tr w:rsidR="002F41F2" w:rsidRPr="00177E3C" w14:paraId="38F80926" w14:textId="77777777" w:rsidTr="002F41F2">
        <w:trPr>
          <w:trHeight w:val="255"/>
          <w:jc w:val="center"/>
        </w:trPr>
        <w:tc>
          <w:tcPr>
            <w:tcW w:w="5954" w:type="dxa"/>
            <w:tcBorders>
              <w:top w:val="single" w:sz="4" w:space="0" w:color="17365D"/>
              <w:bottom w:val="single" w:sz="4" w:space="0" w:color="17365D"/>
            </w:tcBorders>
            <w:shd w:val="clear" w:color="F2F2F2" w:fill="FFFFFF"/>
            <w:vAlign w:val="center"/>
          </w:tcPr>
          <w:p w14:paraId="2DA3F1D7" w14:textId="77777777" w:rsidR="002F41F2" w:rsidRPr="00177E3C" w:rsidRDefault="002F41F2" w:rsidP="00340FCF">
            <w:pPr>
              <w:spacing w:after="0" w:line="240" w:lineRule="auto"/>
              <w:rPr>
                <w:bCs/>
                <w:color w:val="17365D"/>
                <w:sz w:val="18"/>
                <w:szCs w:val="18"/>
                <w:lang w:eastAsia="lv-LV"/>
              </w:rPr>
            </w:pPr>
            <w:r w:rsidRPr="00177E3C">
              <w:rPr>
                <w:bCs/>
                <w:color w:val="17365D"/>
                <w:sz w:val="18"/>
                <w:szCs w:val="18"/>
                <w:lang w:eastAsia="lv-LV"/>
              </w:rPr>
              <w:t>Valsts bu</w:t>
            </w:r>
            <w:r>
              <w:rPr>
                <w:bCs/>
                <w:color w:val="17365D"/>
                <w:sz w:val="18"/>
                <w:szCs w:val="18"/>
                <w:lang w:eastAsia="lv-LV"/>
              </w:rPr>
              <w:t xml:space="preserve">džeta finanšu uzskaites izdevumi </w:t>
            </w:r>
            <w:proofErr w:type="spellStart"/>
            <w:r w:rsidRPr="00177E3C">
              <w:rPr>
                <w:bCs/>
                <w:color w:val="17365D"/>
                <w:sz w:val="18"/>
                <w:szCs w:val="18"/>
                <w:lang w:eastAsia="lv-LV"/>
              </w:rPr>
              <w:t>nefinanšu</w:t>
            </w:r>
            <w:proofErr w:type="spellEnd"/>
            <w:r w:rsidRPr="00177E3C">
              <w:rPr>
                <w:bCs/>
                <w:color w:val="17365D"/>
                <w:sz w:val="18"/>
                <w:szCs w:val="18"/>
                <w:lang w:eastAsia="lv-LV"/>
              </w:rPr>
              <w:t xml:space="preserve"> institūcijām</w:t>
            </w:r>
          </w:p>
        </w:tc>
        <w:tc>
          <w:tcPr>
            <w:tcW w:w="1965" w:type="dxa"/>
            <w:tcBorders>
              <w:top w:val="single" w:sz="4" w:space="0" w:color="17365D"/>
              <w:bottom w:val="single" w:sz="4" w:space="0" w:color="17365D"/>
            </w:tcBorders>
            <w:shd w:val="clear" w:color="F2F2F2" w:fill="FFFFFF"/>
            <w:vAlign w:val="center"/>
          </w:tcPr>
          <w:p w14:paraId="5800A3FE" w14:textId="77777777" w:rsidR="002F41F2" w:rsidRPr="00177E3C" w:rsidRDefault="002F41F2" w:rsidP="00340FCF">
            <w:pPr>
              <w:spacing w:after="0" w:line="240" w:lineRule="auto"/>
              <w:ind w:right="223"/>
              <w:jc w:val="right"/>
              <w:rPr>
                <w:bCs/>
                <w:color w:val="17365D"/>
                <w:sz w:val="18"/>
                <w:szCs w:val="18"/>
                <w:lang w:eastAsia="lv-LV"/>
              </w:rPr>
            </w:pPr>
            <w:r w:rsidRPr="00177E3C">
              <w:rPr>
                <w:bCs/>
                <w:color w:val="17365D"/>
                <w:sz w:val="18"/>
                <w:szCs w:val="18"/>
                <w:lang w:eastAsia="lv-LV"/>
              </w:rPr>
              <w:t>45 000</w:t>
            </w:r>
            <w:r w:rsidRPr="00177E3C">
              <w:rPr>
                <w:rFonts w:cs="Times New Roman"/>
                <w:color w:val="17365D"/>
                <w:sz w:val="18"/>
                <w:szCs w:val="18"/>
              </w:rPr>
              <w:t> </w:t>
            </w:r>
            <w:r w:rsidRPr="00177E3C">
              <w:rPr>
                <w:bCs/>
                <w:color w:val="17365D"/>
                <w:sz w:val="18"/>
                <w:szCs w:val="18"/>
                <w:lang w:eastAsia="lv-LV"/>
              </w:rPr>
              <w:t>000</w:t>
            </w:r>
          </w:p>
        </w:tc>
        <w:tc>
          <w:tcPr>
            <w:tcW w:w="1666" w:type="dxa"/>
            <w:tcBorders>
              <w:top w:val="single" w:sz="4" w:space="0" w:color="17365D"/>
              <w:bottom w:val="single" w:sz="4" w:space="0" w:color="17365D"/>
            </w:tcBorders>
            <w:shd w:val="clear" w:color="F2F2F2" w:fill="FFFFFF"/>
            <w:vAlign w:val="center"/>
          </w:tcPr>
          <w:p w14:paraId="2BA01FFD" w14:textId="77777777" w:rsidR="002F41F2" w:rsidRPr="00177E3C" w:rsidRDefault="002F41F2" w:rsidP="00340FCF">
            <w:pPr>
              <w:spacing w:after="0" w:line="240" w:lineRule="auto"/>
              <w:ind w:right="223"/>
              <w:jc w:val="right"/>
              <w:rPr>
                <w:bCs/>
                <w:color w:val="17365D"/>
                <w:sz w:val="18"/>
                <w:szCs w:val="18"/>
                <w:lang w:eastAsia="lv-LV"/>
              </w:rPr>
            </w:pPr>
            <w:r>
              <w:rPr>
                <w:bCs/>
                <w:color w:val="17365D"/>
                <w:sz w:val="18"/>
                <w:szCs w:val="18"/>
                <w:lang w:eastAsia="lv-LV"/>
              </w:rPr>
              <w:t>0</w:t>
            </w:r>
          </w:p>
        </w:tc>
      </w:tr>
      <w:tr w:rsidR="002F41F2" w:rsidRPr="00177E3C" w14:paraId="233791C3" w14:textId="77777777" w:rsidTr="002F41F2">
        <w:trPr>
          <w:trHeight w:val="255"/>
          <w:jc w:val="center"/>
        </w:trPr>
        <w:tc>
          <w:tcPr>
            <w:tcW w:w="5954" w:type="dxa"/>
            <w:tcBorders>
              <w:top w:val="single" w:sz="4" w:space="0" w:color="17365D"/>
              <w:bottom w:val="nil"/>
            </w:tcBorders>
            <w:shd w:val="clear" w:color="auto" w:fill="B8CCE4" w:themeFill="accent1" w:themeFillTint="66"/>
            <w:vAlign w:val="center"/>
            <w:hideMark/>
          </w:tcPr>
          <w:p w14:paraId="1E83C149" w14:textId="77777777" w:rsidR="002F41F2" w:rsidRPr="00177E3C" w:rsidRDefault="002F41F2" w:rsidP="00340FCF">
            <w:pPr>
              <w:spacing w:after="0" w:line="240" w:lineRule="auto"/>
              <w:rPr>
                <w:bCs/>
                <w:color w:val="17365D"/>
                <w:sz w:val="18"/>
                <w:szCs w:val="18"/>
                <w:lang w:eastAsia="lv-LV"/>
              </w:rPr>
            </w:pPr>
            <w:r w:rsidRPr="00177E3C">
              <w:rPr>
                <w:b/>
                <w:bCs/>
                <w:color w:val="17365D"/>
                <w:sz w:val="18"/>
                <w:szCs w:val="18"/>
                <w:lang w:eastAsia="lv-LV"/>
              </w:rPr>
              <w:t>Kopā</w:t>
            </w:r>
          </w:p>
        </w:tc>
        <w:tc>
          <w:tcPr>
            <w:tcW w:w="1965" w:type="dxa"/>
            <w:tcBorders>
              <w:top w:val="single" w:sz="4" w:space="0" w:color="17365D"/>
              <w:bottom w:val="nil"/>
            </w:tcBorders>
            <w:shd w:val="clear" w:color="auto" w:fill="B8CCE4" w:themeFill="accent1" w:themeFillTint="66"/>
            <w:vAlign w:val="center"/>
            <w:hideMark/>
          </w:tcPr>
          <w:p w14:paraId="321563D7" w14:textId="77777777" w:rsidR="002F41F2" w:rsidRPr="00177E3C" w:rsidRDefault="002F41F2" w:rsidP="00340FCF">
            <w:pPr>
              <w:spacing w:after="0" w:line="240" w:lineRule="auto"/>
              <w:ind w:right="223"/>
              <w:jc w:val="right"/>
              <w:rPr>
                <w:bCs/>
                <w:color w:val="17365D"/>
                <w:sz w:val="18"/>
                <w:szCs w:val="18"/>
                <w:lang w:eastAsia="lv-LV"/>
              </w:rPr>
            </w:pPr>
            <w:r w:rsidRPr="00177E3C">
              <w:rPr>
                <w:b/>
                <w:bCs/>
                <w:color w:val="17365D"/>
                <w:sz w:val="18"/>
                <w:szCs w:val="18"/>
                <w:lang w:eastAsia="lv-LV"/>
              </w:rPr>
              <w:t>45 000 000</w:t>
            </w:r>
          </w:p>
        </w:tc>
        <w:tc>
          <w:tcPr>
            <w:tcW w:w="1666" w:type="dxa"/>
            <w:tcBorders>
              <w:top w:val="single" w:sz="4" w:space="0" w:color="17365D"/>
              <w:bottom w:val="nil"/>
            </w:tcBorders>
            <w:shd w:val="clear" w:color="auto" w:fill="B8CCE4" w:themeFill="accent1" w:themeFillTint="66"/>
            <w:vAlign w:val="center"/>
          </w:tcPr>
          <w:p w14:paraId="79A3FD41" w14:textId="77777777" w:rsidR="002F41F2" w:rsidRPr="00177E3C" w:rsidRDefault="002F41F2" w:rsidP="00340FCF">
            <w:pPr>
              <w:spacing w:after="0" w:line="240" w:lineRule="auto"/>
              <w:ind w:right="223"/>
              <w:jc w:val="right"/>
              <w:rPr>
                <w:bCs/>
                <w:color w:val="17365D"/>
                <w:sz w:val="18"/>
                <w:szCs w:val="18"/>
                <w:lang w:eastAsia="lv-LV"/>
              </w:rPr>
            </w:pPr>
            <w:r>
              <w:rPr>
                <w:b/>
                <w:bCs/>
                <w:color w:val="17365D"/>
                <w:sz w:val="18"/>
                <w:szCs w:val="18"/>
                <w:lang w:eastAsia="lv-LV"/>
              </w:rPr>
              <w:t>0</w:t>
            </w:r>
          </w:p>
        </w:tc>
      </w:tr>
    </w:tbl>
    <w:p w14:paraId="12CD8EDD" w14:textId="77777777" w:rsidR="00441D3E" w:rsidRPr="00177E3C" w:rsidRDefault="00441D3E" w:rsidP="00FB11FC">
      <w:pPr>
        <w:pStyle w:val="Pamatteksts1"/>
        <w:ind w:firstLine="284"/>
        <w:rPr>
          <w:rFonts w:cstheme="minorBidi"/>
        </w:rPr>
      </w:pPr>
    </w:p>
    <w:p w14:paraId="0C439457" w14:textId="77777777" w:rsidR="00FB11FC" w:rsidRPr="005F47C7" w:rsidRDefault="00FB11FC" w:rsidP="005F47C7">
      <w:pPr>
        <w:pStyle w:val="Pamatteksts1"/>
      </w:pPr>
      <w:r w:rsidRPr="005F47C7">
        <w:t xml:space="preserve">Informācija par valsts budžeta iestāžu naudas plūsmas ieņēmumiem un izdevumiem atklāta konsolidētā saimnieciskā gada pārskata 6. – 11. tabulā. </w:t>
      </w:r>
    </w:p>
    <w:p w14:paraId="179E9367" w14:textId="77777777" w:rsidR="00FB11FC" w:rsidRPr="005F47C7" w:rsidRDefault="00FB11FC" w:rsidP="005F47C7">
      <w:pPr>
        <w:pStyle w:val="Pamatteksts1"/>
      </w:pPr>
      <w:r w:rsidRPr="005F47C7">
        <w:t xml:space="preserve">Informācija par pašvaldību budžeta iestāžu naudas plūsmas ieņēmumiem un izdevumiem atklāta </w:t>
      </w:r>
      <w:proofErr w:type="spellStart"/>
      <w:r w:rsidRPr="005F47C7">
        <w:t>konoslidētā</w:t>
      </w:r>
      <w:proofErr w:type="spellEnd"/>
      <w:r w:rsidRPr="005F47C7">
        <w:t xml:space="preserve"> saimnieciskā gada pārskata 20. – 22. tabulā.</w:t>
      </w:r>
    </w:p>
    <w:p w14:paraId="3989A4AE" w14:textId="77777777" w:rsidR="00FB11FC" w:rsidRPr="00177E3C" w:rsidRDefault="00FB11FC" w:rsidP="00FB11FC">
      <w:pPr>
        <w:pStyle w:val="Heading3"/>
      </w:pPr>
      <w:r w:rsidRPr="00177E3C">
        <w:t>Naudas līdzekļu plūsma no piesaistītajiem līdzekļiem</w:t>
      </w:r>
    </w:p>
    <w:p w14:paraId="707F89A0" w14:textId="6E17AB43" w:rsidR="00FB11FC" w:rsidRPr="00177E3C" w:rsidRDefault="00FB11FC" w:rsidP="00FB11FC">
      <w:pPr>
        <w:pStyle w:val="Tabulasnosaukums"/>
        <w:spacing w:before="120"/>
        <w:rPr>
          <w:color w:val="17365D"/>
          <w:szCs w:val="20"/>
        </w:rPr>
      </w:pPr>
      <w:r w:rsidRPr="00177E3C">
        <w:rPr>
          <w:rFonts w:eastAsia="Arial Unicode MS"/>
          <w:color w:val="17365D"/>
          <w:szCs w:val="20"/>
        </w:rPr>
        <w:t>3.</w:t>
      </w:r>
      <w:r w:rsidR="00A3678F">
        <w:rPr>
          <w:rFonts w:eastAsia="Arial Unicode MS"/>
          <w:color w:val="17365D"/>
          <w:szCs w:val="20"/>
        </w:rPr>
        <w:t>10</w:t>
      </w:r>
      <w:r w:rsidRPr="00177E3C">
        <w:rPr>
          <w:rFonts w:eastAsia="Arial Unicode MS"/>
          <w:color w:val="17365D"/>
          <w:szCs w:val="20"/>
        </w:rPr>
        <w:t>. tabula. NP.DBD</w:t>
      </w:r>
      <w:r w:rsidR="00D921E0">
        <w:rPr>
          <w:rFonts w:eastAsia="Arial Unicode MS"/>
          <w:color w:val="17365D"/>
          <w:szCs w:val="20"/>
        </w:rPr>
        <w:t>.</w:t>
      </w:r>
      <w:r w:rsidRPr="00177E3C">
        <w:rPr>
          <w:rFonts w:eastAsia="Arial Unicode MS"/>
          <w:color w:val="17365D"/>
          <w:szCs w:val="20"/>
        </w:rPr>
        <w:t xml:space="preserve"> Piesaistītie naudas līdzekļi</w:t>
      </w:r>
      <w:r w:rsidRPr="00177E3C">
        <w:rPr>
          <w:bCs/>
          <w:color w:val="17365D"/>
          <w:szCs w:val="20"/>
        </w:rPr>
        <w:t xml:space="preserve"> (</w:t>
      </w:r>
      <w:r w:rsidRPr="00177E3C">
        <w:rPr>
          <w:color w:val="17365D"/>
          <w:szCs w:val="20"/>
        </w:rPr>
        <w:t>euro)</w:t>
      </w:r>
    </w:p>
    <w:tbl>
      <w:tblPr>
        <w:tblW w:w="9531" w:type="dxa"/>
        <w:tblLayout w:type="fixed"/>
        <w:tblLook w:val="04A0" w:firstRow="1" w:lastRow="0" w:firstColumn="1" w:lastColumn="0" w:noHBand="0" w:noVBand="1"/>
      </w:tblPr>
      <w:tblGrid>
        <w:gridCol w:w="2977"/>
        <w:gridCol w:w="992"/>
        <w:gridCol w:w="1413"/>
        <w:gridCol w:w="1418"/>
        <w:gridCol w:w="1559"/>
        <w:gridCol w:w="1172"/>
      </w:tblGrid>
      <w:tr w:rsidR="00FB11FC" w:rsidRPr="00177E3C" w14:paraId="29D1574D" w14:textId="77777777" w:rsidTr="002F41F2">
        <w:trPr>
          <w:trHeight w:val="767"/>
          <w:tblHeader/>
        </w:trPr>
        <w:tc>
          <w:tcPr>
            <w:tcW w:w="2977" w:type="dxa"/>
            <w:tcBorders>
              <w:bottom w:val="single" w:sz="4" w:space="0" w:color="17365D"/>
            </w:tcBorders>
            <w:shd w:val="clear" w:color="auto" w:fill="B9CDE5"/>
            <w:vAlign w:val="center"/>
            <w:hideMark/>
          </w:tcPr>
          <w:p w14:paraId="67CFC28C" w14:textId="0824B1A3" w:rsidR="00FB11FC" w:rsidRPr="00177E3C" w:rsidRDefault="00104640" w:rsidP="00C7199B">
            <w:pPr>
              <w:spacing w:after="0" w:line="240" w:lineRule="auto"/>
              <w:jc w:val="center"/>
              <w:rPr>
                <w:b/>
                <w:color w:val="17365D"/>
                <w:sz w:val="18"/>
                <w:szCs w:val="18"/>
                <w:lang w:eastAsia="lv-LV"/>
              </w:rPr>
            </w:pPr>
            <w:r>
              <w:rPr>
                <w:rFonts w:eastAsia="Times New Roman" w:cs="Times New Roman"/>
                <w:b/>
                <w:bCs/>
                <w:color w:val="17365D"/>
                <w:sz w:val="18"/>
                <w:szCs w:val="18"/>
                <w:lang w:eastAsia="lv-LV"/>
              </w:rPr>
              <w:t>Posteņa nosaukums</w:t>
            </w:r>
          </w:p>
        </w:tc>
        <w:tc>
          <w:tcPr>
            <w:tcW w:w="992" w:type="dxa"/>
            <w:tcBorders>
              <w:bottom w:val="single" w:sz="4" w:space="0" w:color="17365D"/>
            </w:tcBorders>
            <w:shd w:val="clear" w:color="auto" w:fill="B9CDE5"/>
            <w:vAlign w:val="center"/>
          </w:tcPr>
          <w:p w14:paraId="286765C7" w14:textId="77777777" w:rsidR="00FB11FC" w:rsidRPr="00177E3C" w:rsidRDefault="00FB11FC" w:rsidP="00C7199B">
            <w:pPr>
              <w:spacing w:after="0" w:line="240" w:lineRule="auto"/>
              <w:jc w:val="center"/>
              <w:rPr>
                <w:b/>
                <w:color w:val="17365D"/>
                <w:sz w:val="18"/>
                <w:szCs w:val="18"/>
                <w:lang w:eastAsia="lv-LV"/>
              </w:rPr>
            </w:pPr>
            <w:r w:rsidRPr="00177E3C">
              <w:rPr>
                <w:b/>
                <w:color w:val="17365D"/>
                <w:sz w:val="18"/>
                <w:szCs w:val="18"/>
                <w:lang w:eastAsia="lv-LV"/>
              </w:rPr>
              <w:t>Piezīmes Nr.</w:t>
            </w:r>
          </w:p>
        </w:tc>
        <w:tc>
          <w:tcPr>
            <w:tcW w:w="1413" w:type="dxa"/>
            <w:tcBorders>
              <w:bottom w:val="single" w:sz="4" w:space="0" w:color="17365D"/>
            </w:tcBorders>
            <w:shd w:val="clear" w:color="auto" w:fill="B9CDE5"/>
            <w:vAlign w:val="center"/>
          </w:tcPr>
          <w:p w14:paraId="21B852DE" w14:textId="77777777" w:rsidR="00FB11FC" w:rsidRPr="00177E3C" w:rsidRDefault="00FB11FC" w:rsidP="00C7199B">
            <w:pPr>
              <w:spacing w:after="0" w:line="240" w:lineRule="auto"/>
              <w:jc w:val="center"/>
              <w:rPr>
                <w:b/>
                <w:color w:val="17365D"/>
                <w:sz w:val="18"/>
                <w:szCs w:val="18"/>
                <w:lang w:eastAsia="lv-LV"/>
              </w:rPr>
            </w:pPr>
            <w:r w:rsidRPr="00177E3C">
              <w:rPr>
                <w:b/>
                <w:color w:val="17365D"/>
                <w:sz w:val="18"/>
                <w:szCs w:val="18"/>
                <w:lang w:eastAsia="lv-LV"/>
              </w:rPr>
              <w:t>Pārskata periods</w:t>
            </w:r>
          </w:p>
        </w:tc>
        <w:tc>
          <w:tcPr>
            <w:tcW w:w="1418" w:type="dxa"/>
            <w:tcBorders>
              <w:bottom w:val="single" w:sz="4" w:space="0" w:color="17365D"/>
            </w:tcBorders>
            <w:shd w:val="clear" w:color="auto" w:fill="B9CDE5"/>
            <w:vAlign w:val="center"/>
          </w:tcPr>
          <w:p w14:paraId="374FE4BE" w14:textId="77777777" w:rsidR="00FB11FC" w:rsidRPr="00177E3C" w:rsidRDefault="00FB11FC" w:rsidP="00C7199B">
            <w:pPr>
              <w:spacing w:after="0" w:line="240" w:lineRule="auto"/>
              <w:jc w:val="center"/>
              <w:rPr>
                <w:b/>
                <w:color w:val="17365D"/>
                <w:sz w:val="18"/>
                <w:szCs w:val="18"/>
                <w:lang w:eastAsia="lv-LV"/>
              </w:rPr>
            </w:pPr>
            <w:r w:rsidRPr="00177E3C">
              <w:rPr>
                <w:b/>
                <w:color w:val="17365D"/>
                <w:sz w:val="18"/>
                <w:szCs w:val="18"/>
                <w:lang w:eastAsia="lv-LV"/>
              </w:rPr>
              <w:t>Iepriekšējais pārskata periods</w:t>
            </w:r>
          </w:p>
        </w:tc>
        <w:tc>
          <w:tcPr>
            <w:tcW w:w="1559" w:type="dxa"/>
            <w:tcBorders>
              <w:bottom w:val="single" w:sz="4" w:space="0" w:color="17365D"/>
            </w:tcBorders>
            <w:shd w:val="clear" w:color="auto" w:fill="B9CDE5"/>
            <w:vAlign w:val="center"/>
          </w:tcPr>
          <w:p w14:paraId="0F071B8D" w14:textId="77777777" w:rsidR="00FB11FC" w:rsidRPr="00177E3C" w:rsidRDefault="00FB11FC" w:rsidP="00C7199B">
            <w:pPr>
              <w:spacing w:after="0" w:line="240" w:lineRule="auto"/>
              <w:ind w:left="-107" w:right="-109"/>
              <w:jc w:val="center"/>
              <w:rPr>
                <w:b/>
                <w:color w:val="17365D"/>
                <w:sz w:val="18"/>
                <w:szCs w:val="18"/>
                <w:lang w:eastAsia="lv-LV"/>
              </w:rPr>
            </w:pPr>
            <w:r w:rsidRPr="00177E3C">
              <w:rPr>
                <w:b/>
                <w:color w:val="17365D"/>
                <w:sz w:val="18"/>
                <w:szCs w:val="18"/>
                <w:lang w:eastAsia="lv-LV"/>
              </w:rPr>
              <w:t>Palielinājums (+), samazinājums (–) (1. – 2.)</w:t>
            </w:r>
          </w:p>
        </w:tc>
        <w:tc>
          <w:tcPr>
            <w:tcW w:w="1172" w:type="dxa"/>
            <w:tcBorders>
              <w:bottom w:val="single" w:sz="4" w:space="0" w:color="17365D"/>
            </w:tcBorders>
            <w:shd w:val="clear" w:color="auto" w:fill="B9CDE5"/>
            <w:vAlign w:val="center"/>
          </w:tcPr>
          <w:p w14:paraId="1EB8B17D" w14:textId="77777777" w:rsidR="00FB11FC" w:rsidRPr="00177E3C" w:rsidRDefault="00FB11FC" w:rsidP="00C7199B">
            <w:pPr>
              <w:spacing w:after="0" w:line="240" w:lineRule="auto"/>
              <w:ind w:left="-107" w:right="-109"/>
              <w:jc w:val="center"/>
              <w:rPr>
                <w:b/>
                <w:color w:val="17365D"/>
                <w:sz w:val="18"/>
                <w:szCs w:val="18"/>
                <w:lang w:eastAsia="lv-LV"/>
              </w:rPr>
            </w:pPr>
            <w:r w:rsidRPr="00177E3C">
              <w:rPr>
                <w:b/>
                <w:color w:val="17365D"/>
                <w:sz w:val="18"/>
                <w:szCs w:val="18"/>
                <w:lang w:eastAsia="lv-LV"/>
              </w:rPr>
              <w:t xml:space="preserve">Procentuālās izmaiņas </w:t>
            </w:r>
          </w:p>
          <w:p w14:paraId="2E7DC3E8" w14:textId="77777777" w:rsidR="00FB11FC" w:rsidRPr="00177E3C" w:rsidRDefault="00FB11FC" w:rsidP="00C7199B">
            <w:pPr>
              <w:spacing w:after="0" w:line="240" w:lineRule="auto"/>
              <w:ind w:left="-107" w:right="-109"/>
              <w:jc w:val="center"/>
              <w:rPr>
                <w:b/>
                <w:color w:val="17365D"/>
                <w:sz w:val="18"/>
                <w:szCs w:val="18"/>
                <w:lang w:eastAsia="lv-LV"/>
              </w:rPr>
            </w:pPr>
            <w:r w:rsidRPr="00177E3C">
              <w:rPr>
                <w:b/>
                <w:color w:val="17365D"/>
                <w:sz w:val="18"/>
                <w:szCs w:val="18"/>
                <w:lang w:eastAsia="lv-LV"/>
              </w:rPr>
              <w:t>(3. / 2. x 100)</w:t>
            </w:r>
          </w:p>
        </w:tc>
      </w:tr>
      <w:tr w:rsidR="00FB11FC" w:rsidRPr="00177E3C" w14:paraId="3F64828E" w14:textId="77777777" w:rsidTr="00793519">
        <w:trPr>
          <w:trHeight w:val="63"/>
          <w:tblHeader/>
        </w:trPr>
        <w:tc>
          <w:tcPr>
            <w:tcW w:w="2977" w:type="dxa"/>
            <w:tcBorders>
              <w:top w:val="single" w:sz="4" w:space="0" w:color="17365D"/>
              <w:bottom w:val="single" w:sz="4" w:space="0" w:color="17365D"/>
            </w:tcBorders>
            <w:shd w:val="clear" w:color="auto" w:fill="auto"/>
            <w:vAlign w:val="center"/>
          </w:tcPr>
          <w:p w14:paraId="5F0EEB67" w14:textId="77777777" w:rsidR="00FB11FC" w:rsidRPr="00177E3C" w:rsidRDefault="00FB11FC" w:rsidP="00C7199B">
            <w:pPr>
              <w:spacing w:after="0" w:line="240" w:lineRule="auto"/>
              <w:jc w:val="center"/>
              <w:rPr>
                <w:b/>
                <w:color w:val="17365D"/>
                <w:sz w:val="18"/>
                <w:szCs w:val="18"/>
              </w:rPr>
            </w:pPr>
            <w:r w:rsidRPr="00177E3C">
              <w:rPr>
                <w:b/>
                <w:color w:val="17365D"/>
                <w:sz w:val="18"/>
                <w:szCs w:val="18"/>
              </w:rPr>
              <w:t>A</w:t>
            </w:r>
          </w:p>
        </w:tc>
        <w:tc>
          <w:tcPr>
            <w:tcW w:w="992" w:type="dxa"/>
            <w:tcBorders>
              <w:top w:val="single" w:sz="4" w:space="0" w:color="17365D"/>
              <w:bottom w:val="single" w:sz="4" w:space="0" w:color="17365D"/>
            </w:tcBorders>
            <w:shd w:val="clear" w:color="auto" w:fill="auto"/>
            <w:vAlign w:val="center"/>
          </w:tcPr>
          <w:p w14:paraId="5A69C4BA" w14:textId="77777777" w:rsidR="00FB11FC" w:rsidRPr="00177E3C" w:rsidRDefault="00FB11FC" w:rsidP="00C7199B">
            <w:pPr>
              <w:spacing w:after="0" w:line="240" w:lineRule="auto"/>
              <w:jc w:val="center"/>
              <w:rPr>
                <w:b/>
                <w:color w:val="17365D"/>
                <w:sz w:val="18"/>
                <w:szCs w:val="18"/>
              </w:rPr>
            </w:pPr>
            <w:r w:rsidRPr="00177E3C">
              <w:rPr>
                <w:b/>
                <w:color w:val="17365D"/>
                <w:sz w:val="18"/>
                <w:szCs w:val="18"/>
              </w:rPr>
              <w:t>B</w:t>
            </w:r>
          </w:p>
        </w:tc>
        <w:tc>
          <w:tcPr>
            <w:tcW w:w="1413" w:type="dxa"/>
            <w:tcBorders>
              <w:top w:val="single" w:sz="4" w:space="0" w:color="17365D"/>
              <w:bottom w:val="single" w:sz="4" w:space="0" w:color="17365D"/>
            </w:tcBorders>
            <w:shd w:val="clear" w:color="auto" w:fill="auto"/>
            <w:vAlign w:val="center"/>
          </w:tcPr>
          <w:p w14:paraId="26AD0C82" w14:textId="77777777" w:rsidR="00FB11FC" w:rsidRPr="00177E3C" w:rsidRDefault="00FB11FC" w:rsidP="00C7199B">
            <w:pPr>
              <w:spacing w:after="0" w:line="240" w:lineRule="auto"/>
              <w:jc w:val="center"/>
              <w:rPr>
                <w:b/>
                <w:color w:val="17365D"/>
                <w:sz w:val="18"/>
                <w:szCs w:val="18"/>
              </w:rPr>
            </w:pPr>
            <w:r w:rsidRPr="00177E3C">
              <w:rPr>
                <w:b/>
                <w:color w:val="17365D"/>
                <w:sz w:val="18"/>
                <w:szCs w:val="18"/>
              </w:rPr>
              <w:t>1</w:t>
            </w:r>
          </w:p>
        </w:tc>
        <w:tc>
          <w:tcPr>
            <w:tcW w:w="1418" w:type="dxa"/>
            <w:tcBorders>
              <w:top w:val="single" w:sz="4" w:space="0" w:color="17365D"/>
              <w:bottom w:val="single" w:sz="4" w:space="0" w:color="17365D"/>
            </w:tcBorders>
            <w:shd w:val="clear" w:color="auto" w:fill="auto"/>
            <w:vAlign w:val="center"/>
          </w:tcPr>
          <w:p w14:paraId="57C59125" w14:textId="77777777" w:rsidR="00FB11FC" w:rsidRPr="00177E3C" w:rsidRDefault="00FB11FC" w:rsidP="00C7199B">
            <w:pPr>
              <w:spacing w:after="0" w:line="240" w:lineRule="auto"/>
              <w:jc w:val="center"/>
              <w:rPr>
                <w:b/>
                <w:color w:val="17365D"/>
                <w:sz w:val="18"/>
                <w:szCs w:val="18"/>
              </w:rPr>
            </w:pPr>
            <w:r w:rsidRPr="00177E3C">
              <w:rPr>
                <w:b/>
                <w:color w:val="17365D"/>
                <w:sz w:val="18"/>
                <w:szCs w:val="18"/>
              </w:rPr>
              <w:t>2</w:t>
            </w:r>
          </w:p>
        </w:tc>
        <w:tc>
          <w:tcPr>
            <w:tcW w:w="1559" w:type="dxa"/>
            <w:tcBorders>
              <w:top w:val="single" w:sz="4" w:space="0" w:color="17365D"/>
              <w:bottom w:val="single" w:sz="4" w:space="0" w:color="17365D"/>
            </w:tcBorders>
            <w:shd w:val="clear" w:color="auto" w:fill="auto"/>
            <w:vAlign w:val="center"/>
          </w:tcPr>
          <w:p w14:paraId="515E21F1" w14:textId="77777777" w:rsidR="00FB11FC" w:rsidRPr="00177E3C" w:rsidRDefault="00FB11FC" w:rsidP="00C7199B">
            <w:pPr>
              <w:spacing w:after="0" w:line="240" w:lineRule="auto"/>
              <w:jc w:val="center"/>
              <w:rPr>
                <w:b/>
                <w:color w:val="17365D"/>
                <w:sz w:val="18"/>
                <w:szCs w:val="18"/>
              </w:rPr>
            </w:pPr>
            <w:r w:rsidRPr="00177E3C">
              <w:rPr>
                <w:b/>
                <w:color w:val="17365D"/>
                <w:sz w:val="18"/>
                <w:szCs w:val="18"/>
              </w:rPr>
              <w:t>3</w:t>
            </w:r>
          </w:p>
        </w:tc>
        <w:tc>
          <w:tcPr>
            <w:tcW w:w="1172" w:type="dxa"/>
            <w:tcBorders>
              <w:top w:val="single" w:sz="4" w:space="0" w:color="17365D"/>
              <w:bottom w:val="single" w:sz="4" w:space="0" w:color="17365D"/>
            </w:tcBorders>
            <w:shd w:val="clear" w:color="auto" w:fill="auto"/>
            <w:vAlign w:val="center"/>
          </w:tcPr>
          <w:p w14:paraId="2348EACD" w14:textId="77777777" w:rsidR="00FB11FC" w:rsidRPr="00177E3C" w:rsidRDefault="00FB11FC" w:rsidP="00C7199B">
            <w:pPr>
              <w:spacing w:after="0" w:line="240" w:lineRule="auto"/>
              <w:jc w:val="center"/>
              <w:rPr>
                <w:b/>
                <w:color w:val="17365D"/>
                <w:sz w:val="18"/>
                <w:szCs w:val="18"/>
              </w:rPr>
            </w:pPr>
            <w:r w:rsidRPr="00177E3C">
              <w:rPr>
                <w:b/>
                <w:color w:val="17365D"/>
                <w:sz w:val="18"/>
                <w:szCs w:val="18"/>
              </w:rPr>
              <w:t>4</w:t>
            </w:r>
          </w:p>
        </w:tc>
      </w:tr>
      <w:tr w:rsidR="00FB11FC" w:rsidRPr="00177E3C" w14:paraId="14BE4167" w14:textId="77777777" w:rsidTr="00793519">
        <w:trPr>
          <w:trHeight w:val="272"/>
        </w:trPr>
        <w:tc>
          <w:tcPr>
            <w:tcW w:w="2977" w:type="dxa"/>
            <w:tcBorders>
              <w:top w:val="single" w:sz="4" w:space="0" w:color="17365D"/>
              <w:bottom w:val="single" w:sz="4" w:space="0" w:color="17365D"/>
            </w:tcBorders>
            <w:shd w:val="clear" w:color="auto" w:fill="auto"/>
            <w:vAlign w:val="center"/>
          </w:tcPr>
          <w:p w14:paraId="0DF15163" w14:textId="77777777" w:rsidR="00FB11FC" w:rsidRPr="00177E3C" w:rsidRDefault="00FB11FC" w:rsidP="00C7199B">
            <w:pPr>
              <w:spacing w:after="0" w:line="240" w:lineRule="auto"/>
              <w:rPr>
                <w:color w:val="17365D"/>
                <w:sz w:val="18"/>
                <w:szCs w:val="18"/>
              </w:rPr>
            </w:pPr>
            <w:r w:rsidRPr="00177E3C">
              <w:rPr>
                <w:color w:val="17365D"/>
                <w:sz w:val="18"/>
                <w:szCs w:val="18"/>
              </w:rPr>
              <w:t xml:space="preserve">Naudas līdzekļu plūsma no piesaistītajiem līdzekļiem </w:t>
            </w:r>
          </w:p>
        </w:tc>
        <w:tc>
          <w:tcPr>
            <w:tcW w:w="992" w:type="dxa"/>
            <w:tcBorders>
              <w:top w:val="single" w:sz="4" w:space="0" w:color="17365D"/>
              <w:bottom w:val="single" w:sz="4" w:space="0" w:color="17365D"/>
            </w:tcBorders>
            <w:shd w:val="clear" w:color="auto" w:fill="auto"/>
            <w:vAlign w:val="center"/>
          </w:tcPr>
          <w:p w14:paraId="7DCC0799" w14:textId="2B355C46" w:rsidR="00FB11FC" w:rsidRPr="00177E3C" w:rsidRDefault="00FB11FC" w:rsidP="00C7199B">
            <w:pPr>
              <w:spacing w:after="0" w:line="240" w:lineRule="auto"/>
              <w:jc w:val="center"/>
              <w:rPr>
                <w:color w:val="17365D"/>
                <w:sz w:val="18"/>
                <w:szCs w:val="18"/>
                <w:lang w:val="en-GB"/>
              </w:rPr>
            </w:pPr>
            <w:r w:rsidRPr="00177E3C">
              <w:rPr>
                <w:color w:val="17365D"/>
                <w:sz w:val="18"/>
                <w:szCs w:val="18"/>
                <w:lang w:val="en-GB"/>
              </w:rPr>
              <w:t>NP.D</w:t>
            </w:r>
            <w:r w:rsidR="006E6B94">
              <w:rPr>
                <w:color w:val="17365D"/>
                <w:sz w:val="18"/>
                <w:szCs w:val="18"/>
                <w:lang w:val="en-GB"/>
              </w:rPr>
              <w:t>.</w:t>
            </w:r>
          </w:p>
        </w:tc>
        <w:tc>
          <w:tcPr>
            <w:tcW w:w="1413" w:type="dxa"/>
            <w:tcBorders>
              <w:top w:val="single" w:sz="4" w:space="0" w:color="17365D"/>
              <w:bottom w:val="single" w:sz="4" w:space="0" w:color="17365D"/>
            </w:tcBorders>
            <w:shd w:val="clear" w:color="auto" w:fill="auto"/>
            <w:vAlign w:val="center"/>
          </w:tcPr>
          <w:p w14:paraId="174C611C" w14:textId="77777777" w:rsidR="00FB11FC" w:rsidRPr="00177E3C" w:rsidRDefault="00FB11FC" w:rsidP="00C7199B">
            <w:pPr>
              <w:spacing w:after="0" w:line="240" w:lineRule="auto"/>
              <w:jc w:val="right"/>
              <w:rPr>
                <w:bCs/>
                <w:color w:val="17365D"/>
                <w:sz w:val="18"/>
                <w:szCs w:val="18"/>
              </w:rPr>
            </w:pPr>
            <w:r w:rsidRPr="00177E3C">
              <w:rPr>
                <w:bCs/>
                <w:color w:val="17365D"/>
                <w:sz w:val="18"/>
                <w:szCs w:val="18"/>
              </w:rPr>
              <w:t>-43 341 170</w:t>
            </w:r>
          </w:p>
        </w:tc>
        <w:tc>
          <w:tcPr>
            <w:tcW w:w="1418" w:type="dxa"/>
            <w:tcBorders>
              <w:top w:val="single" w:sz="4" w:space="0" w:color="17365D"/>
              <w:bottom w:val="single" w:sz="4" w:space="0" w:color="17365D"/>
            </w:tcBorders>
            <w:shd w:val="clear" w:color="auto" w:fill="auto"/>
            <w:vAlign w:val="center"/>
          </w:tcPr>
          <w:p w14:paraId="683631A2" w14:textId="77777777" w:rsidR="00FB11FC" w:rsidRPr="00177E3C" w:rsidRDefault="00FB11FC" w:rsidP="00C7199B">
            <w:pPr>
              <w:spacing w:after="0" w:line="240" w:lineRule="auto"/>
              <w:jc w:val="right"/>
              <w:rPr>
                <w:bCs/>
                <w:color w:val="17365D"/>
                <w:sz w:val="18"/>
                <w:szCs w:val="18"/>
              </w:rPr>
            </w:pPr>
            <w:r w:rsidRPr="00177E3C">
              <w:rPr>
                <w:bCs/>
                <w:color w:val="17365D"/>
                <w:sz w:val="18"/>
                <w:szCs w:val="18"/>
              </w:rPr>
              <w:t>-74 393 153</w:t>
            </w:r>
          </w:p>
        </w:tc>
        <w:tc>
          <w:tcPr>
            <w:tcW w:w="1559" w:type="dxa"/>
            <w:tcBorders>
              <w:top w:val="single" w:sz="4" w:space="0" w:color="17365D"/>
              <w:bottom w:val="single" w:sz="4" w:space="0" w:color="17365D"/>
            </w:tcBorders>
            <w:shd w:val="clear" w:color="auto" w:fill="auto"/>
            <w:vAlign w:val="center"/>
          </w:tcPr>
          <w:p w14:paraId="021AF21E" w14:textId="77777777" w:rsidR="00FB11FC" w:rsidRPr="00177E3C" w:rsidRDefault="00FB11FC" w:rsidP="00C7199B">
            <w:pPr>
              <w:spacing w:after="0" w:line="240" w:lineRule="auto"/>
              <w:jc w:val="right"/>
              <w:rPr>
                <w:bCs/>
                <w:color w:val="17365D"/>
                <w:sz w:val="18"/>
                <w:szCs w:val="18"/>
              </w:rPr>
            </w:pPr>
            <w:r w:rsidRPr="00177E3C">
              <w:rPr>
                <w:bCs/>
                <w:color w:val="17365D"/>
                <w:sz w:val="18"/>
                <w:szCs w:val="18"/>
              </w:rPr>
              <w:t>31 051 983</w:t>
            </w:r>
          </w:p>
        </w:tc>
        <w:tc>
          <w:tcPr>
            <w:tcW w:w="1172" w:type="dxa"/>
            <w:tcBorders>
              <w:top w:val="single" w:sz="4" w:space="0" w:color="17365D"/>
              <w:bottom w:val="single" w:sz="4" w:space="0" w:color="17365D"/>
            </w:tcBorders>
            <w:shd w:val="clear" w:color="auto" w:fill="auto"/>
            <w:vAlign w:val="center"/>
          </w:tcPr>
          <w:p w14:paraId="5EC70957" w14:textId="77777777" w:rsidR="00FB11FC" w:rsidRPr="00177E3C" w:rsidRDefault="00FB11FC" w:rsidP="00C7199B">
            <w:pPr>
              <w:spacing w:after="0" w:line="240" w:lineRule="auto"/>
              <w:jc w:val="right"/>
              <w:rPr>
                <w:bCs/>
                <w:color w:val="17365D"/>
                <w:sz w:val="18"/>
                <w:szCs w:val="18"/>
              </w:rPr>
            </w:pPr>
            <w:r w:rsidRPr="00177E3C">
              <w:rPr>
                <w:bCs/>
                <w:color w:val="17365D"/>
                <w:sz w:val="18"/>
                <w:szCs w:val="18"/>
              </w:rPr>
              <w:t>-41.74</w:t>
            </w:r>
          </w:p>
        </w:tc>
      </w:tr>
      <w:tr w:rsidR="00FB11FC" w:rsidRPr="00177E3C" w14:paraId="744B0B91" w14:textId="77777777" w:rsidTr="00793519">
        <w:trPr>
          <w:trHeight w:val="272"/>
        </w:trPr>
        <w:tc>
          <w:tcPr>
            <w:tcW w:w="2977" w:type="dxa"/>
            <w:tcBorders>
              <w:top w:val="single" w:sz="4" w:space="0" w:color="17365D"/>
              <w:bottom w:val="single" w:sz="4" w:space="0" w:color="17365D"/>
            </w:tcBorders>
            <w:shd w:val="clear" w:color="auto" w:fill="auto"/>
            <w:vAlign w:val="center"/>
          </w:tcPr>
          <w:p w14:paraId="61DFBB06" w14:textId="11FE7AD3" w:rsidR="00FB11FC" w:rsidRPr="00177E3C" w:rsidRDefault="005F47C7" w:rsidP="00C7199B">
            <w:pPr>
              <w:spacing w:after="0" w:line="240" w:lineRule="auto"/>
              <w:rPr>
                <w:color w:val="17365D"/>
                <w:sz w:val="18"/>
                <w:szCs w:val="18"/>
              </w:rPr>
            </w:pPr>
            <w:r>
              <w:rPr>
                <w:color w:val="17365D"/>
                <w:sz w:val="18"/>
                <w:szCs w:val="18"/>
              </w:rPr>
              <w:t xml:space="preserve">   </w:t>
            </w:r>
            <w:r w:rsidR="00FB11FC" w:rsidRPr="00177E3C">
              <w:rPr>
                <w:color w:val="17365D"/>
                <w:sz w:val="18"/>
                <w:szCs w:val="18"/>
              </w:rPr>
              <w:t>Ieņēmumi no piesaistītajiem līdzekļiem</w:t>
            </w:r>
          </w:p>
        </w:tc>
        <w:tc>
          <w:tcPr>
            <w:tcW w:w="992" w:type="dxa"/>
            <w:tcBorders>
              <w:top w:val="single" w:sz="4" w:space="0" w:color="17365D"/>
              <w:bottom w:val="single" w:sz="4" w:space="0" w:color="17365D"/>
            </w:tcBorders>
            <w:shd w:val="clear" w:color="auto" w:fill="auto"/>
            <w:vAlign w:val="center"/>
          </w:tcPr>
          <w:p w14:paraId="5F16AE45" w14:textId="77777777" w:rsidR="00FB11FC" w:rsidRPr="00177E3C" w:rsidRDefault="00FB11FC" w:rsidP="00C7199B">
            <w:pPr>
              <w:spacing w:after="0" w:line="240" w:lineRule="auto"/>
              <w:jc w:val="center"/>
              <w:rPr>
                <w:color w:val="17365D"/>
                <w:sz w:val="18"/>
                <w:szCs w:val="18"/>
                <w:lang w:val="en-GB"/>
              </w:rPr>
            </w:pPr>
          </w:p>
        </w:tc>
        <w:tc>
          <w:tcPr>
            <w:tcW w:w="1413" w:type="dxa"/>
            <w:tcBorders>
              <w:top w:val="single" w:sz="4" w:space="0" w:color="17365D"/>
              <w:bottom w:val="single" w:sz="4" w:space="0" w:color="17365D"/>
            </w:tcBorders>
            <w:shd w:val="clear" w:color="auto" w:fill="auto"/>
            <w:vAlign w:val="center"/>
          </w:tcPr>
          <w:p w14:paraId="042865C9"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9 883 146 410</w:t>
            </w:r>
          </w:p>
        </w:tc>
        <w:tc>
          <w:tcPr>
            <w:tcW w:w="1418" w:type="dxa"/>
            <w:tcBorders>
              <w:top w:val="single" w:sz="4" w:space="0" w:color="17365D"/>
              <w:bottom w:val="single" w:sz="4" w:space="0" w:color="17365D"/>
            </w:tcBorders>
            <w:shd w:val="clear" w:color="auto" w:fill="auto"/>
            <w:vAlign w:val="center"/>
          </w:tcPr>
          <w:p w14:paraId="1CD585E5"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8 936 045 923</w:t>
            </w:r>
          </w:p>
        </w:tc>
        <w:tc>
          <w:tcPr>
            <w:tcW w:w="1559" w:type="dxa"/>
            <w:tcBorders>
              <w:top w:val="single" w:sz="4" w:space="0" w:color="17365D"/>
              <w:bottom w:val="single" w:sz="4" w:space="0" w:color="17365D"/>
            </w:tcBorders>
            <w:shd w:val="clear" w:color="auto" w:fill="auto"/>
            <w:vAlign w:val="center"/>
          </w:tcPr>
          <w:p w14:paraId="467E6CAC"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947 100 487</w:t>
            </w:r>
          </w:p>
        </w:tc>
        <w:tc>
          <w:tcPr>
            <w:tcW w:w="1172" w:type="dxa"/>
            <w:tcBorders>
              <w:top w:val="single" w:sz="4" w:space="0" w:color="17365D"/>
              <w:bottom w:val="single" w:sz="4" w:space="0" w:color="17365D"/>
            </w:tcBorders>
            <w:shd w:val="clear" w:color="auto" w:fill="auto"/>
            <w:vAlign w:val="center"/>
          </w:tcPr>
          <w:p w14:paraId="7B1BCB16"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10.60</w:t>
            </w:r>
          </w:p>
        </w:tc>
      </w:tr>
      <w:tr w:rsidR="00FB11FC" w:rsidRPr="00177E3C" w14:paraId="6DE21866" w14:textId="77777777" w:rsidTr="00793519">
        <w:trPr>
          <w:trHeight w:val="272"/>
        </w:trPr>
        <w:tc>
          <w:tcPr>
            <w:tcW w:w="2977" w:type="dxa"/>
            <w:tcBorders>
              <w:top w:val="single" w:sz="4" w:space="0" w:color="17365D"/>
              <w:bottom w:val="single" w:sz="4" w:space="0" w:color="17365D"/>
            </w:tcBorders>
            <w:shd w:val="clear" w:color="auto" w:fill="auto"/>
            <w:vAlign w:val="center"/>
          </w:tcPr>
          <w:p w14:paraId="7E07AE30" w14:textId="53687517" w:rsidR="00FB11FC" w:rsidRPr="00177E3C" w:rsidRDefault="005F47C7" w:rsidP="00C7199B">
            <w:pPr>
              <w:spacing w:after="0" w:line="240" w:lineRule="auto"/>
              <w:rPr>
                <w:color w:val="17365D"/>
                <w:sz w:val="18"/>
                <w:szCs w:val="18"/>
              </w:rPr>
            </w:pPr>
            <w:r>
              <w:rPr>
                <w:color w:val="17365D"/>
                <w:sz w:val="18"/>
                <w:szCs w:val="18"/>
              </w:rPr>
              <w:t xml:space="preserve">   </w:t>
            </w:r>
            <w:r w:rsidR="00FB11FC" w:rsidRPr="00177E3C">
              <w:rPr>
                <w:color w:val="17365D"/>
                <w:sz w:val="18"/>
                <w:szCs w:val="18"/>
              </w:rPr>
              <w:t>Izdevumi no piesaistītajiem līdzekļiem</w:t>
            </w:r>
          </w:p>
        </w:tc>
        <w:tc>
          <w:tcPr>
            <w:tcW w:w="992" w:type="dxa"/>
            <w:tcBorders>
              <w:top w:val="single" w:sz="4" w:space="0" w:color="17365D"/>
              <w:bottom w:val="single" w:sz="4" w:space="0" w:color="17365D"/>
            </w:tcBorders>
            <w:shd w:val="clear" w:color="auto" w:fill="auto"/>
            <w:vAlign w:val="center"/>
          </w:tcPr>
          <w:p w14:paraId="07B252AA" w14:textId="77777777" w:rsidR="00FB11FC" w:rsidRPr="00177E3C" w:rsidRDefault="00FB11FC" w:rsidP="00C7199B">
            <w:pPr>
              <w:spacing w:after="0" w:line="240" w:lineRule="auto"/>
              <w:jc w:val="center"/>
              <w:rPr>
                <w:color w:val="17365D"/>
                <w:sz w:val="18"/>
                <w:szCs w:val="18"/>
                <w:lang w:val="en-GB"/>
              </w:rPr>
            </w:pPr>
          </w:p>
        </w:tc>
        <w:tc>
          <w:tcPr>
            <w:tcW w:w="1413" w:type="dxa"/>
            <w:tcBorders>
              <w:top w:val="single" w:sz="4" w:space="0" w:color="17365D"/>
              <w:bottom w:val="single" w:sz="4" w:space="0" w:color="17365D"/>
            </w:tcBorders>
            <w:shd w:val="clear" w:color="auto" w:fill="auto"/>
            <w:vAlign w:val="center"/>
          </w:tcPr>
          <w:p w14:paraId="5F19F489"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9 926 487 580</w:t>
            </w:r>
          </w:p>
        </w:tc>
        <w:tc>
          <w:tcPr>
            <w:tcW w:w="1418" w:type="dxa"/>
            <w:tcBorders>
              <w:top w:val="single" w:sz="4" w:space="0" w:color="17365D"/>
              <w:bottom w:val="single" w:sz="4" w:space="0" w:color="17365D"/>
            </w:tcBorders>
            <w:shd w:val="clear" w:color="auto" w:fill="auto"/>
            <w:vAlign w:val="center"/>
          </w:tcPr>
          <w:p w14:paraId="01C70F21"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9 010 439 076</w:t>
            </w:r>
          </w:p>
        </w:tc>
        <w:tc>
          <w:tcPr>
            <w:tcW w:w="1559" w:type="dxa"/>
            <w:tcBorders>
              <w:top w:val="single" w:sz="4" w:space="0" w:color="17365D"/>
              <w:bottom w:val="single" w:sz="4" w:space="0" w:color="17365D"/>
            </w:tcBorders>
            <w:shd w:val="clear" w:color="auto" w:fill="auto"/>
            <w:vAlign w:val="center"/>
          </w:tcPr>
          <w:p w14:paraId="4C9C12EB"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916 048 504</w:t>
            </w:r>
          </w:p>
        </w:tc>
        <w:tc>
          <w:tcPr>
            <w:tcW w:w="1172" w:type="dxa"/>
            <w:tcBorders>
              <w:top w:val="single" w:sz="4" w:space="0" w:color="17365D"/>
              <w:bottom w:val="single" w:sz="4" w:space="0" w:color="17365D"/>
            </w:tcBorders>
            <w:shd w:val="clear" w:color="auto" w:fill="auto"/>
            <w:vAlign w:val="center"/>
          </w:tcPr>
          <w:p w14:paraId="1A8EA87A" w14:textId="77777777" w:rsidR="00FB11FC" w:rsidRPr="00177E3C" w:rsidRDefault="00FB11FC" w:rsidP="00C7199B">
            <w:pPr>
              <w:spacing w:after="0" w:line="240" w:lineRule="auto"/>
              <w:jc w:val="right"/>
              <w:rPr>
                <w:rFonts w:cs="Times New Roman"/>
                <w:color w:val="17365D"/>
                <w:sz w:val="18"/>
                <w:szCs w:val="18"/>
              </w:rPr>
            </w:pPr>
            <w:r w:rsidRPr="00177E3C">
              <w:rPr>
                <w:rFonts w:cs="Times New Roman"/>
                <w:color w:val="17365D"/>
                <w:sz w:val="18"/>
                <w:szCs w:val="18"/>
              </w:rPr>
              <w:t>10.17</w:t>
            </w:r>
          </w:p>
        </w:tc>
      </w:tr>
      <w:tr w:rsidR="00FB11FC" w:rsidRPr="00177E3C" w14:paraId="18E375E7" w14:textId="77777777" w:rsidTr="00793519">
        <w:trPr>
          <w:trHeight w:val="227"/>
        </w:trPr>
        <w:tc>
          <w:tcPr>
            <w:tcW w:w="2977" w:type="dxa"/>
            <w:tcBorders>
              <w:top w:val="single" w:sz="4" w:space="0" w:color="17365D"/>
            </w:tcBorders>
            <w:shd w:val="clear" w:color="auto" w:fill="B9CDE5"/>
            <w:vAlign w:val="center"/>
          </w:tcPr>
          <w:p w14:paraId="15CEF738" w14:textId="77777777" w:rsidR="00FB11FC" w:rsidRPr="00177E3C" w:rsidRDefault="00FB11FC" w:rsidP="00C7199B">
            <w:pPr>
              <w:spacing w:after="0" w:line="240" w:lineRule="auto"/>
              <w:rPr>
                <w:color w:val="17365D"/>
                <w:sz w:val="18"/>
                <w:szCs w:val="18"/>
              </w:rPr>
            </w:pPr>
          </w:p>
        </w:tc>
        <w:tc>
          <w:tcPr>
            <w:tcW w:w="992" w:type="dxa"/>
            <w:tcBorders>
              <w:top w:val="single" w:sz="4" w:space="0" w:color="17365D"/>
            </w:tcBorders>
            <w:shd w:val="clear" w:color="auto" w:fill="B9CDE5"/>
            <w:vAlign w:val="center"/>
          </w:tcPr>
          <w:p w14:paraId="3FEEE40E" w14:textId="77777777" w:rsidR="00FB11FC" w:rsidRPr="00177E3C" w:rsidRDefault="00FB11FC" w:rsidP="00C7199B">
            <w:pPr>
              <w:spacing w:after="0" w:line="240" w:lineRule="auto"/>
              <w:jc w:val="center"/>
              <w:rPr>
                <w:color w:val="17365D"/>
                <w:sz w:val="18"/>
                <w:szCs w:val="18"/>
                <w:lang w:val="en-GB"/>
              </w:rPr>
            </w:pPr>
          </w:p>
        </w:tc>
        <w:tc>
          <w:tcPr>
            <w:tcW w:w="1413" w:type="dxa"/>
            <w:tcBorders>
              <w:top w:val="single" w:sz="4" w:space="0" w:color="17365D"/>
            </w:tcBorders>
            <w:shd w:val="clear" w:color="auto" w:fill="B9CDE5"/>
            <w:vAlign w:val="center"/>
          </w:tcPr>
          <w:p w14:paraId="4AAFB637" w14:textId="77777777" w:rsidR="00FB11FC" w:rsidRPr="00177E3C" w:rsidRDefault="00FB11FC" w:rsidP="00C7199B">
            <w:pPr>
              <w:spacing w:after="0" w:line="240" w:lineRule="auto"/>
              <w:jc w:val="right"/>
              <w:rPr>
                <w:color w:val="17365D"/>
                <w:sz w:val="18"/>
                <w:szCs w:val="18"/>
              </w:rPr>
            </w:pPr>
          </w:p>
        </w:tc>
        <w:tc>
          <w:tcPr>
            <w:tcW w:w="1418" w:type="dxa"/>
            <w:tcBorders>
              <w:top w:val="single" w:sz="4" w:space="0" w:color="17365D"/>
            </w:tcBorders>
            <w:shd w:val="clear" w:color="auto" w:fill="B9CDE5"/>
            <w:vAlign w:val="center"/>
          </w:tcPr>
          <w:p w14:paraId="51EE409C" w14:textId="77777777" w:rsidR="00FB11FC" w:rsidRPr="00177E3C" w:rsidRDefault="00FB11FC" w:rsidP="00C7199B">
            <w:pPr>
              <w:spacing w:after="0" w:line="240" w:lineRule="auto"/>
              <w:jc w:val="right"/>
              <w:rPr>
                <w:color w:val="17365D"/>
                <w:sz w:val="18"/>
                <w:szCs w:val="18"/>
              </w:rPr>
            </w:pPr>
          </w:p>
        </w:tc>
        <w:tc>
          <w:tcPr>
            <w:tcW w:w="1559" w:type="dxa"/>
            <w:tcBorders>
              <w:top w:val="single" w:sz="4" w:space="0" w:color="17365D"/>
            </w:tcBorders>
            <w:shd w:val="clear" w:color="auto" w:fill="B9CDE5"/>
            <w:vAlign w:val="center"/>
          </w:tcPr>
          <w:p w14:paraId="3C317857" w14:textId="77777777" w:rsidR="00FB11FC" w:rsidRPr="00177E3C" w:rsidRDefault="00FB11FC" w:rsidP="00C7199B">
            <w:pPr>
              <w:spacing w:after="0" w:line="240" w:lineRule="auto"/>
              <w:jc w:val="right"/>
              <w:rPr>
                <w:color w:val="17365D"/>
                <w:sz w:val="18"/>
                <w:szCs w:val="18"/>
              </w:rPr>
            </w:pPr>
          </w:p>
        </w:tc>
        <w:tc>
          <w:tcPr>
            <w:tcW w:w="1172" w:type="dxa"/>
            <w:tcBorders>
              <w:top w:val="single" w:sz="4" w:space="0" w:color="17365D"/>
            </w:tcBorders>
            <w:shd w:val="clear" w:color="auto" w:fill="B9CDE5"/>
            <w:vAlign w:val="center"/>
          </w:tcPr>
          <w:p w14:paraId="50E26903" w14:textId="77777777" w:rsidR="00FB11FC" w:rsidRPr="00177E3C" w:rsidRDefault="00FB11FC" w:rsidP="00C7199B">
            <w:pPr>
              <w:spacing w:after="0" w:line="240" w:lineRule="auto"/>
              <w:jc w:val="right"/>
              <w:rPr>
                <w:color w:val="17365D"/>
                <w:sz w:val="18"/>
                <w:szCs w:val="18"/>
              </w:rPr>
            </w:pPr>
          </w:p>
        </w:tc>
      </w:tr>
    </w:tbl>
    <w:p w14:paraId="692EE247" w14:textId="20345034" w:rsidR="00FB11FC" w:rsidRPr="00177E3C" w:rsidRDefault="00FB11FC" w:rsidP="00FB11FC">
      <w:pPr>
        <w:pStyle w:val="Pamatteksts1"/>
        <w:spacing w:before="240"/>
        <w:ind w:left="851" w:hanging="851"/>
      </w:pPr>
      <w:r w:rsidRPr="00177E3C">
        <w:rPr>
          <w:rStyle w:val="Heading4Char"/>
        </w:rPr>
        <w:t>Piezīme Nr. NP.D</w:t>
      </w:r>
      <w:r w:rsidR="00D921E0">
        <w:rPr>
          <w:rStyle w:val="Heading4Char"/>
        </w:rPr>
        <w:t>.</w:t>
      </w:r>
      <w:r w:rsidRPr="00177E3C">
        <w:rPr>
          <w:rStyle w:val="Heading4Char"/>
        </w:rPr>
        <w:t xml:space="preserve"> Naudas līdzekļu plūsmu no piesaistītajiem līdzekļiem</w:t>
      </w:r>
      <w:r w:rsidRPr="00177E3C">
        <w:t xml:space="preserve"> </w:t>
      </w:r>
    </w:p>
    <w:p w14:paraId="46ABA2F2" w14:textId="448B2738" w:rsidR="00FB11FC" w:rsidRDefault="00FB11FC" w:rsidP="002A2F6E">
      <w:pPr>
        <w:pStyle w:val="Pamatteksts1"/>
      </w:pPr>
      <w:r w:rsidRPr="00177E3C">
        <w:t>Šajā postenī uzrāda valsts budžeta finanšu uzskaites darījumus par piesaistītajiem līdzekļiem (naudas līdzekļi Valsts kases klientu kontos un depozītu kontos). Salīdzinot ar iepriekšējo pārskata periodu, šī naudas plūsma ir palielinājušies 31</w:t>
      </w:r>
      <w:r w:rsidR="00B7787F">
        <w:t>,1</w:t>
      </w:r>
      <w:r w:rsidRPr="00177E3C">
        <w:t> </w:t>
      </w:r>
      <w:r w:rsidR="00B7787F">
        <w:t>milj.</w:t>
      </w:r>
      <w:r w:rsidRPr="00177E3C">
        <w:t xml:space="preserve"> </w:t>
      </w:r>
      <w:r w:rsidRPr="00177E3C">
        <w:rPr>
          <w:i/>
        </w:rPr>
        <w:t>euro</w:t>
      </w:r>
      <w:r w:rsidRPr="00177E3C">
        <w:t xml:space="preserve"> vērtībā.</w:t>
      </w:r>
    </w:p>
    <w:p w14:paraId="4196FFFF" w14:textId="25680B2A" w:rsidR="00FB11FC" w:rsidRPr="00177E3C" w:rsidRDefault="00FB11FC" w:rsidP="00FB11FC">
      <w:pPr>
        <w:pStyle w:val="Heading3"/>
        <w:rPr>
          <w:rFonts w:eastAsia="Arial Unicode MS"/>
          <w:noProof/>
          <w:lang w:eastAsia="lv-LV"/>
        </w:rPr>
      </w:pPr>
      <w:r w:rsidRPr="00177E3C">
        <w:t xml:space="preserve">Skaidrojumi naudas plūsmas pārskata posteņu </w:t>
      </w:r>
      <w:r w:rsidR="005D07EE">
        <w:t xml:space="preserve">korekcijai un </w:t>
      </w:r>
      <w:r w:rsidRPr="00177E3C">
        <w:t xml:space="preserve">konsolidācijai </w:t>
      </w:r>
    </w:p>
    <w:p w14:paraId="4D2D0F6F" w14:textId="77777777" w:rsidR="00C2309E" w:rsidRDefault="00980C37" w:rsidP="00324AC5">
      <w:pPr>
        <w:pStyle w:val="Tabnosauk"/>
      </w:pPr>
      <w:r w:rsidRPr="00980C37">
        <w:t>3.</w:t>
      </w:r>
      <w:r>
        <w:t>1</w:t>
      </w:r>
      <w:r w:rsidR="00A3678F">
        <w:t>1</w:t>
      </w:r>
      <w:r w:rsidRPr="00980C37">
        <w:t xml:space="preserve">. tabula. Konsolidētā </w:t>
      </w:r>
      <w:r>
        <w:t xml:space="preserve">naudas plūsmas </w:t>
      </w:r>
      <w:r w:rsidRPr="00980C37">
        <w:t xml:space="preserve">pārskata posteņu konsolidācija, </w:t>
      </w:r>
    </w:p>
    <w:p w14:paraId="7DAFAADF" w14:textId="524571D6" w:rsidR="00FB11FC" w:rsidRPr="00177E3C" w:rsidRDefault="00980C37" w:rsidP="00324AC5">
      <w:pPr>
        <w:pStyle w:val="Tabnosauk"/>
      </w:pPr>
      <w:r w:rsidRPr="00980C37">
        <w:t>korekcija un salīdzinošās informācijas maiņa (euro)</w:t>
      </w:r>
    </w:p>
    <w:tbl>
      <w:tblPr>
        <w:tblW w:w="9495" w:type="dxa"/>
        <w:tblLayout w:type="fixed"/>
        <w:tblLook w:val="04A0" w:firstRow="1" w:lastRow="0" w:firstColumn="1" w:lastColumn="0" w:noHBand="0" w:noVBand="1"/>
      </w:tblPr>
      <w:tblGrid>
        <w:gridCol w:w="4111"/>
        <w:gridCol w:w="992"/>
        <w:gridCol w:w="1134"/>
        <w:gridCol w:w="142"/>
        <w:gridCol w:w="142"/>
        <w:gridCol w:w="1414"/>
        <w:gridCol w:w="1560"/>
      </w:tblGrid>
      <w:tr w:rsidR="00F20528" w:rsidRPr="00177E3C" w14:paraId="4107F0C3" w14:textId="77777777" w:rsidTr="00F20528">
        <w:trPr>
          <w:trHeight w:val="70"/>
          <w:tblHeader/>
        </w:trPr>
        <w:tc>
          <w:tcPr>
            <w:tcW w:w="4111" w:type="dxa"/>
            <w:vMerge w:val="restart"/>
            <w:tcBorders>
              <w:bottom w:val="single" w:sz="2" w:space="0" w:color="17365D"/>
            </w:tcBorders>
            <w:shd w:val="clear" w:color="auto" w:fill="B9CDE5"/>
            <w:vAlign w:val="center"/>
            <w:hideMark/>
          </w:tcPr>
          <w:p w14:paraId="2FD00D6A" w14:textId="77777777" w:rsidR="00F20528" w:rsidRPr="00177E3C" w:rsidRDefault="00F20528" w:rsidP="006B748E">
            <w:pPr>
              <w:spacing w:after="0" w:line="240" w:lineRule="auto"/>
              <w:jc w:val="center"/>
              <w:rPr>
                <w:b/>
                <w:color w:val="17365D"/>
                <w:sz w:val="18"/>
                <w:szCs w:val="18"/>
                <w:lang w:eastAsia="lv-LV"/>
              </w:rPr>
            </w:pPr>
            <w:r>
              <w:rPr>
                <w:rFonts w:eastAsia="Times New Roman" w:cs="Times New Roman"/>
                <w:b/>
                <w:bCs/>
                <w:color w:val="17365D"/>
                <w:sz w:val="18"/>
                <w:szCs w:val="18"/>
                <w:lang w:eastAsia="lv-LV"/>
              </w:rPr>
              <w:t>Posteņa nosaukums</w:t>
            </w:r>
          </w:p>
        </w:tc>
        <w:tc>
          <w:tcPr>
            <w:tcW w:w="2126" w:type="dxa"/>
            <w:gridSpan w:val="2"/>
            <w:tcBorders>
              <w:bottom w:val="single" w:sz="4" w:space="0" w:color="17365D"/>
            </w:tcBorders>
            <w:shd w:val="clear" w:color="auto" w:fill="B9CDE5"/>
            <w:vAlign w:val="center"/>
          </w:tcPr>
          <w:p w14:paraId="32EF0C29" w14:textId="77777777" w:rsidR="00F20528" w:rsidRPr="00177E3C" w:rsidRDefault="00F20528" w:rsidP="006B748E">
            <w:pPr>
              <w:spacing w:after="0" w:line="240" w:lineRule="auto"/>
              <w:jc w:val="center"/>
              <w:rPr>
                <w:b/>
                <w:color w:val="17365D"/>
                <w:sz w:val="18"/>
                <w:szCs w:val="18"/>
                <w:lang w:eastAsia="lv-LV"/>
              </w:rPr>
            </w:pPr>
            <w:r>
              <w:rPr>
                <w:b/>
                <w:color w:val="17365D"/>
                <w:sz w:val="18"/>
                <w:szCs w:val="18"/>
                <w:lang w:eastAsia="lv-LV"/>
              </w:rPr>
              <w:t>Korekcija</w:t>
            </w:r>
          </w:p>
        </w:tc>
        <w:tc>
          <w:tcPr>
            <w:tcW w:w="284" w:type="dxa"/>
            <w:gridSpan w:val="2"/>
            <w:shd w:val="clear" w:color="auto" w:fill="B9CDE5"/>
            <w:vAlign w:val="center"/>
          </w:tcPr>
          <w:p w14:paraId="030BEF36" w14:textId="3FB39B39" w:rsidR="00F20528" w:rsidRPr="00177E3C" w:rsidRDefault="00F20528" w:rsidP="006B748E">
            <w:pPr>
              <w:spacing w:after="0" w:line="240" w:lineRule="auto"/>
              <w:jc w:val="center"/>
              <w:rPr>
                <w:b/>
                <w:color w:val="17365D"/>
                <w:sz w:val="18"/>
                <w:szCs w:val="18"/>
                <w:lang w:eastAsia="lv-LV"/>
              </w:rPr>
            </w:pPr>
          </w:p>
        </w:tc>
        <w:tc>
          <w:tcPr>
            <w:tcW w:w="2974" w:type="dxa"/>
            <w:gridSpan w:val="2"/>
            <w:tcBorders>
              <w:bottom w:val="single" w:sz="4" w:space="0" w:color="17365D"/>
            </w:tcBorders>
            <w:shd w:val="clear" w:color="auto" w:fill="B9CDE5"/>
            <w:vAlign w:val="center"/>
          </w:tcPr>
          <w:p w14:paraId="29371406" w14:textId="2D82D264" w:rsidR="00F20528" w:rsidRPr="00177E3C" w:rsidRDefault="00F20528" w:rsidP="00381F40">
            <w:pPr>
              <w:spacing w:after="0" w:line="240" w:lineRule="auto"/>
              <w:ind w:left="-107" w:right="-109" w:hanging="138"/>
              <w:jc w:val="center"/>
              <w:rPr>
                <w:b/>
                <w:color w:val="17365D"/>
                <w:sz w:val="18"/>
                <w:szCs w:val="18"/>
                <w:lang w:eastAsia="lv-LV"/>
              </w:rPr>
            </w:pPr>
            <w:r>
              <w:rPr>
                <w:b/>
                <w:color w:val="17365D"/>
                <w:sz w:val="18"/>
                <w:szCs w:val="18"/>
                <w:lang w:eastAsia="lv-LV"/>
              </w:rPr>
              <w:t>Konsolidācija</w:t>
            </w:r>
          </w:p>
        </w:tc>
      </w:tr>
      <w:tr w:rsidR="00381F40" w:rsidRPr="00177E3C" w14:paraId="05443B0F" w14:textId="77777777" w:rsidTr="002F41F2">
        <w:trPr>
          <w:trHeight w:val="767"/>
          <w:tblHeader/>
        </w:trPr>
        <w:tc>
          <w:tcPr>
            <w:tcW w:w="4111" w:type="dxa"/>
            <w:vMerge/>
            <w:tcBorders>
              <w:top w:val="single" w:sz="2" w:space="0" w:color="17365D"/>
              <w:bottom w:val="single" w:sz="2" w:space="0" w:color="17365D"/>
            </w:tcBorders>
            <w:shd w:val="clear" w:color="auto" w:fill="B9CDE5"/>
            <w:vAlign w:val="center"/>
          </w:tcPr>
          <w:p w14:paraId="3E603DD6" w14:textId="77777777" w:rsidR="00381F40" w:rsidRDefault="00381F40" w:rsidP="00381F40">
            <w:pPr>
              <w:spacing w:after="0" w:line="240" w:lineRule="auto"/>
              <w:jc w:val="center"/>
              <w:rPr>
                <w:rFonts w:eastAsia="Times New Roman" w:cs="Times New Roman"/>
                <w:b/>
                <w:bCs/>
                <w:color w:val="17365D"/>
                <w:sz w:val="18"/>
                <w:szCs w:val="18"/>
                <w:lang w:eastAsia="lv-LV"/>
              </w:rPr>
            </w:pPr>
          </w:p>
        </w:tc>
        <w:tc>
          <w:tcPr>
            <w:tcW w:w="992" w:type="dxa"/>
            <w:tcBorders>
              <w:bottom w:val="single" w:sz="2" w:space="0" w:color="17365D"/>
            </w:tcBorders>
            <w:shd w:val="clear" w:color="auto" w:fill="B9CDE5"/>
            <w:vAlign w:val="center"/>
          </w:tcPr>
          <w:p w14:paraId="2D403D33" w14:textId="65AFBF5C" w:rsidR="00381F40" w:rsidRPr="00177E3C" w:rsidRDefault="00A624D8" w:rsidP="00381F40">
            <w:pPr>
              <w:spacing w:after="0" w:line="240" w:lineRule="auto"/>
              <w:jc w:val="center"/>
              <w:rPr>
                <w:b/>
                <w:color w:val="17365D"/>
                <w:sz w:val="18"/>
                <w:szCs w:val="18"/>
                <w:lang w:eastAsia="lv-LV"/>
              </w:rPr>
            </w:pPr>
            <w:r>
              <w:rPr>
                <w:b/>
                <w:color w:val="17365D"/>
                <w:sz w:val="18"/>
                <w:szCs w:val="18"/>
                <w:lang w:eastAsia="lv-LV"/>
              </w:rPr>
              <w:t>p</w:t>
            </w:r>
            <w:r w:rsidR="00381F40">
              <w:rPr>
                <w:b/>
                <w:color w:val="17365D"/>
                <w:sz w:val="18"/>
                <w:szCs w:val="18"/>
                <w:lang w:eastAsia="lv-LV"/>
              </w:rPr>
              <w:t>ārskata periods</w:t>
            </w:r>
          </w:p>
        </w:tc>
        <w:tc>
          <w:tcPr>
            <w:tcW w:w="1276" w:type="dxa"/>
            <w:gridSpan w:val="2"/>
            <w:tcBorders>
              <w:bottom w:val="single" w:sz="2" w:space="0" w:color="17365D"/>
            </w:tcBorders>
            <w:shd w:val="clear" w:color="auto" w:fill="B9CDE5"/>
            <w:vAlign w:val="center"/>
          </w:tcPr>
          <w:p w14:paraId="1478AB44" w14:textId="3A4A6E1A" w:rsidR="00381F40" w:rsidRPr="00177E3C" w:rsidRDefault="00A624D8" w:rsidP="00381F40">
            <w:pPr>
              <w:spacing w:after="0" w:line="240" w:lineRule="auto"/>
              <w:jc w:val="center"/>
              <w:rPr>
                <w:b/>
                <w:color w:val="17365D"/>
                <w:sz w:val="18"/>
                <w:szCs w:val="18"/>
                <w:lang w:eastAsia="lv-LV"/>
              </w:rPr>
            </w:pPr>
            <w:r>
              <w:rPr>
                <w:b/>
                <w:color w:val="17365D"/>
                <w:sz w:val="18"/>
                <w:szCs w:val="18"/>
                <w:lang w:eastAsia="lv-LV"/>
              </w:rPr>
              <w:t>i</w:t>
            </w:r>
            <w:r w:rsidR="00381F40">
              <w:rPr>
                <w:b/>
                <w:color w:val="17365D"/>
                <w:sz w:val="18"/>
                <w:szCs w:val="18"/>
                <w:lang w:eastAsia="lv-LV"/>
              </w:rPr>
              <w:t>epriekšējais pārskata periods</w:t>
            </w:r>
          </w:p>
        </w:tc>
        <w:tc>
          <w:tcPr>
            <w:tcW w:w="1556" w:type="dxa"/>
            <w:gridSpan w:val="2"/>
            <w:tcBorders>
              <w:bottom w:val="single" w:sz="2" w:space="0" w:color="17365D"/>
            </w:tcBorders>
            <w:shd w:val="clear" w:color="auto" w:fill="B9CDE5"/>
            <w:vAlign w:val="center"/>
          </w:tcPr>
          <w:p w14:paraId="744F0C18" w14:textId="025A4E78" w:rsidR="00381F40" w:rsidRPr="00177E3C" w:rsidRDefault="00A624D8" w:rsidP="00381F40">
            <w:pPr>
              <w:spacing w:after="0" w:line="240" w:lineRule="auto"/>
              <w:ind w:left="-107" w:right="-109"/>
              <w:jc w:val="center"/>
              <w:rPr>
                <w:b/>
                <w:color w:val="17365D"/>
                <w:sz w:val="18"/>
                <w:szCs w:val="18"/>
                <w:lang w:eastAsia="lv-LV"/>
              </w:rPr>
            </w:pPr>
            <w:r>
              <w:rPr>
                <w:b/>
                <w:color w:val="17365D"/>
                <w:sz w:val="18"/>
                <w:szCs w:val="18"/>
                <w:lang w:eastAsia="lv-LV"/>
              </w:rPr>
              <w:t>p</w:t>
            </w:r>
            <w:r w:rsidR="00381F40">
              <w:rPr>
                <w:b/>
                <w:color w:val="17365D"/>
                <w:sz w:val="18"/>
                <w:szCs w:val="18"/>
                <w:lang w:eastAsia="lv-LV"/>
              </w:rPr>
              <w:t>ārskata periods</w:t>
            </w:r>
          </w:p>
        </w:tc>
        <w:tc>
          <w:tcPr>
            <w:tcW w:w="1560" w:type="dxa"/>
            <w:tcBorders>
              <w:bottom w:val="single" w:sz="2" w:space="0" w:color="17365D"/>
            </w:tcBorders>
            <w:shd w:val="clear" w:color="auto" w:fill="B9CDE5"/>
            <w:vAlign w:val="center"/>
          </w:tcPr>
          <w:p w14:paraId="178FDDFF" w14:textId="34561867" w:rsidR="00381F40" w:rsidRPr="00177E3C" w:rsidRDefault="00A624D8" w:rsidP="00381F40">
            <w:pPr>
              <w:spacing w:after="0" w:line="240" w:lineRule="auto"/>
              <w:ind w:left="-107" w:right="-109"/>
              <w:jc w:val="center"/>
              <w:rPr>
                <w:b/>
                <w:color w:val="17365D"/>
                <w:sz w:val="18"/>
                <w:szCs w:val="18"/>
                <w:lang w:eastAsia="lv-LV"/>
              </w:rPr>
            </w:pPr>
            <w:r>
              <w:rPr>
                <w:b/>
                <w:color w:val="17365D"/>
                <w:sz w:val="18"/>
                <w:szCs w:val="18"/>
                <w:lang w:eastAsia="lv-LV"/>
              </w:rPr>
              <w:t>i</w:t>
            </w:r>
            <w:r w:rsidR="00381F40">
              <w:rPr>
                <w:b/>
                <w:color w:val="17365D"/>
                <w:sz w:val="18"/>
                <w:szCs w:val="18"/>
                <w:lang w:eastAsia="lv-LV"/>
              </w:rPr>
              <w:t>epriekšējais pārskata periods</w:t>
            </w:r>
          </w:p>
        </w:tc>
      </w:tr>
      <w:tr w:rsidR="00381F40" w:rsidRPr="00177E3C" w14:paraId="1D997395" w14:textId="77777777" w:rsidTr="009A153B">
        <w:trPr>
          <w:trHeight w:val="141"/>
          <w:tblHeader/>
        </w:trPr>
        <w:tc>
          <w:tcPr>
            <w:tcW w:w="4111" w:type="dxa"/>
            <w:tcBorders>
              <w:top w:val="single" w:sz="2" w:space="0" w:color="17365D"/>
              <w:bottom w:val="single" w:sz="4" w:space="0" w:color="17365D"/>
            </w:tcBorders>
            <w:shd w:val="clear" w:color="auto" w:fill="auto"/>
            <w:vAlign w:val="center"/>
          </w:tcPr>
          <w:p w14:paraId="68AC46B9" w14:textId="77777777" w:rsidR="00381F40" w:rsidRPr="00177E3C" w:rsidRDefault="00381F40" w:rsidP="00381F40">
            <w:pPr>
              <w:spacing w:after="0" w:line="240" w:lineRule="auto"/>
              <w:jc w:val="center"/>
              <w:rPr>
                <w:b/>
                <w:color w:val="17365D"/>
                <w:sz w:val="18"/>
                <w:szCs w:val="18"/>
              </w:rPr>
            </w:pPr>
            <w:r w:rsidRPr="00177E3C">
              <w:rPr>
                <w:b/>
                <w:color w:val="17365D"/>
                <w:sz w:val="18"/>
                <w:szCs w:val="18"/>
              </w:rPr>
              <w:t>A</w:t>
            </w:r>
          </w:p>
        </w:tc>
        <w:tc>
          <w:tcPr>
            <w:tcW w:w="992" w:type="dxa"/>
            <w:tcBorders>
              <w:top w:val="single" w:sz="2" w:space="0" w:color="17365D"/>
              <w:bottom w:val="single" w:sz="4" w:space="0" w:color="17365D"/>
            </w:tcBorders>
            <w:shd w:val="clear" w:color="auto" w:fill="auto"/>
            <w:vAlign w:val="center"/>
          </w:tcPr>
          <w:p w14:paraId="1AFBB397" w14:textId="77777777" w:rsidR="00381F40" w:rsidRPr="00177E3C" w:rsidRDefault="00381F40" w:rsidP="00381F40">
            <w:pPr>
              <w:spacing w:after="0" w:line="240" w:lineRule="auto"/>
              <w:jc w:val="center"/>
              <w:rPr>
                <w:b/>
                <w:color w:val="17365D"/>
                <w:sz w:val="18"/>
                <w:szCs w:val="18"/>
              </w:rPr>
            </w:pPr>
            <w:r w:rsidRPr="00177E3C">
              <w:rPr>
                <w:b/>
                <w:color w:val="17365D"/>
                <w:sz w:val="18"/>
                <w:szCs w:val="18"/>
              </w:rPr>
              <w:t>1</w:t>
            </w:r>
          </w:p>
        </w:tc>
        <w:tc>
          <w:tcPr>
            <w:tcW w:w="1276" w:type="dxa"/>
            <w:gridSpan w:val="2"/>
            <w:tcBorders>
              <w:top w:val="single" w:sz="2" w:space="0" w:color="17365D"/>
              <w:bottom w:val="single" w:sz="4" w:space="0" w:color="17365D"/>
            </w:tcBorders>
            <w:shd w:val="clear" w:color="auto" w:fill="auto"/>
            <w:vAlign w:val="center"/>
          </w:tcPr>
          <w:p w14:paraId="452563F3" w14:textId="77777777" w:rsidR="00381F40" w:rsidRPr="00177E3C" w:rsidRDefault="00381F40" w:rsidP="00381F40">
            <w:pPr>
              <w:spacing w:after="0" w:line="240" w:lineRule="auto"/>
              <w:jc w:val="center"/>
              <w:rPr>
                <w:b/>
                <w:color w:val="17365D"/>
                <w:sz w:val="18"/>
                <w:szCs w:val="18"/>
              </w:rPr>
            </w:pPr>
            <w:r w:rsidRPr="00177E3C">
              <w:rPr>
                <w:b/>
                <w:color w:val="17365D"/>
                <w:sz w:val="18"/>
                <w:szCs w:val="18"/>
              </w:rPr>
              <w:t>2</w:t>
            </w:r>
          </w:p>
        </w:tc>
        <w:tc>
          <w:tcPr>
            <w:tcW w:w="1556" w:type="dxa"/>
            <w:gridSpan w:val="2"/>
            <w:tcBorders>
              <w:top w:val="single" w:sz="2" w:space="0" w:color="17365D"/>
              <w:bottom w:val="single" w:sz="4" w:space="0" w:color="17365D"/>
            </w:tcBorders>
            <w:shd w:val="clear" w:color="auto" w:fill="auto"/>
            <w:vAlign w:val="center"/>
          </w:tcPr>
          <w:p w14:paraId="46782EAE" w14:textId="77777777" w:rsidR="00381F40" w:rsidRPr="00177E3C" w:rsidRDefault="00381F40" w:rsidP="00381F40">
            <w:pPr>
              <w:spacing w:after="0" w:line="240" w:lineRule="auto"/>
              <w:jc w:val="center"/>
              <w:rPr>
                <w:b/>
                <w:color w:val="17365D"/>
                <w:sz w:val="18"/>
                <w:szCs w:val="18"/>
              </w:rPr>
            </w:pPr>
            <w:r w:rsidRPr="00177E3C">
              <w:rPr>
                <w:b/>
                <w:color w:val="17365D"/>
                <w:sz w:val="18"/>
                <w:szCs w:val="18"/>
              </w:rPr>
              <w:t>3</w:t>
            </w:r>
          </w:p>
        </w:tc>
        <w:tc>
          <w:tcPr>
            <w:tcW w:w="1560" w:type="dxa"/>
            <w:tcBorders>
              <w:top w:val="single" w:sz="2" w:space="0" w:color="17365D"/>
              <w:bottom w:val="single" w:sz="4" w:space="0" w:color="17365D"/>
            </w:tcBorders>
            <w:shd w:val="clear" w:color="auto" w:fill="auto"/>
            <w:vAlign w:val="center"/>
          </w:tcPr>
          <w:p w14:paraId="0BA3950B" w14:textId="77777777" w:rsidR="00381F40" w:rsidRPr="00177E3C" w:rsidRDefault="00381F40" w:rsidP="00381F40">
            <w:pPr>
              <w:spacing w:after="0" w:line="240" w:lineRule="auto"/>
              <w:jc w:val="center"/>
              <w:rPr>
                <w:b/>
                <w:color w:val="17365D"/>
                <w:sz w:val="18"/>
                <w:szCs w:val="18"/>
              </w:rPr>
            </w:pPr>
            <w:r w:rsidRPr="00177E3C">
              <w:rPr>
                <w:b/>
                <w:color w:val="17365D"/>
                <w:sz w:val="18"/>
                <w:szCs w:val="18"/>
              </w:rPr>
              <w:t>4</w:t>
            </w:r>
          </w:p>
        </w:tc>
      </w:tr>
      <w:tr w:rsidR="00381F40" w:rsidRPr="00177E3C" w14:paraId="48306B7B" w14:textId="77777777" w:rsidTr="00C2309E">
        <w:trPr>
          <w:trHeight w:val="272"/>
        </w:trPr>
        <w:tc>
          <w:tcPr>
            <w:tcW w:w="4111" w:type="dxa"/>
            <w:tcBorders>
              <w:top w:val="single" w:sz="4" w:space="0" w:color="17365D"/>
              <w:bottom w:val="single" w:sz="4" w:space="0" w:color="17365D"/>
            </w:tcBorders>
            <w:shd w:val="clear" w:color="auto" w:fill="auto"/>
            <w:vAlign w:val="center"/>
          </w:tcPr>
          <w:p w14:paraId="22F3D187" w14:textId="379CAB93" w:rsidR="00381F40" w:rsidRPr="00177E3C" w:rsidRDefault="00381F40" w:rsidP="00381F40">
            <w:pPr>
              <w:spacing w:after="0" w:line="240" w:lineRule="auto"/>
              <w:rPr>
                <w:color w:val="17365D"/>
                <w:sz w:val="18"/>
                <w:szCs w:val="18"/>
              </w:rPr>
            </w:pPr>
            <w:r w:rsidRPr="0054080A">
              <w:rPr>
                <w:rFonts w:eastAsia="Times New Roman" w:cs="Times New Roman"/>
                <w:b/>
                <w:bCs/>
                <w:color w:val="17365D"/>
                <w:sz w:val="18"/>
                <w:szCs w:val="18"/>
                <w:lang w:eastAsia="lv-LV"/>
              </w:rPr>
              <w:t xml:space="preserve">I. Ieņēmumi kopā </w:t>
            </w:r>
          </w:p>
        </w:tc>
        <w:tc>
          <w:tcPr>
            <w:tcW w:w="992" w:type="dxa"/>
            <w:tcBorders>
              <w:top w:val="single" w:sz="4" w:space="0" w:color="17365D"/>
              <w:bottom w:val="single" w:sz="4" w:space="0" w:color="17365D"/>
            </w:tcBorders>
            <w:shd w:val="clear" w:color="auto" w:fill="auto"/>
            <w:vAlign w:val="center"/>
          </w:tcPr>
          <w:p w14:paraId="4029554F" w14:textId="106EFCF3"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0CBA948A" w14:textId="0CEAA1E4"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6CE127A1" w14:textId="2051505E"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-22 676 309 131</w:t>
            </w:r>
          </w:p>
        </w:tc>
        <w:tc>
          <w:tcPr>
            <w:tcW w:w="1560" w:type="dxa"/>
            <w:tcBorders>
              <w:top w:val="single" w:sz="4" w:space="0" w:color="17365D"/>
              <w:bottom w:val="single" w:sz="4" w:space="0" w:color="17365D"/>
            </w:tcBorders>
            <w:shd w:val="clear" w:color="auto" w:fill="auto"/>
            <w:vAlign w:val="center"/>
          </w:tcPr>
          <w:p w14:paraId="14BA3FDB" w14:textId="6A84E3E3"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-20 679 404 435</w:t>
            </w:r>
          </w:p>
        </w:tc>
      </w:tr>
      <w:tr w:rsidR="00381F40" w:rsidRPr="00177E3C" w14:paraId="690ED9BA" w14:textId="77777777" w:rsidTr="00C2309E">
        <w:trPr>
          <w:trHeight w:val="272"/>
        </w:trPr>
        <w:tc>
          <w:tcPr>
            <w:tcW w:w="4111" w:type="dxa"/>
            <w:tcBorders>
              <w:top w:val="single" w:sz="4" w:space="0" w:color="17365D"/>
              <w:bottom w:val="single" w:sz="4" w:space="0" w:color="17365D"/>
            </w:tcBorders>
            <w:shd w:val="clear" w:color="auto" w:fill="auto"/>
            <w:vAlign w:val="center"/>
          </w:tcPr>
          <w:p w14:paraId="609757B8" w14:textId="07276F15" w:rsidR="00381F40" w:rsidRPr="00177E3C" w:rsidRDefault="00381F40" w:rsidP="00381F40">
            <w:pPr>
              <w:spacing w:after="0" w:line="240" w:lineRule="auto"/>
              <w:rPr>
                <w:color w:val="17365D"/>
                <w:sz w:val="18"/>
                <w:szCs w:val="18"/>
              </w:rPr>
            </w:pPr>
            <w:r w:rsidRPr="0054080A">
              <w:rPr>
                <w:rFonts w:eastAsia="Times New Roman" w:cs="Times New Roman"/>
                <w:b/>
                <w:bCs/>
                <w:color w:val="17365D"/>
                <w:sz w:val="18"/>
                <w:szCs w:val="18"/>
                <w:lang w:eastAsia="lv-LV"/>
              </w:rPr>
              <w:t>II. Izdevumi kopā</w:t>
            </w:r>
          </w:p>
        </w:tc>
        <w:tc>
          <w:tcPr>
            <w:tcW w:w="992" w:type="dxa"/>
            <w:tcBorders>
              <w:top w:val="single" w:sz="4" w:space="0" w:color="17365D"/>
              <w:bottom w:val="single" w:sz="4" w:space="0" w:color="17365D"/>
            </w:tcBorders>
            <w:shd w:val="clear" w:color="auto" w:fill="auto"/>
            <w:vAlign w:val="center"/>
          </w:tcPr>
          <w:p w14:paraId="290D0729" w14:textId="0EDD3686"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3D87726" w14:textId="57816781"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525FE30A" w14:textId="1A6C9BE1"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-33 161 976 120</w:t>
            </w:r>
          </w:p>
        </w:tc>
        <w:tc>
          <w:tcPr>
            <w:tcW w:w="1560" w:type="dxa"/>
            <w:tcBorders>
              <w:top w:val="single" w:sz="4" w:space="0" w:color="17365D"/>
              <w:bottom w:val="single" w:sz="4" w:space="0" w:color="17365D"/>
            </w:tcBorders>
            <w:shd w:val="clear" w:color="auto" w:fill="auto"/>
            <w:vAlign w:val="center"/>
          </w:tcPr>
          <w:p w14:paraId="4395E8C0" w14:textId="53A4BC50" w:rsidR="00381F40" w:rsidRPr="00177E3C" w:rsidRDefault="00381F40" w:rsidP="00381F40">
            <w:pPr>
              <w:spacing w:after="0" w:line="240" w:lineRule="auto"/>
              <w:jc w:val="right"/>
              <w:rPr>
                <w:bCs/>
                <w:color w:val="17365D"/>
                <w:sz w:val="18"/>
                <w:szCs w:val="18"/>
              </w:rPr>
            </w:pPr>
            <w:r w:rsidRPr="0054080A">
              <w:rPr>
                <w:rFonts w:eastAsia="Times New Roman" w:cs="Times New Roman"/>
                <w:b/>
                <w:bCs/>
                <w:color w:val="17365D"/>
                <w:sz w:val="18"/>
                <w:szCs w:val="18"/>
                <w:lang w:eastAsia="lv-LV"/>
              </w:rPr>
              <w:t>-30 592 309 883</w:t>
            </w:r>
          </w:p>
        </w:tc>
      </w:tr>
      <w:tr w:rsidR="00381F40" w:rsidRPr="00177E3C" w14:paraId="3F295704" w14:textId="77777777" w:rsidTr="00C2309E">
        <w:trPr>
          <w:trHeight w:val="272"/>
        </w:trPr>
        <w:tc>
          <w:tcPr>
            <w:tcW w:w="4111" w:type="dxa"/>
            <w:tcBorders>
              <w:top w:val="single" w:sz="4" w:space="0" w:color="17365D"/>
              <w:bottom w:val="single" w:sz="4" w:space="0" w:color="17365D"/>
            </w:tcBorders>
            <w:shd w:val="clear" w:color="auto" w:fill="auto"/>
            <w:vAlign w:val="center"/>
          </w:tcPr>
          <w:p w14:paraId="4A0E9015" w14:textId="32E2A7CC" w:rsidR="00381F40" w:rsidRPr="00177E3C" w:rsidRDefault="00381F40" w:rsidP="00381F40">
            <w:pPr>
              <w:spacing w:after="0" w:line="240" w:lineRule="auto"/>
              <w:rPr>
                <w:color w:val="17365D"/>
                <w:sz w:val="18"/>
                <w:szCs w:val="18"/>
              </w:rPr>
            </w:pPr>
            <w:r>
              <w:rPr>
                <w:rFonts w:eastAsia="Times New Roman" w:cs="Times New Roman"/>
                <w:b/>
                <w:bCs/>
                <w:color w:val="17365D"/>
                <w:sz w:val="18"/>
                <w:szCs w:val="18"/>
                <w:lang w:eastAsia="lv-LV"/>
              </w:rPr>
              <w:t xml:space="preserve"> </w:t>
            </w:r>
            <w:r w:rsidRPr="005F47C7">
              <w:rPr>
                <w:rFonts w:eastAsia="Times New Roman" w:cs="Times New Roman"/>
                <w:b/>
                <w:bCs/>
                <w:color w:val="17365D"/>
                <w:sz w:val="18"/>
                <w:szCs w:val="18"/>
                <w:lang w:eastAsia="lv-LV"/>
              </w:rPr>
              <w:t xml:space="preserve">Naudas līdzekļu plūsma no pamatdarbības </w:t>
            </w:r>
          </w:p>
        </w:tc>
        <w:tc>
          <w:tcPr>
            <w:tcW w:w="992" w:type="dxa"/>
            <w:tcBorders>
              <w:top w:val="single" w:sz="4" w:space="0" w:color="17365D"/>
              <w:bottom w:val="single" w:sz="4" w:space="0" w:color="17365D"/>
            </w:tcBorders>
            <w:shd w:val="clear" w:color="auto" w:fill="auto"/>
            <w:vAlign w:val="center"/>
          </w:tcPr>
          <w:p w14:paraId="2BBA4CB2" w14:textId="3161F1FF"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51D250D" w14:textId="158D9C6E"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4</w:t>
            </w:r>
          </w:p>
        </w:tc>
        <w:tc>
          <w:tcPr>
            <w:tcW w:w="1556" w:type="dxa"/>
            <w:gridSpan w:val="2"/>
            <w:tcBorders>
              <w:top w:val="single" w:sz="4" w:space="0" w:color="17365D"/>
              <w:bottom w:val="single" w:sz="4" w:space="0" w:color="17365D"/>
            </w:tcBorders>
            <w:shd w:val="clear" w:color="auto" w:fill="auto"/>
            <w:vAlign w:val="center"/>
          </w:tcPr>
          <w:p w14:paraId="6A233C23" w14:textId="74B6E4CD"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7 194 147 022</w:t>
            </w:r>
          </w:p>
        </w:tc>
        <w:tc>
          <w:tcPr>
            <w:tcW w:w="1560" w:type="dxa"/>
            <w:tcBorders>
              <w:top w:val="single" w:sz="4" w:space="0" w:color="17365D"/>
              <w:bottom w:val="single" w:sz="4" w:space="0" w:color="17365D"/>
            </w:tcBorders>
            <w:shd w:val="clear" w:color="auto" w:fill="auto"/>
            <w:vAlign w:val="center"/>
          </w:tcPr>
          <w:p w14:paraId="64C6F171" w14:textId="27747932"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6 947 475 933</w:t>
            </w:r>
          </w:p>
        </w:tc>
      </w:tr>
      <w:tr w:rsidR="00381F40" w:rsidRPr="00177E3C" w14:paraId="413F7695" w14:textId="77777777" w:rsidTr="00C2309E">
        <w:trPr>
          <w:trHeight w:val="272"/>
        </w:trPr>
        <w:tc>
          <w:tcPr>
            <w:tcW w:w="4111" w:type="dxa"/>
            <w:tcBorders>
              <w:top w:val="single" w:sz="4" w:space="0" w:color="17365D"/>
              <w:bottom w:val="single" w:sz="4" w:space="0" w:color="17365D"/>
            </w:tcBorders>
            <w:shd w:val="clear" w:color="auto" w:fill="auto"/>
            <w:vAlign w:val="center"/>
          </w:tcPr>
          <w:p w14:paraId="5E73A249" w14:textId="3A5A3C38"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Ieņēmumi no pamatdarbības</w:t>
            </w:r>
          </w:p>
        </w:tc>
        <w:tc>
          <w:tcPr>
            <w:tcW w:w="992" w:type="dxa"/>
            <w:tcBorders>
              <w:top w:val="single" w:sz="4" w:space="0" w:color="17365D"/>
              <w:bottom w:val="single" w:sz="4" w:space="0" w:color="17365D"/>
            </w:tcBorders>
            <w:shd w:val="clear" w:color="auto" w:fill="auto"/>
            <w:vAlign w:val="center"/>
          </w:tcPr>
          <w:p w14:paraId="1525B6CB" w14:textId="32C50E01"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62E24F47" w14:textId="4CB71826"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5</w:t>
            </w:r>
          </w:p>
        </w:tc>
        <w:tc>
          <w:tcPr>
            <w:tcW w:w="1556" w:type="dxa"/>
            <w:gridSpan w:val="2"/>
            <w:tcBorders>
              <w:top w:val="single" w:sz="4" w:space="0" w:color="17365D"/>
              <w:bottom w:val="single" w:sz="4" w:space="0" w:color="17365D"/>
            </w:tcBorders>
            <w:shd w:val="clear" w:color="auto" w:fill="auto"/>
            <w:vAlign w:val="center"/>
          </w:tcPr>
          <w:p w14:paraId="1F084637" w14:textId="2726573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-1 799 430 983</w:t>
            </w:r>
          </w:p>
        </w:tc>
        <w:tc>
          <w:tcPr>
            <w:tcW w:w="1560" w:type="dxa"/>
            <w:tcBorders>
              <w:top w:val="single" w:sz="4" w:space="0" w:color="17365D"/>
              <w:bottom w:val="single" w:sz="4" w:space="0" w:color="17365D"/>
            </w:tcBorders>
            <w:shd w:val="clear" w:color="auto" w:fill="auto"/>
            <w:vAlign w:val="center"/>
          </w:tcPr>
          <w:p w14:paraId="1B7A6348" w14:textId="04EC20D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-1 677 962 658</w:t>
            </w:r>
          </w:p>
        </w:tc>
      </w:tr>
      <w:tr w:rsidR="00381F40" w:rsidRPr="00177E3C" w14:paraId="03115011" w14:textId="77777777" w:rsidTr="00C2309E">
        <w:trPr>
          <w:trHeight w:val="272"/>
        </w:trPr>
        <w:tc>
          <w:tcPr>
            <w:tcW w:w="4111" w:type="dxa"/>
            <w:tcBorders>
              <w:top w:val="single" w:sz="4" w:space="0" w:color="17365D"/>
              <w:bottom w:val="single" w:sz="4" w:space="0" w:color="17365D"/>
            </w:tcBorders>
            <w:shd w:val="clear" w:color="auto" w:fill="auto"/>
            <w:vAlign w:val="center"/>
          </w:tcPr>
          <w:p w14:paraId="70668057" w14:textId="7DFA09DC" w:rsidR="00381F40" w:rsidRPr="00177E3C" w:rsidRDefault="00381F40" w:rsidP="00381F40">
            <w:pPr>
              <w:spacing w:after="0" w:line="240" w:lineRule="auto"/>
              <w:ind w:firstLine="179"/>
              <w:rPr>
                <w:color w:val="17365D"/>
                <w:sz w:val="18"/>
                <w:szCs w:val="18"/>
              </w:rPr>
            </w:pPr>
            <w:proofErr w:type="spellStart"/>
            <w:r w:rsidRPr="0054080A">
              <w:rPr>
                <w:rFonts w:eastAsia="Times New Roman" w:cs="Times New Roman"/>
                <w:color w:val="17365D"/>
                <w:sz w:val="18"/>
                <w:szCs w:val="18"/>
                <w:lang w:eastAsia="lv-LV"/>
              </w:rPr>
              <w:t>Nenodokļu</w:t>
            </w:r>
            <w:proofErr w:type="spellEnd"/>
            <w:r w:rsidRPr="0054080A">
              <w:rPr>
                <w:rFonts w:eastAsia="Times New Roman" w:cs="Times New Roman"/>
                <w:color w:val="17365D"/>
                <w:sz w:val="18"/>
                <w:szCs w:val="18"/>
                <w:lang w:eastAsia="lv-LV"/>
              </w:rPr>
              <w:t xml:space="preserve"> ieņēmumi</w:t>
            </w:r>
          </w:p>
        </w:tc>
        <w:tc>
          <w:tcPr>
            <w:tcW w:w="992" w:type="dxa"/>
            <w:tcBorders>
              <w:top w:val="single" w:sz="4" w:space="0" w:color="17365D"/>
              <w:bottom w:val="single" w:sz="4" w:space="0" w:color="17365D"/>
            </w:tcBorders>
            <w:shd w:val="clear" w:color="auto" w:fill="auto"/>
            <w:vAlign w:val="center"/>
          </w:tcPr>
          <w:p w14:paraId="27566C96" w14:textId="7C594969"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39908E62" w14:textId="0862312B"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79B321E9" w14:textId="3A04E10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-10 654 742</w:t>
            </w:r>
          </w:p>
        </w:tc>
        <w:tc>
          <w:tcPr>
            <w:tcW w:w="1560" w:type="dxa"/>
            <w:tcBorders>
              <w:top w:val="single" w:sz="4" w:space="0" w:color="17365D"/>
              <w:bottom w:val="single" w:sz="4" w:space="0" w:color="17365D"/>
            </w:tcBorders>
            <w:shd w:val="clear" w:color="auto" w:fill="auto"/>
            <w:vAlign w:val="center"/>
          </w:tcPr>
          <w:p w14:paraId="6828DF74" w14:textId="6839183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-33 705 364</w:t>
            </w:r>
          </w:p>
        </w:tc>
      </w:tr>
      <w:tr w:rsidR="00381F40" w:rsidRPr="00177E3C" w14:paraId="1F5FBF5D" w14:textId="77777777" w:rsidTr="00C2309E">
        <w:trPr>
          <w:trHeight w:val="272"/>
        </w:trPr>
        <w:tc>
          <w:tcPr>
            <w:tcW w:w="4111" w:type="dxa"/>
            <w:tcBorders>
              <w:top w:val="single" w:sz="4" w:space="0" w:color="17365D"/>
              <w:bottom w:val="single" w:sz="4" w:space="0" w:color="17365D"/>
            </w:tcBorders>
            <w:shd w:val="clear" w:color="auto" w:fill="auto"/>
            <w:vAlign w:val="center"/>
          </w:tcPr>
          <w:p w14:paraId="54E7B948" w14:textId="7163C86E"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Maksas pakalpojumi un citi pašu ieņēmumi</w:t>
            </w:r>
          </w:p>
        </w:tc>
        <w:tc>
          <w:tcPr>
            <w:tcW w:w="992" w:type="dxa"/>
            <w:tcBorders>
              <w:top w:val="single" w:sz="4" w:space="0" w:color="17365D"/>
              <w:bottom w:val="single" w:sz="4" w:space="0" w:color="17365D"/>
            </w:tcBorders>
            <w:shd w:val="clear" w:color="auto" w:fill="auto"/>
            <w:vAlign w:val="center"/>
          </w:tcPr>
          <w:p w14:paraId="58BBE74E" w14:textId="1C0D0FDC"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3BA5879C" w14:textId="3C2633FA"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5</w:t>
            </w:r>
          </w:p>
        </w:tc>
        <w:tc>
          <w:tcPr>
            <w:tcW w:w="1556" w:type="dxa"/>
            <w:gridSpan w:val="2"/>
            <w:tcBorders>
              <w:top w:val="single" w:sz="4" w:space="0" w:color="17365D"/>
              <w:bottom w:val="single" w:sz="4" w:space="0" w:color="17365D"/>
            </w:tcBorders>
            <w:shd w:val="clear" w:color="auto" w:fill="auto"/>
            <w:vAlign w:val="center"/>
          </w:tcPr>
          <w:p w14:paraId="58503134" w14:textId="20A4DB7C"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-9 139</w:t>
            </w:r>
          </w:p>
        </w:tc>
        <w:tc>
          <w:tcPr>
            <w:tcW w:w="1560" w:type="dxa"/>
            <w:tcBorders>
              <w:top w:val="single" w:sz="4" w:space="0" w:color="17365D"/>
              <w:bottom w:val="single" w:sz="4" w:space="0" w:color="17365D"/>
            </w:tcBorders>
            <w:shd w:val="clear" w:color="auto" w:fill="auto"/>
            <w:vAlign w:val="center"/>
          </w:tcPr>
          <w:p w14:paraId="177C8750" w14:textId="6F84D978"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r>
      <w:tr w:rsidR="00381F40" w:rsidRPr="00177E3C" w14:paraId="266B8FAA" w14:textId="77777777" w:rsidTr="00C2309E">
        <w:trPr>
          <w:trHeight w:val="272"/>
        </w:trPr>
        <w:tc>
          <w:tcPr>
            <w:tcW w:w="4111" w:type="dxa"/>
            <w:tcBorders>
              <w:top w:val="single" w:sz="4" w:space="0" w:color="17365D"/>
              <w:bottom w:val="single" w:sz="4" w:space="0" w:color="17365D"/>
            </w:tcBorders>
            <w:shd w:val="clear" w:color="auto" w:fill="auto"/>
            <w:vAlign w:val="center"/>
          </w:tcPr>
          <w:p w14:paraId="0A84F768" w14:textId="5697BDFD"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Ārvalstu finanšu palīdzība</w:t>
            </w:r>
          </w:p>
        </w:tc>
        <w:tc>
          <w:tcPr>
            <w:tcW w:w="992" w:type="dxa"/>
            <w:tcBorders>
              <w:top w:val="single" w:sz="4" w:space="0" w:color="17365D"/>
              <w:bottom w:val="single" w:sz="4" w:space="0" w:color="17365D"/>
            </w:tcBorders>
            <w:shd w:val="clear" w:color="auto" w:fill="auto"/>
            <w:vAlign w:val="center"/>
          </w:tcPr>
          <w:p w14:paraId="2A1407EE" w14:textId="1660743F"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5D81034F" w14:textId="0D58467E"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3968E356" w14:textId="0E950CB2"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-7 400 246</w:t>
            </w:r>
          </w:p>
        </w:tc>
        <w:tc>
          <w:tcPr>
            <w:tcW w:w="1560" w:type="dxa"/>
            <w:tcBorders>
              <w:top w:val="single" w:sz="4" w:space="0" w:color="17365D"/>
              <w:bottom w:val="single" w:sz="4" w:space="0" w:color="17365D"/>
            </w:tcBorders>
            <w:shd w:val="clear" w:color="auto" w:fill="auto"/>
            <w:vAlign w:val="center"/>
          </w:tcPr>
          <w:p w14:paraId="07E63AD4" w14:textId="0714AFA1"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-14 234 269</w:t>
            </w:r>
          </w:p>
        </w:tc>
      </w:tr>
      <w:tr w:rsidR="00381F40" w:rsidRPr="00177E3C" w14:paraId="67146BB0" w14:textId="77777777" w:rsidTr="00C2309E">
        <w:trPr>
          <w:trHeight w:val="272"/>
        </w:trPr>
        <w:tc>
          <w:tcPr>
            <w:tcW w:w="4111" w:type="dxa"/>
            <w:tcBorders>
              <w:top w:val="single" w:sz="4" w:space="0" w:color="17365D"/>
              <w:bottom w:val="single" w:sz="4" w:space="0" w:color="17365D"/>
            </w:tcBorders>
            <w:shd w:val="clear" w:color="auto" w:fill="auto"/>
            <w:vAlign w:val="center"/>
          </w:tcPr>
          <w:p w14:paraId="2899EA3A" w14:textId="3FA27859" w:rsidR="00381F40" w:rsidRPr="00177E3C" w:rsidRDefault="00381F40" w:rsidP="00381F40">
            <w:pPr>
              <w:spacing w:after="0" w:line="240" w:lineRule="auto"/>
              <w:ind w:firstLine="179"/>
              <w:rPr>
                <w:color w:val="17365D"/>
                <w:sz w:val="18"/>
                <w:szCs w:val="18"/>
              </w:rPr>
            </w:pPr>
            <w:proofErr w:type="spellStart"/>
            <w:r w:rsidRPr="0054080A">
              <w:rPr>
                <w:rFonts w:eastAsia="Times New Roman" w:cs="Times New Roman"/>
                <w:color w:val="17365D"/>
                <w:sz w:val="18"/>
                <w:szCs w:val="18"/>
                <w:lang w:eastAsia="lv-LV"/>
              </w:rPr>
              <w:t>Transferti</w:t>
            </w:r>
            <w:proofErr w:type="spellEnd"/>
          </w:p>
        </w:tc>
        <w:tc>
          <w:tcPr>
            <w:tcW w:w="992" w:type="dxa"/>
            <w:tcBorders>
              <w:top w:val="single" w:sz="4" w:space="0" w:color="17365D"/>
              <w:bottom w:val="single" w:sz="4" w:space="0" w:color="17365D"/>
            </w:tcBorders>
            <w:shd w:val="clear" w:color="auto" w:fill="auto"/>
            <w:vAlign w:val="center"/>
          </w:tcPr>
          <w:p w14:paraId="33BB6F04" w14:textId="56EFC566"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389EABEB" w14:textId="4774B671"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3A362A71" w14:textId="6387E577"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-1 553 459 180</w:t>
            </w:r>
          </w:p>
        </w:tc>
        <w:tc>
          <w:tcPr>
            <w:tcW w:w="1560" w:type="dxa"/>
            <w:tcBorders>
              <w:top w:val="single" w:sz="4" w:space="0" w:color="17365D"/>
              <w:bottom w:val="single" w:sz="4" w:space="0" w:color="17365D"/>
            </w:tcBorders>
            <w:shd w:val="clear" w:color="auto" w:fill="auto"/>
            <w:vAlign w:val="center"/>
          </w:tcPr>
          <w:p w14:paraId="4B07033F" w14:textId="6F7AECF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-1 438 515 400</w:t>
            </w:r>
          </w:p>
        </w:tc>
      </w:tr>
      <w:tr w:rsidR="00381F40" w:rsidRPr="00177E3C" w14:paraId="6D2EE7C5" w14:textId="77777777" w:rsidTr="00C2309E">
        <w:trPr>
          <w:trHeight w:val="272"/>
        </w:trPr>
        <w:tc>
          <w:tcPr>
            <w:tcW w:w="4111" w:type="dxa"/>
            <w:tcBorders>
              <w:top w:val="single" w:sz="4" w:space="0" w:color="17365D"/>
              <w:bottom w:val="single" w:sz="4" w:space="0" w:color="17365D"/>
            </w:tcBorders>
            <w:shd w:val="clear" w:color="auto" w:fill="auto"/>
            <w:vAlign w:val="center"/>
          </w:tcPr>
          <w:p w14:paraId="20A3D5CE" w14:textId="59E14DF7"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Aizdevumu atmaksas</w:t>
            </w:r>
          </w:p>
        </w:tc>
        <w:tc>
          <w:tcPr>
            <w:tcW w:w="992" w:type="dxa"/>
            <w:tcBorders>
              <w:top w:val="single" w:sz="4" w:space="0" w:color="17365D"/>
              <w:bottom w:val="single" w:sz="4" w:space="0" w:color="17365D"/>
            </w:tcBorders>
            <w:shd w:val="clear" w:color="auto" w:fill="auto"/>
            <w:vAlign w:val="center"/>
          </w:tcPr>
          <w:p w14:paraId="484E0B70" w14:textId="3378EA5A"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519AC17" w14:textId="40C34E92"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74EBD77A" w14:textId="1FAA02A5"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-155 169 714</w:t>
            </w:r>
          </w:p>
        </w:tc>
        <w:tc>
          <w:tcPr>
            <w:tcW w:w="1560" w:type="dxa"/>
            <w:tcBorders>
              <w:top w:val="single" w:sz="4" w:space="0" w:color="17365D"/>
              <w:bottom w:val="single" w:sz="4" w:space="0" w:color="17365D"/>
            </w:tcBorders>
            <w:shd w:val="clear" w:color="auto" w:fill="auto"/>
            <w:vAlign w:val="center"/>
          </w:tcPr>
          <w:p w14:paraId="16B65D88" w14:textId="583431F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-150 888 093</w:t>
            </w:r>
          </w:p>
        </w:tc>
      </w:tr>
      <w:tr w:rsidR="00381F40" w:rsidRPr="00177E3C" w14:paraId="0BEA02E2" w14:textId="77777777" w:rsidTr="00C2309E">
        <w:trPr>
          <w:trHeight w:val="272"/>
        </w:trPr>
        <w:tc>
          <w:tcPr>
            <w:tcW w:w="4111" w:type="dxa"/>
            <w:tcBorders>
              <w:top w:val="single" w:sz="4" w:space="0" w:color="17365D"/>
              <w:bottom w:val="single" w:sz="4" w:space="0" w:color="17365D"/>
            </w:tcBorders>
            <w:shd w:val="clear" w:color="auto" w:fill="auto"/>
            <w:vAlign w:val="center"/>
          </w:tcPr>
          <w:p w14:paraId="7D54D81A" w14:textId="656E534E"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Procentu ieņēmumi</w:t>
            </w:r>
          </w:p>
        </w:tc>
        <w:tc>
          <w:tcPr>
            <w:tcW w:w="992" w:type="dxa"/>
            <w:tcBorders>
              <w:top w:val="single" w:sz="4" w:space="0" w:color="17365D"/>
              <w:bottom w:val="single" w:sz="4" w:space="0" w:color="17365D"/>
            </w:tcBorders>
            <w:shd w:val="clear" w:color="auto" w:fill="auto"/>
            <w:vAlign w:val="center"/>
          </w:tcPr>
          <w:p w14:paraId="3AF35A20" w14:textId="547ED178"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4D5610F" w14:textId="2036C548"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28F9315A" w14:textId="703B291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-72 737 962</w:t>
            </w:r>
          </w:p>
        </w:tc>
        <w:tc>
          <w:tcPr>
            <w:tcW w:w="1560" w:type="dxa"/>
            <w:tcBorders>
              <w:top w:val="single" w:sz="4" w:space="0" w:color="17365D"/>
              <w:bottom w:val="single" w:sz="4" w:space="0" w:color="17365D"/>
            </w:tcBorders>
            <w:shd w:val="clear" w:color="auto" w:fill="auto"/>
            <w:vAlign w:val="center"/>
          </w:tcPr>
          <w:p w14:paraId="7AE7064F" w14:textId="28A3E0E0"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-40 619 532</w:t>
            </w:r>
          </w:p>
        </w:tc>
      </w:tr>
      <w:tr w:rsidR="00381F40" w:rsidRPr="00177E3C" w14:paraId="6CB55FDE" w14:textId="77777777" w:rsidTr="00C2309E">
        <w:trPr>
          <w:trHeight w:val="272"/>
        </w:trPr>
        <w:tc>
          <w:tcPr>
            <w:tcW w:w="4111" w:type="dxa"/>
            <w:tcBorders>
              <w:top w:val="single" w:sz="4" w:space="0" w:color="17365D"/>
              <w:bottom w:val="single" w:sz="4" w:space="0" w:color="17365D"/>
            </w:tcBorders>
            <w:shd w:val="clear" w:color="auto" w:fill="auto"/>
            <w:vAlign w:val="center"/>
          </w:tcPr>
          <w:p w14:paraId="4D6B155A" w14:textId="31F6A78D"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Izdevumi no pamatdarbības</w:t>
            </w:r>
          </w:p>
        </w:tc>
        <w:tc>
          <w:tcPr>
            <w:tcW w:w="992" w:type="dxa"/>
            <w:tcBorders>
              <w:top w:val="single" w:sz="4" w:space="0" w:color="17365D"/>
              <w:bottom w:val="single" w:sz="4" w:space="0" w:color="17365D"/>
            </w:tcBorders>
            <w:shd w:val="clear" w:color="auto" w:fill="auto"/>
            <w:vAlign w:val="center"/>
          </w:tcPr>
          <w:p w14:paraId="201F0360" w14:textId="5E868C36"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60D14B78" w14:textId="6ABDD21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w:t>
            </w:r>
          </w:p>
        </w:tc>
        <w:tc>
          <w:tcPr>
            <w:tcW w:w="1556" w:type="dxa"/>
            <w:gridSpan w:val="2"/>
            <w:tcBorders>
              <w:top w:val="single" w:sz="4" w:space="0" w:color="17365D"/>
              <w:bottom w:val="single" w:sz="4" w:space="0" w:color="17365D"/>
            </w:tcBorders>
            <w:shd w:val="clear" w:color="auto" w:fill="auto"/>
            <w:vAlign w:val="center"/>
          </w:tcPr>
          <w:p w14:paraId="58493361" w14:textId="0F320B2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-8 993 578 005</w:t>
            </w:r>
          </w:p>
        </w:tc>
        <w:tc>
          <w:tcPr>
            <w:tcW w:w="1560" w:type="dxa"/>
            <w:tcBorders>
              <w:top w:val="single" w:sz="4" w:space="0" w:color="17365D"/>
              <w:bottom w:val="single" w:sz="4" w:space="0" w:color="17365D"/>
            </w:tcBorders>
            <w:shd w:val="clear" w:color="auto" w:fill="auto"/>
            <w:vAlign w:val="center"/>
          </w:tcPr>
          <w:p w14:paraId="0B44E297" w14:textId="0DE2E3F6"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-8 625 438 591</w:t>
            </w:r>
          </w:p>
        </w:tc>
      </w:tr>
      <w:tr w:rsidR="00381F40" w:rsidRPr="00177E3C" w14:paraId="377B5603" w14:textId="77777777" w:rsidTr="00C2309E">
        <w:trPr>
          <w:trHeight w:val="272"/>
        </w:trPr>
        <w:tc>
          <w:tcPr>
            <w:tcW w:w="4111" w:type="dxa"/>
            <w:tcBorders>
              <w:top w:val="single" w:sz="4" w:space="0" w:color="17365D"/>
              <w:bottom w:val="single" w:sz="4" w:space="0" w:color="17365D"/>
            </w:tcBorders>
            <w:shd w:val="clear" w:color="auto" w:fill="auto"/>
            <w:vAlign w:val="center"/>
          </w:tcPr>
          <w:p w14:paraId="1D9CAADB" w14:textId="54501375"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Mācību, darba un dienesta komandējumi un dienesta, darba braucieni</w:t>
            </w:r>
          </w:p>
        </w:tc>
        <w:tc>
          <w:tcPr>
            <w:tcW w:w="992" w:type="dxa"/>
            <w:tcBorders>
              <w:top w:val="single" w:sz="4" w:space="0" w:color="17365D"/>
              <w:bottom w:val="single" w:sz="4" w:space="0" w:color="17365D"/>
            </w:tcBorders>
            <w:shd w:val="clear" w:color="auto" w:fill="auto"/>
            <w:vAlign w:val="center"/>
          </w:tcPr>
          <w:p w14:paraId="1E5345D6" w14:textId="1F07471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BAAF802" w14:textId="753F4A84"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68F959B0" w14:textId="181AB240"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-269</w:t>
            </w:r>
          </w:p>
        </w:tc>
        <w:tc>
          <w:tcPr>
            <w:tcW w:w="1560" w:type="dxa"/>
            <w:tcBorders>
              <w:top w:val="single" w:sz="4" w:space="0" w:color="17365D"/>
              <w:bottom w:val="single" w:sz="4" w:space="0" w:color="17365D"/>
            </w:tcBorders>
            <w:shd w:val="clear" w:color="auto" w:fill="auto"/>
            <w:vAlign w:val="center"/>
          </w:tcPr>
          <w:p w14:paraId="40F2A39B" w14:textId="5335044F"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r>
      <w:tr w:rsidR="00381F40" w:rsidRPr="00177E3C" w14:paraId="5053699B" w14:textId="77777777" w:rsidTr="00C2309E">
        <w:trPr>
          <w:trHeight w:val="272"/>
        </w:trPr>
        <w:tc>
          <w:tcPr>
            <w:tcW w:w="4111" w:type="dxa"/>
            <w:tcBorders>
              <w:top w:val="single" w:sz="4" w:space="0" w:color="17365D"/>
              <w:bottom w:val="single" w:sz="4" w:space="0" w:color="17365D"/>
            </w:tcBorders>
            <w:shd w:val="clear" w:color="auto" w:fill="auto"/>
            <w:vAlign w:val="center"/>
          </w:tcPr>
          <w:p w14:paraId="59BE0E44" w14:textId="33F33A58"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lastRenderedPageBreak/>
              <w:t>Pakalpojumi</w:t>
            </w:r>
          </w:p>
        </w:tc>
        <w:tc>
          <w:tcPr>
            <w:tcW w:w="992" w:type="dxa"/>
            <w:tcBorders>
              <w:top w:val="single" w:sz="4" w:space="0" w:color="17365D"/>
              <w:bottom w:val="single" w:sz="4" w:space="0" w:color="17365D"/>
            </w:tcBorders>
            <w:shd w:val="clear" w:color="auto" w:fill="auto"/>
            <w:vAlign w:val="center"/>
          </w:tcPr>
          <w:p w14:paraId="6B363DE9" w14:textId="15120E2C"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1AF2137A" w14:textId="70B67D68"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w:t>
            </w:r>
          </w:p>
        </w:tc>
        <w:tc>
          <w:tcPr>
            <w:tcW w:w="1556" w:type="dxa"/>
            <w:gridSpan w:val="2"/>
            <w:tcBorders>
              <w:top w:val="single" w:sz="4" w:space="0" w:color="17365D"/>
              <w:bottom w:val="single" w:sz="4" w:space="0" w:color="17365D"/>
            </w:tcBorders>
            <w:shd w:val="clear" w:color="auto" w:fill="auto"/>
            <w:vAlign w:val="center"/>
          </w:tcPr>
          <w:p w14:paraId="53E1DE4D" w14:textId="23F5ED4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-3 120 982</w:t>
            </w:r>
          </w:p>
        </w:tc>
        <w:tc>
          <w:tcPr>
            <w:tcW w:w="1560" w:type="dxa"/>
            <w:tcBorders>
              <w:top w:val="single" w:sz="4" w:space="0" w:color="17365D"/>
              <w:bottom w:val="single" w:sz="4" w:space="0" w:color="17365D"/>
            </w:tcBorders>
            <w:shd w:val="clear" w:color="auto" w:fill="auto"/>
            <w:vAlign w:val="center"/>
          </w:tcPr>
          <w:p w14:paraId="1B1A058B" w14:textId="2C9D79D1"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-2 765 460</w:t>
            </w:r>
          </w:p>
        </w:tc>
      </w:tr>
      <w:tr w:rsidR="00381F40" w:rsidRPr="00177E3C" w14:paraId="07661F8D" w14:textId="77777777" w:rsidTr="00C2309E">
        <w:trPr>
          <w:trHeight w:val="272"/>
        </w:trPr>
        <w:tc>
          <w:tcPr>
            <w:tcW w:w="4111" w:type="dxa"/>
            <w:tcBorders>
              <w:top w:val="single" w:sz="4" w:space="0" w:color="17365D"/>
              <w:bottom w:val="single" w:sz="4" w:space="0" w:color="17365D"/>
            </w:tcBorders>
            <w:shd w:val="clear" w:color="auto" w:fill="auto"/>
            <w:vAlign w:val="center"/>
          </w:tcPr>
          <w:p w14:paraId="5EBBD40D" w14:textId="30570E69"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Krājumi, materiāli, energoresursi, preces, biroja preces un inventārs, periodika</w:t>
            </w:r>
          </w:p>
        </w:tc>
        <w:tc>
          <w:tcPr>
            <w:tcW w:w="992" w:type="dxa"/>
            <w:tcBorders>
              <w:top w:val="single" w:sz="4" w:space="0" w:color="17365D"/>
              <w:bottom w:val="single" w:sz="4" w:space="0" w:color="17365D"/>
            </w:tcBorders>
            <w:shd w:val="clear" w:color="auto" w:fill="auto"/>
            <w:vAlign w:val="center"/>
          </w:tcPr>
          <w:p w14:paraId="66C2E145" w14:textId="16D09090"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5D48F925" w14:textId="5A46A38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538ADB8E" w14:textId="62FD3DC0"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399</w:t>
            </w:r>
          </w:p>
        </w:tc>
        <w:tc>
          <w:tcPr>
            <w:tcW w:w="1560" w:type="dxa"/>
            <w:tcBorders>
              <w:top w:val="single" w:sz="4" w:space="0" w:color="17365D"/>
              <w:bottom w:val="single" w:sz="4" w:space="0" w:color="17365D"/>
            </w:tcBorders>
            <w:shd w:val="clear" w:color="auto" w:fill="auto"/>
            <w:vAlign w:val="center"/>
          </w:tcPr>
          <w:p w14:paraId="1115ABA2" w14:textId="2836CD50"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76</w:t>
            </w:r>
          </w:p>
        </w:tc>
      </w:tr>
      <w:tr w:rsidR="00381F40" w:rsidRPr="00177E3C" w14:paraId="7B52178A" w14:textId="77777777" w:rsidTr="00C2309E">
        <w:trPr>
          <w:trHeight w:val="272"/>
        </w:trPr>
        <w:tc>
          <w:tcPr>
            <w:tcW w:w="4111" w:type="dxa"/>
            <w:tcBorders>
              <w:top w:val="single" w:sz="4" w:space="0" w:color="17365D"/>
              <w:bottom w:val="single" w:sz="4" w:space="0" w:color="17365D"/>
            </w:tcBorders>
            <w:shd w:val="clear" w:color="auto" w:fill="auto"/>
            <w:vAlign w:val="center"/>
          </w:tcPr>
          <w:p w14:paraId="39260AD1" w14:textId="596F3261"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Subsīdijas, dotācijas un sociālie pabalsti, kārtējie maksājumi Eiropas Savienības budžetā un starptautiskā sadarbība</w:t>
            </w:r>
          </w:p>
        </w:tc>
        <w:tc>
          <w:tcPr>
            <w:tcW w:w="992" w:type="dxa"/>
            <w:tcBorders>
              <w:top w:val="single" w:sz="4" w:space="0" w:color="17365D"/>
              <w:bottom w:val="single" w:sz="4" w:space="0" w:color="17365D"/>
            </w:tcBorders>
            <w:shd w:val="clear" w:color="auto" w:fill="auto"/>
            <w:vAlign w:val="center"/>
          </w:tcPr>
          <w:p w14:paraId="0379C813" w14:textId="19EC958C"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1FD33B3" w14:textId="2431DB53"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19B56014" w14:textId="27B7D33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-3 364 958</w:t>
            </w:r>
          </w:p>
        </w:tc>
        <w:tc>
          <w:tcPr>
            <w:tcW w:w="1560" w:type="dxa"/>
            <w:tcBorders>
              <w:top w:val="single" w:sz="4" w:space="0" w:color="17365D"/>
              <w:bottom w:val="single" w:sz="4" w:space="0" w:color="17365D"/>
            </w:tcBorders>
            <w:shd w:val="clear" w:color="auto" w:fill="auto"/>
            <w:vAlign w:val="center"/>
          </w:tcPr>
          <w:p w14:paraId="5E339117" w14:textId="522F03E7"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-2 193 024</w:t>
            </w:r>
          </w:p>
        </w:tc>
      </w:tr>
      <w:tr w:rsidR="00381F40" w:rsidRPr="00177E3C" w14:paraId="5D0CC603" w14:textId="77777777" w:rsidTr="00C2309E">
        <w:trPr>
          <w:trHeight w:val="272"/>
        </w:trPr>
        <w:tc>
          <w:tcPr>
            <w:tcW w:w="4111" w:type="dxa"/>
            <w:tcBorders>
              <w:top w:val="single" w:sz="4" w:space="0" w:color="17365D"/>
              <w:bottom w:val="single" w:sz="4" w:space="0" w:color="17365D"/>
            </w:tcBorders>
            <w:shd w:val="clear" w:color="auto" w:fill="auto"/>
            <w:vAlign w:val="center"/>
          </w:tcPr>
          <w:p w14:paraId="0E088302" w14:textId="70B598B8" w:rsidR="00381F40" w:rsidRPr="00177E3C" w:rsidRDefault="00381F40" w:rsidP="00381F40">
            <w:pPr>
              <w:spacing w:after="0" w:line="240" w:lineRule="auto"/>
              <w:ind w:firstLine="179"/>
              <w:rPr>
                <w:color w:val="17365D"/>
                <w:sz w:val="18"/>
                <w:szCs w:val="18"/>
              </w:rPr>
            </w:pPr>
            <w:proofErr w:type="spellStart"/>
            <w:r w:rsidRPr="0054080A">
              <w:rPr>
                <w:rFonts w:eastAsia="Times New Roman" w:cs="Times New Roman"/>
                <w:color w:val="17365D"/>
                <w:sz w:val="18"/>
                <w:szCs w:val="18"/>
                <w:lang w:eastAsia="lv-LV"/>
              </w:rPr>
              <w:t>Transferti</w:t>
            </w:r>
            <w:proofErr w:type="spellEnd"/>
            <w:r w:rsidRPr="0054080A">
              <w:rPr>
                <w:rFonts w:eastAsia="Times New Roman" w:cs="Times New Roman"/>
                <w:color w:val="17365D"/>
                <w:sz w:val="18"/>
                <w:szCs w:val="18"/>
                <w:lang w:eastAsia="lv-LV"/>
              </w:rPr>
              <w:t xml:space="preserve"> </w:t>
            </w:r>
          </w:p>
        </w:tc>
        <w:tc>
          <w:tcPr>
            <w:tcW w:w="992" w:type="dxa"/>
            <w:tcBorders>
              <w:top w:val="single" w:sz="4" w:space="0" w:color="17365D"/>
              <w:bottom w:val="single" w:sz="4" w:space="0" w:color="17365D"/>
            </w:tcBorders>
            <w:shd w:val="clear" w:color="auto" w:fill="auto"/>
            <w:vAlign w:val="center"/>
          </w:tcPr>
          <w:p w14:paraId="7796AEF4" w14:textId="01B0C8F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6AC2AE90" w14:textId="7619E0B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49AFC81E" w14:textId="59CF203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-1 568 139 050</w:t>
            </w:r>
          </w:p>
        </w:tc>
        <w:tc>
          <w:tcPr>
            <w:tcW w:w="1560" w:type="dxa"/>
            <w:tcBorders>
              <w:top w:val="single" w:sz="4" w:space="0" w:color="17365D"/>
              <w:bottom w:val="single" w:sz="4" w:space="0" w:color="17365D"/>
            </w:tcBorders>
            <w:shd w:val="clear" w:color="auto" w:fill="auto"/>
            <w:vAlign w:val="center"/>
          </w:tcPr>
          <w:p w14:paraId="779CFFC3" w14:textId="7A144E1F"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-1 470 027 816</w:t>
            </w:r>
          </w:p>
        </w:tc>
      </w:tr>
      <w:tr w:rsidR="00381F40" w:rsidRPr="00177E3C" w14:paraId="7BBEC094" w14:textId="77777777" w:rsidTr="00C2309E">
        <w:trPr>
          <w:trHeight w:val="272"/>
        </w:trPr>
        <w:tc>
          <w:tcPr>
            <w:tcW w:w="4111" w:type="dxa"/>
            <w:tcBorders>
              <w:top w:val="single" w:sz="4" w:space="0" w:color="17365D"/>
              <w:bottom w:val="single" w:sz="4" w:space="0" w:color="17365D"/>
            </w:tcBorders>
            <w:shd w:val="clear" w:color="auto" w:fill="auto"/>
            <w:vAlign w:val="center"/>
          </w:tcPr>
          <w:p w14:paraId="24CDB4CB" w14:textId="78060188" w:rsidR="00381F40" w:rsidRPr="00177E3C" w:rsidRDefault="00381F40" w:rsidP="00381F40">
            <w:pPr>
              <w:spacing w:after="0" w:line="240" w:lineRule="auto"/>
              <w:ind w:firstLine="179"/>
              <w:rPr>
                <w:color w:val="17365D"/>
                <w:sz w:val="18"/>
                <w:szCs w:val="18"/>
              </w:rPr>
            </w:pPr>
            <w:r>
              <w:rPr>
                <w:rFonts w:eastAsia="Times New Roman" w:cs="Times New Roman"/>
                <w:color w:val="17365D"/>
                <w:sz w:val="18"/>
                <w:szCs w:val="18"/>
                <w:lang w:eastAsia="lv-LV"/>
              </w:rPr>
              <w:t xml:space="preserve">  </w:t>
            </w:r>
            <w:proofErr w:type="spellStart"/>
            <w:r w:rsidRPr="0054080A">
              <w:rPr>
                <w:rFonts w:eastAsia="Times New Roman" w:cs="Times New Roman"/>
                <w:color w:val="17365D"/>
                <w:sz w:val="18"/>
                <w:szCs w:val="18"/>
                <w:lang w:eastAsia="lv-LV"/>
              </w:rPr>
              <w:t>Transferti</w:t>
            </w:r>
            <w:proofErr w:type="spellEnd"/>
            <w:r w:rsidRPr="0054080A">
              <w:rPr>
                <w:rFonts w:eastAsia="Times New Roman" w:cs="Times New Roman"/>
                <w:color w:val="17365D"/>
                <w:sz w:val="18"/>
                <w:szCs w:val="18"/>
                <w:lang w:eastAsia="lv-LV"/>
              </w:rPr>
              <w:t xml:space="preserve"> uzturēšanas izdevumiem</w:t>
            </w:r>
          </w:p>
        </w:tc>
        <w:tc>
          <w:tcPr>
            <w:tcW w:w="992" w:type="dxa"/>
            <w:tcBorders>
              <w:top w:val="single" w:sz="4" w:space="0" w:color="17365D"/>
              <w:bottom w:val="single" w:sz="4" w:space="0" w:color="17365D"/>
            </w:tcBorders>
            <w:shd w:val="clear" w:color="auto" w:fill="auto"/>
            <w:vAlign w:val="center"/>
          </w:tcPr>
          <w:p w14:paraId="029D9EA6" w14:textId="1975AB6E"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3DC040B" w14:textId="523E5986"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5A940D9D" w14:textId="3CFD5D38"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-1 423 778 838</w:t>
            </w:r>
          </w:p>
        </w:tc>
        <w:tc>
          <w:tcPr>
            <w:tcW w:w="1560" w:type="dxa"/>
            <w:tcBorders>
              <w:top w:val="single" w:sz="4" w:space="0" w:color="17365D"/>
              <w:bottom w:val="single" w:sz="4" w:space="0" w:color="17365D"/>
            </w:tcBorders>
            <w:shd w:val="clear" w:color="auto" w:fill="auto"/>
            <w:vAlign w:val="center"/>
          </w:tcPr>
          <w:p w14:paraId="7CDB14ED" w14:textId="5EEE0AA1"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-1 283 145 638</w:t>
            </w:r>
          </w:p>
        </w:tc>
      </w:tr>
      <w:tr w:rsidR="00381F40" w:rsidRPr="00177E3C" w14:paraId="0FF8F7E5" w14:textId="77777777" w:rsidTr="00C2309E">
        <w:trPr>
          <w:trHeight w:val="272"/>
        </w:trPr>
        <w:tc>
          <w:tcPr>
            <w:tcW w:w="4111" w:type="dxa"/>
            <w:tcBorders>
              <w:top w:val="single" w:sz="4" w:space="0" w:color="17365D"/>
              <w:bottom w:val="single" w:sz="4" w:space="0" w:color="17365D"/>
            </w:tcBorders>
            <w:shd w:val="clear" w:color="auto" w:fill="auto"/>
            <w:vAlign w:val="center"/>
          </w:tcPr>
          <w:p w14:paraId="72507FD4" w14:textId="6D1AA1CB" w:rsidR="00381F40" w:rsidRPr="00177E3C" w:rsidRDefault="00381F40" w:rsidP="00381F40">
            <w:pPr>
              <w:spacing w:after="0" w:line="240" w:lineRule="auto"/>
              <w:ind w:firstLine="179"/>
              <w:rPr>
                <w:color w:val="17365D"/>
                <w:sz w:val="18"/>
                <w:szCs w:val="18"/>
              </w:rPr>
            </w:pPr>
            <w:r>
              <w:rPr>
                <w:rFonts w:eastAsia="Times New Roman" w:cs="Times New Roman"/>
                <w:color w:val="17365D"/>
                <w:sz w:val="18"/>
                <w:szCs w:val="18"/>
                <w:lang w:eastAsia="lv-LV"/>
              </w:rPr>
              <w:t xml:space="preserve">  </w:t>
            </w:r>
            <w:proofErr w:type="spellStart"/>
            <w:r w:rsidRPr="0054080A">
              <w:rPr>
                <w:rFonts w:eastAsia="Times New Roman" w:cs="Times New Roman"/>
                <w:color w:val="17365D"/>
                <w:sz w:val="18"/>
                <w:szCs w:val="18"/>
                <w:lang w:eastAsia="lv-LV"/>
              </w:rPr>
              <w:t>Transferti</w:t>
            </w:r>
            <w:proofErr w:type="spellEnd"/>
            <w:r w:rsidRPr="0054080A">
              <w:rPr>
                <w:rFonts w:eastAsia="Times New Roman" w:cs="Times New Roman"/>
                <w:color w:val="17365D"/>
                <w:sz w:val="18"/>
                <w:szCs w:val="18"/>
                <w:lang w:eastAsia="lv-LV"/>
              </w:rPr>
              <w:t xml:space="preserve"> kapitālajiem izdevumiem</w:t>
            </w:r>
          </w:p>
        </w:tc>
        <w:tc>
          <w:tcPr>
            <w:tcW w:w="992" w:type="dxa"/>
            <w:tcBorders>
              <w:top w:val="single" w:sz="4" w:space="0" w:color="17365D"/>
              <w:bottom w:val="single" w:sz="4" w:space="0" w:color="17365D"/>
            </w:tcBorders>
            <w:shd w:val="clear" w:color="auto" w:fill="auto"/>
            <w:vAlign w:val="center"/>
          </w:tcPr>
          <w:p w14:paraId="1544DC75" w14:textId="31BDEABF"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0DCA3279" w14:textId="5DE380E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20FF07C1" w14:textId="7BD5A7E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-144 360 212</w:t>
            </w:r>
          </w:p>
        </w:tc>
        <w:tc>
          <w:tcPr>
            <w:tcW w:w="1560" w:type="dxa"/>
            <w:tcBorders>
              <w:top w:val="single" w:sz="4" w:space="0" w:color="17365D"/>
              <w:bottom w:val="single" w:sz="4" w:space="0" w:color="17365D"/>
            </w:tcBorders>
            <w:shd w:val="clear" w:color="auto" w:fill="auto"/>
            <w:vAlign w:val="center"/>
          </w:tcPr>
          <w:p w14:paraId="72D928A3" w14:textId="4E978F1A"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-186 882 178</w:t>
            </w:r>
          </w:p>
        </w:tc>
      </w:tr>
      <w:tr w:rsidR="00381F40" w:rsidRPr="00177E3C" w14:paraId="022DA6B1" w14:textId="77777777" w:rsidTr="00C2309E">
        <w:trPr>
          <w:trHeight w:val="272"/>
        </w:trPr>
        <w:tc>
          <w:tcPr>
            <w:tcW w:w="4111" w:type="dxa"/>
            <w:tcBorders>
              <w:top w:val="single" w:sz="4" w:space="0" w:color="17365D"/>
              <w:bottom w:val="single" w:sz="4" w:space="0" w:color="17365D"/>
            </w:tcBorders>
            <w:shd w:val="clear" w:color="auto" w:fill="auto"/>
            <w:vAlign w:val="center"/>
          </w:tcPr>
          <w:p w14:paraId="2804E3B1" w14:textId="2759C338"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Aizdevumu izsniegšana</w:t>
            </w:r>
          </w:p>
        </w:tc>
        <w:tc>
          <w:tcPr>
            <w:tcW w:w="992" w:type="dxa"/>
            <w:tcBorders>
              <w:top w:val="single" w:sz="4" w:space="0" w:color="17365D"/>
              <w:bottom w:val="single" w:sz="4" w:space="0" w:color="17365D"/>
            </w:tcBorders>
            <w:shd w:val="clear" w:color="auto" w:fill="auto"/>
            <w:vAlign w:val="center"/>
          </w:tcPr>
          <w:p w14:paraId="5E9FBE7D" w14:textId="39A30EF7"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315B9C4D" w14:textId="3F81E87B"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2287F61D" w14:textId="75C08CD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-194 565 466</w:t>
            </w:r>
          </w:p>
        </w:tc>
        <w:tc>
          <w:tcPr>
            <w:tcW w:w="1560" w:type="dxa"/>
            <w:tcBorders>
              <w:top w:val="single" w:sz="4" w:space="0" w:color="17365D"/>
              <w:bottom w:val="single" w:sz="4" w:space="0" w:color="17365D"/>
            </w:tcBorders>
            <w:shd w:val="clear" w:color="auto" w:fill="auto"/>
            <w:vAlign w:val="center"/>
          </w:tcPr>
          <w:p w14:paraId="54F97C98" w14:textId="76E85CAF"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-234 982 627</w:t>
            </w:r>
          </w:p>
        </w:tc>
      </w:tr>
      <w:tr w:rsidR="00381F40" w:rsidRPr="00177E3C" w14:paraId="77CAE1B1" w14:textId="77777777" w:rsidTr="00C2309E">
        <w:trPr>
          <w:trHeight w:val="272"/>
        </w:trPr>
        <w:tc>
          <w:tcPr>
            <w:tcW w:w="4111" w:type="dxa"/>
            <w:tcBorders>
              <w:top w:val="single" w:sz="4" w:space="0" w:color="17365D"/>
              <w:bottom w:val="single" w:sz="4" w:space="0" w:color="17365D"/>
            </w:tcBorders>
            <w:shd w:val="clear" w:color="auto" w:fill="auto"/>
            <w:vAlign w:val="center"/>
          </w:tcPr>
          <w:p w14:paraId="4519965E" w14:textId="4B38AF84"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Citi izdevumi no pamatdarbības</w:t>
            </w:r>
          </w:p>
        </w:tc>
        <w:tc>
          <w:tcPr>
            <w:tcW w:w="992" w:type="dxa"/>
            <w:tcBorders>
              <w:top w:val="single" w:sz="4" w:space="0" w:color="17365D"/>
              <w:bottom w:val="single" w:sz="4" w:space="0" w:color="17365D"/>
            </w:tcBorders>
            <w:shd w:val="clear" w:color="auto" w:fill="auto"/>
            <w:vAlign w:val="center"/>
          </w:tcPr>
          <w:p w14:paraId="01AA7961" w14:textId="58B2443A"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03FF40EE" w14:textId="49F046C7"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726A90E6" w14:textId="21D814B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-7 224 387 679</w:t>
            </w:r>
          </w:p>
        </w:tc>
        <w:tc>
          <w:tcPr>
            <w:tcW w:w="1560" w:type="dxa"/>
            <w:tcBorders>
              <w:top w:val="single" w:sz="4" w:space="0" w:color="17365D"/>
              <w:bottom w:val="single" w:sz="4" w:space="0" w:color="17365D"/>
            </w:tcBorders>
            <w:shd w:val="clear" w:color="auto" w:fill="auto"/>
            <w:vAlign w:val="center"/>
          </w:tcPr>
          <w:p w14:paraId="7D45BF5A" w14:textId="79A06555"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-6 915 469 740</w:t>
            </w:r>
          </w:p>
        </w:tc>
      </w:tr>
      <w:tr w:rsidR="00381F40" w:rsidRPr="00177E3C" w14:paraId="1626E717" w14:textId="77777777" w:rsidTr="00C2309E">
        <w:trPr>
          <w:trHeight w:val="272"/>
        </w:trPr>
        <w:tc>
          <w:tcPr>
            <w:tcW w:w="4111" w:type="dxa"/>
            <w:tcBorders>
              <w:top w:val="single" w:sz="4" w:space="0" w:color="17365D"/>
              <w:bottom w:val="single" w:sz="4" w:space="0" w:color="17365D"/>
            </w:tcBorders>
            <w:shd w:val="clear" w:color="auto" w:fill="auto"/>
            <w:vAlign w:val="center"/>
          </w:tcPr>
          <w:p w14:paraId="3F468DC6" w14:textId="3C4C0F3B" w:rsidR="00381F40" w:rsidRPr="00177E3C" w:rsidRDefault="00381F40" w:rsidP="00381F40">
            <w:pPr>
              <w:spacing w:after="0" w:line="240" w:lineRule="auto"/>
              <w:rPr>
                <w:color w:val="17365D"/>
                <w:sz w:val="18"/>
                <w:szCs w:val="18"/>
              </w:rPr>
            </w:pPr>
            <w:r>
              <w:rPr>
                <w:rFonts w:eastAsia="Times New Roman" w:cs="Times New Roman"/>
                <w:b/>
                <w:bCs/>
                <w:color w:val="17365D"/>
                <w:sz w:val="18"/>
                <w:szCs w:val="18"/>
                <w:lang w:eastAsia="lv-LV"/>
              </w:rPr>
              <w:t xml:space="preserve"> </w:t>
            </w:r>
            <w:r w:rsidRPr="005F47C7">
              <w:rPr>
                <w:rFonts w:eastAsia="Times New Roman" w:cs="Times New Roman"/>
                <w:b/>
                <w:bCs/>
                <w:color w:val="17365D"/>
                <w:sz w:val="18"/>
                <w:szCs w:val="18"/>
                <w:lang w:eastAsia="lv-LV"/>
              </w:rPr>
              <w:t xml:space="preserve">Naudas līdzekļu plūsma no ieguldījumu darbības </w:t>
            </w:r>
          </w:p>
        </w:tc>
        <w:tc>
          <w:tcPr>
            <w:tcW w:w="992" w:type="dxa"/>
            <w:tcBorders>
              <w:top w:val="single" w:sz="4" w:space="0" w:color="17365D"/>
              <w:bottom w:val="single" w:sz="4" w:space="0" w:color="17365D"/>
            </w:tcBorders>
            <w:shd w:val="clear" w:color="auto" w:fill="auto"/>
            <w:vAlign w:val="center"/>
          </w:tcPr>
          <w:p w14:paraId="10B9C2BE" w14:textId="085FBFBE"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4170B662" w14:textId="5C4B9FC2"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1C11B2C2" w14:textId="5C3CB71B"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686 133 540</w:t>
            </w:r>
          </w:p>
        </w:tc>
        <w:tc>
          <w:tcPr>
            <w:tcW w:w="1560" w:type="dxa"/>
            <w:tcBorders>
              <w:top w:val="single" w:sz="4" w:space="0" w:color="17365D"/>
              <w:bottom w:val="single" w:sz="4" w:space="0" w:color="17365D"/>
            </w:tcBorders>
            <w:shd w:val="clear" w:color="auto" w:fill="auto"/>
            <w:vAlign w:val="center"/>
          </w:tcPr>
          <w:p w14:paraId="6E037831" w14:textId="20497AA6"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-34 677 885</w:t>
            </w:r>
          </w:p>
        </w:tc>
      </w:tr>
      <w:tr w:rsidR="00381F40" w:rsidRPr="00177E3C" w14:paraId="7A2C6CED" w14:textId="77777777" w:rsidTr="00C2309E">
        <w:trPr>
          <w:trHeight w:val="272"/>
        </w:trPr>
        <w:tc>
          <w:tcPr>
            <w:tcW w:w="4111" w:type="dxa"/>
            <w:tcBorders>
              <w:top w:val="single" w:sz="4" w:space="0" w:color="17365D"/>
              <w:bottom w:val="single" w:sz="4" w:space="0" w:color="17365D"/>
            </w:tcBorders>
            <w:shd w:val="clear" w:color="auto" w:fill="auto"/>
            <w:vAlign w:val="center"/>
          </w:tcPr>
          <w:p w14:paraId="161B2F4E" w14:textId="3DF3051A"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Ieņēmumi no ieguldījumu darbības</w:t>
            </w:r>
          </w:p>
        </w:tc>
        <w:tc>
          <w:tcPr>
            <w:tcW w:w="992" w:type="dxa"/>
            <w:tcBorders>
              <w:top w:val="single" w:sz="4" w:space="0" w:color="17365D"/>
              <w:bottom w:val="single" w:sz="4" w:space="0" w:color="17365D"/>
            </w:tcBorders>
            <w:shd w:val="clear" w:color="auto" w:fill="auto"/>
            <w:vAlign w:val="center"/>
          </w:tcPr>
          <w:p w14:paraId="2BF2844D" w14:textId="2F178545"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11CA43F5" w14:textId="3460853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179DDA82" w14:textId="75E2ED43"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-17 166 460</w:t>
            </w:r>
          </w:p>
        </w:tc>
        <w:tc>
          <w:tcPr>
            <w:tcW w:w="1560" w:type="dxa"/>
            <w:tcBorders>
              <w:top w:val="single" w:sz="4" w:space="0" w:color="17365D"/>
              <w:bottom w:val="single" w:sz="4" w:space="0" w:color="17365D"/>
            </w:tcBorders>
            <w:shd w:val="clear" w:color="auto" w:fill="auto"/>
            <w:vAlign w:val="center"/>
          </w:tcPr>
          <w:p w14:paraId="1DD4722A" w14:textId="1DB50739"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-339 277 885</w:t>
            </w:r>
          </w:p>
        </w:tc>
      </w:tr>
      <w:tr w:rsidR="00381F40" w:rsidRPr="00177E3C" w14:paraId="0465B3F5" w14:textId="77777777" w:rsidTr="00C2309E">
        <w:trPr>
          <w:trHeight w:val="272"/>
        </w:trPr>
        <w:tc>
          <w:tcPr>
            <w:tcW w:w="4111" w:type="dxa"/>
            <w:tcBorders>
              <w:top w:val="single" w:sz="4" w:space="0" w:color="17365D"/>
              <w:bottom w:val="single" w:sz="4" w:space="0" w:color="17365D"/>
            </w:tcBorders>
            <w:shd w:val="clear" w:color="auto" w:fill="auto"/>
            <w:vAlign w:val="center"/>
          </w:tcPr>
          <w:p w14:paraId="3E6F7239" w14:textId="44E2CE21"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Procentu ieņēmumi</w:t>
            </w:r>
          </w:p>
        </w:tc>
        <w:tc>
          <w:tcPr>
            <w:tcW w:w="992" w:type="dxa"/>
            <w:tcBorders>
              <w:top w:val="single" w:sz="4" w:space="0" w:color="17365D"/>
              <w:bottom w:val="single" w:sz="4" w:space="0" w:color="17365D"/>
            </w:tcBorders>
            <w:shd w:val="clear" w:color="auto" w:fill="auto"/>
            <w:vAlign w:val="center"/>
          </w:tcPr>
          <w:p w14:paraId="547DB79E" w14:textId="4C0A9936"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5FA0A1A" w14:textId="4DA4828F"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14628241" w14:textId="3B318EE7"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-12 566 460</w:t>
            </w:r>
          </w:p>
        </w:tc>
        <w:tc>
          <w:tcPr>
            <w:tcW w:w="1560" w:type="dxa"/>
            <w:tcBorders>
              <w:top w:val="single" w:sz="4" w:space="0" w:color="17365D"/>
              <w:bottom w:val="single" w:sz="4" w:space="0" w:color="17365D"/>
            </w:tcBorders>
            <w:shd w:val="clear" w:color="auto" w:fill="auto"/>
            <w:vAlign w:val="center"/>
          </w:tcPr>
          <w:p w14:paraId="222BC65D" w14:textId="7743FD6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-1 677 885</w:t>
            </w:r>
          </w:p>
        </w:tc>
      </w:tr>
      <w:tr w:rsidR="00381F40" w:rsidRPr="00177E3C" w14:paraId="760D880C" w14:textId="77777777" w:rsidTr="00C2309E">
        <w:trPr>
          <w:trHeight w:val="272"/>
        </w:trPr>
        <w:tc>
          <w:tcPr>
            <w:tcW w:w="4111" w:type="dxa"/>
            <w:tcBorders>
              <w:top w:val="single" w:sz="4" w:space="0" w:color="17365D"/>
              <w:bottom w:val="single" w:sz="4" w:space="0" w:color="17365D"/>
            </w:tcBorders>
            <w:shd w:val="clear" w:color="auto" w:fill="auto"/>
            <w:vAlign w:val="center"/>
          </w:tcPr>
          <w:p w14:paraId="63111322" w14:textId="065DF958"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Citi ieņēmumi no ieguldījumu darbības</w:t>
            </w:r>
          </w:p>
        </w:tc>
        <w:tc>
          <w:tcPr>
            <w:tcW w:w="992" w:type="dxa"/>
            <w:tcBorders>
              <w:top w:val="single" w:sz="4" w:space="0" w:color="17365D"/>
              <w:bottom w:val="single" w:sz="4" w:space="0" w:color="17365D"/>
            </w:tcBorders>
            <w:shd w:val="clear" w:color="auto" w:fill="auto"/>
            <w:vAlign w:val="center"/>
          </w:tcPr>
          <w:p w14:paraId="2117E46F" w14:textId="5E336807"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CA32B13" w14:textId="752AC42F"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0AB84CF3" w14:textId="04B531A5"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-4 600 000</w:t>
            </w:r>
          </w:p>
        </w:tc>
        <w:tc>
          <w:tcPr>
            <w:tcW w:w="1560" w:type="dxa"/>
            <w:tcBorders>
              <w:top w:val="single" w:sz="4" w:space="0" w:color="17365D"/>
              <w:bottom w:val="single" w:sz="4" w:space="0" w:color="17365D"/>
            </w:tcBorders>
            <w:shd w:val="clear" w:color="auto" w:fill="auto"/>
            <w:vAlign w:val="center"/>
          </w:tcPr>
          <w:p w14:paraId="5B6CBFF9" w14:textId="363E301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-337 600 000</w:t>
            </w:r>
          </w:p>
        </w:tc>
      </w:tr>
      <w:tr w:rsidR="00381F40" w:rsidRPr="00177E3C" w14:paraId="407CC8DB" w14:textId="77777777" w:rsidTr="00C2309E">
        <w:trPr>
          <w:trHeight w:val="272"/>
        </w:trPr>
        <w:tc>
          <w:tcPr>
            <w:tcW w:w="4111" w:type="dxa"/>
            <w:tcBorders>
              <w:top w:val="single" w:sz="4" w:space="0" w:color="17365D"/>
              <w:bottom w:val="single" w:sz="4" w:space="0" w:color="17365D"/>
            </w:tcBorders>
            <w:shd w:val="clear" w:color="auto" w:fill="auto"/>
            <w:vAlign w:val="center"/>
          </w:tcPr>
          <w:p w14:paraId="74343083" w14:textId="0AC73E65"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Izdevumi no ieguldījumu darbības</w:t>
            </w:r>
          </w:p>
        </w:tc>
        <w:tc>
          <w:tcPr>
            <w:tcW w:w="992" w:type="dxa"/>
            <w:tcBorders>
              <w:top w:val="single" w:sz="4" w:space="0" w:color="17365D"/>
              <w:bottom w:val="single" w:sz="4" w:space="0" w:color="17365D"/>
            </w:tcBorders>
            <w:shd w:val="clear" w:color="auto" w:fill="auto"/>
            <w:vAlign w:val="center"/>
          </w:tcPr>
          <w:p w14:paraId="113606A2" w14:textId="18B154FA"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60A91DD6" w14:textId="6615BBB5"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52EA824B" w14:textId="6ACEF421"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-703 300 000</w:t>
            </w:r>
          </w:p>
        </w:tc>
        <w:tc>
          <w:tcPr>
            <w:tcW w:w="1560" w:type="dxa"/>
            <w:tcBorders>
              <w:top w:val="single" w:sz="4" w:space="0" w:color="17365D"/>
              <w:bottom w:val="single" w:sz="4" w:space="0" w:color="17365D"/>
            </w:tcBorders>
            <w:shd w:val="clear" w:color="auto" w:fill="auto"/>
            <w:vAlign w:val="center"/>
          </w:tcPr>
          <w:p w14:paraId="09955223" w14:textId="20788CFA"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-304 600 000</w:t>
            </w:r>
          </w:p>
        </w:tc>
      </w:tr>
      <w:tr w:rsidR="00381F40" w:rsidRPr="00177E3C" w14:paraId="1A92BCD1" w14:textId="77777777" w:rsidTr="00C2309E">
        <w:trPr>
          <w:trHeight w:val="272"/>
        </w:trPr>
        <w:tc>
          <w:tcPr>
            <w:tcW w:w="4111" w:type="dxa"/>
            <w:tcBorders>
              <w:top w:val="single" w:sz="4" w:space="0" w:color="17365D"/>
              <w:bottom w:val="single" w:sz="4" w:space="0" w:color="17365D"/>
            </w:tcBorders>
            <w:shd w:val="clear" w:color="auto" w:fill="auto"/>
            <w:vAlign w:val="center"/>
          </w:tcPr>
          <w:p w14:paraId="1901E138" w14:textId="4BC51761"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Citi izdevumi no ieguldījumu darbības</w:t>
            </w:r>
          </w:p>
        </w:tc>
        <w:tc>
          <w:tcPr>
            <w:tcW w:w="992" w:type="dxa"/>
            <w:tcBorders>
              <w:top w:val="single" w:sz="4" w:space="0" w:color="17365D"/>
              <w:bottom w:val="single" w:sz="4" w:space="0" w:color="17365D"/>
            </w:tcBorders>
            <w:shd w:val="clear" w:color="auto" w:fill="auto"/>
            <w:vAlign w:val="center"/>
          </w:tcPr>
          <w:p w14:paraId="7829E18E" w14:textId="631EC5CB"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9BF0379" w14:textId="2E96E99E"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2FF53D5B" w14:textId="6E8D2950"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-703 300 000</w:t>
            </w:r>
          </w:p>
        </w:tc>
        <w:tc>
          <w:tcPr>
            <w:tcW w:w="1560" w:type="dxa"/>
            <w:tcBorders>
              <w:top w:val="single" w:sz="4" w:space="0" w:color="17365D"/>
              <w:bottom w:val="single" w:sz="4" w:space="0" w:color="17365D"/>
            </w:tcBorders>
            <w:shd w:val="clear" w:color="auto" w:fill="auto"/>
            <w:vAlign w:val="center"/>
          </w:tcPr>
          <w:p w14:paraId="6E3FA466" w14:textId="3876D6E0"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-304 600 000</w:t>
            </w:r>
          </w:p>
        </w:tc>
      </w:tr>
      <w:tr w:rsidR="00381F40" w:rsidRPr="00177E3C" w14:paraId="429E34DD" w14:textId="77777777" w:rsidTr="00C2309E">
        <w:trPr>
          <w:trHeight w:val="272"/>
        </w:trPr>
        <w:tc>
          <w:tcPr>
            <w:tcW w:w="4111" w:type="dxa"/>
            <w:tcBorders>
              <w:top w:val="single" w:sz="4" w:space="0" w:color="17365D"/>
              <w:bottom w:val="single" w:sz="4" w:space="0" w:color="17365D"/>
            </w:tcBorders>
            <w:shd w:val="clear" w:color="auto" w:fill="auto"/>
            <w:vAlign w:val="center"/>
          </w:tcPr>
          <w:p w14:paraId="44A93A77" w14:textId="421E301C" w:rsidR="00381F40" w:rsidRPr="00177E3C" w:rsidRDefault="00381F40" w:rsidP="00381F40">
            <w:pPr>
              <w:spacing w:after="0" w:line="240" w:lineRule="auto"/>
              <w:rPr>
                <w:color w:val="17365D"/>
                <w:sz w:val="18"/>
                <w:szCs w:val="18"/>
              </w:rPr>
            </w:pPr>
            <w:r w:rsidRPr="005F47C7">
              <w:rPr>
                <w:rFonts w:eastAsia="Times New Roman" w:cs="Times New Roman"/>
                <w:b/>
                <w:bCs/>
                <w:color w:val="17365D"/>
                <w:sz w:val="18"/>
                <w:szCs w:val="18"/>
                <w:lang w:eastAsia="lv-LV"/>
              </w:rPr>
              <w:t xml:space="preserve">Naudas līdzekļu plūsma no finansēšanas darbības </w:t>
            </w:r>
          </w:p>
        </w:tc>
        <w:tc>
          <w:tcPr>
            <w:tcW w:w="992" w:type="dxa"/>
            <w:tcBorders>
              <w:top w:val="single" w:sz="4" w:space="0" w:color="17365D"/>
              <w:bottom w:val="single" w:sz="4" w:space="0" w:color="17365D"/>
            </w:tcBorders>
            <w:shd w:val="clear" w:color="auto" w:fill="auto"/>
            <w:vAlign w:val="center"/>
          </w:tcPr>
          <w:p w14:paraId="2B34C7AA" w14:textId="1B2868C2"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2DC95D5" w14:textId="784791FF"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-4</w:t>
            </w:r>
          </w:p>
        </w:tc>
        <w:tc>
          <w:tcPr>
            <w:tcW w:w="1556" w:type="dxa"/>
            <w:gridSpan w:val="2"/>
            <w:tcBorders>
              <w:top w:val="single" w:sz="4" w:space="0" w:color="17365D"/>
              <w:bottom w:val="single" w:sz="4" w:space="0" w:color="17365D"/>
            </w:tcBorders>
            <w:shd w:val="clear" w:color="auto" w:fill="auto"/>
            <w:vAlign w:val="center"/>
          </w:tcPr>
          <w:p w14:paraId="036CD464" w14:textId="6CB8D454"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-655 892 883</w:t>
            </w:r>
          </w:p>
        </w:tc>
        <w:tc>
          <w:tcPr>
            <w:tcW w:w="1560" w:type="dxa"/>
            <w:tcBorders>
              <w:top w:val="single" w:sz="4" w:space="0" w:color="17365D"/>
              <w:bottom w:val="single" w:sz="4" w:space="0" w:color="17365D"/>
            </w:tcBorders>
            <w:shd w:val="clear" w:color="auto" w:fill="auto"/>
            <w:vAlign w:val="center"/>
          </w:tcPr>
          <w:p w14:paraId="011CA2CD" w14:textId="09B67B8D" w:rsidR="00381F40" w:rsidRPr="00177E3C" w:rsidRDefault="00381F40" w:rsidP="00381F40">
            <w:pPr>
              <w:spacing w:after="0" w:line="240" w:lineRule="auto"/>
              <w:jc w:val="right"/>
              <w:rPr>
                <w:bCs/>
                <w:color w:val="17365D"/>
                <w:sz w:val="18"/>
                <w:szCs w:val="18"/>
              </w:rPr>
            </w:pPr>
            <w:r w:rsidRPr="005F47C7">
              <w:rPr>
                <w:rFonts w:eastAsia="Times New Roman" w:cs="Times New Roman"/>
                <w:b/>
                <w:bCs/>
                <w:color w:val="17365D"/>
                <w:sz w:val="18"/>
                <w:szCs w:val="18"/>
                <w:lang w:eastAsia="lv-LV"/>
              </w:rPr>
              <w:t>-11 562 577</w:t>
            </w:r>
          </w:p>
        </w:tc>
      </w:tr>
      <w:tr w:rsidR="00381F40" w:rsidRPr="00177E3C" w14:paraId="0F20D709" w14:textId="77777777" w:rsidTr="00C2309E">
        <w:trPr>
          <w:trHeight w:val="272"/>
        </w:trPr>
        <w:tc>
          <w:tcPr>
            <w:tcW w:w="4111" w:type="dxa"/>
            <w:tcBorders>
              <w:top w:val="single" w:sz="4" w:space="0" w:color="17365D"/>
              <w:bottom w:val="single" w:sz="4" w:space="0" w:color="17365D"/>
            </w:tcBorders>
            <w:shd w:val="clear" w:color="auto" w:fill="auto"/>
            <w:vAlign w:val="center"/>
          </w:tcPr>
          <w:p w14:paraId="00F79A88" w14:textId="38AE8C64"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Ieņēmumi no finansēšanas darbības</w:t>
            </w:r>
          </w:p>
        </w:tc>
        <w:tc>
          <w:tcPr>
            <w:tcW w:w="992" w:type="dxa"/>
            <w:tcBorders>
              <w:top w:val="single" w:sz="4" w:space="0" w:color="17365D"/>
              <w:bottom w:val="single" w:sz="4" w:space="0" w:color="17365D"/>
            </w:tcBorders>
            <w:shd w:val="clear" w:color="auto" w:fill="auto"/>
            <w:vAlign w:val="center"/>
          </w:tcPr>
          <w:p w14:paraId="35F000E3" w14:textId="1B4CACB3"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535EE81F" w14:textId="678A16B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-5</w:t>
            </w:r>
          </w:p>
        </w:tc>
        <w:tc>
          <w:tcPr>
            <w:tcW w:w="1556" w:type="dxa"/>
            <w:gridSpan w:val="2"/>
            <w:tcBorders>
              <w:top w:val="single" w:sz="4" w:space="0" w:color="17365D"/>
              <w:bottom w:val="single" w:sz="4" w:space="0" w:color="17365D"/>
            </w:tcBorders>
            <w:shd w:val="clear" w:color="auto" w:fill="auto"/>
            <w:vAlign w:val="center"/>
          </w:tcPr>
          <w:p w14:paraId="7AFBC287" w14:textId="3796FD9E"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-897 865 466</w:t>
            </w:r>
          </w:p>
        </w:tc>
        <w:tc>
          <w:tcPr>
            <w:tcW w:w="1560" w:type="dxa"/>
            <w:tcBorders>
              <w:top w:val="single" w:sz="4" w:space="0" w:color="17365D"/>
              <w:bottom w:val="single" w:sz="4" w:space="0" w:color="17365D"/>
            </w:tcBorders>
            <w:shd w:val="clear" w:color="auto" w:fill="auto"/>
            <w:vAlign w:val="center"/>
          </w:tcPr>
          <w:p w14:paraId="2762AA02" w14:textId="368C6FA4"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-539 582 627</w:t>
            </w:r>
          </w:p>
        </w:tc>
      </w:tr>
      <w:tr w:rsidR="00381F40" w:rsidRPr="00177E3C" w14:paraId="710D0768" w14:textId="77777777" w:rsidTr="00C2309E">
        <w:trPr>
          <w:trHeight w:val="272"/>
        </w:trPr>
        <w:tc>
          <w:tcPr>
            <w:tcW w:w="4111" w:type="dxa"/>
            <w:tcBorders>
              <w:top w:val="single" w:sz="4" w:space="0" w:color="17365D"/>
              <w:bottom w:val="single" w:sz="4" w:space="0" w:color="17365D"/>
            </w:tcBorders>
            <w:shd w:val="clear" w:color="auto" w:fill="auto"/>
            <w:vAlign w:val="center"/>
          </w:tcPr>
          <w:p w14:paraId="5CEEDDE4" w14:textId="44A3A6DE"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Aizņēmumi un emitētie parāda vērtspapīri</w:t>
            </w:r>
          </w:p>
        </w:tc>
        <w:tc>
          <w:tcPr>
            <w:tcW w:w="992" w:type="dxa"/>
            <w:tcBorders>
              <w:top w:val="single" w:sz="4" w:space="0" w:color="17365D"/>
              <w:bottom w:val="single" w:sz="4" w:space="0" w:color="17365D"/>
            </w:tcBorders>
            <w:shd w:val="clear" w:color="auto" w:fill="auto"/>
            <w:vAlign w:val="center"/>
          </w:tcPr>
          <w:p w14:paraId="52C36232" w14:textId="554566A4"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C9B075C" w14:textId="627F932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-5</w:t>
            </w:r>
          </w:p>
        </w:tc>
        <w:tc>
          <w:tcPr>
            <w:tcW w:w="1556" w:type="dxa"/>
            <w:gridSpan w:val="2"/>
            <w:tcBorders>
              <w:top w:val="single" w:sz="4" w:space="0" w:color="17365D"/>
              <w:bottom w:val="single" w:sz="4" w:space="0" w:color="17365D"/>
            </w:tcBorders>
            <w:shd w:val="clear" w:color="auto" w:fill="auto"/>
            <w:vAlign w:val="center"/>
          </w:tcPr>
          <w:p w14:paraId="52761D2D" w14:textId="533DC08C"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-194 565 466</w:t>
            </w:r>
          </w:p>
        </w:tc>
        <w:tc>
          <w:tcPr>
            <w:tcW w:w="1560" w:type="dxa"/>
            <w:tcBorders>
              <w:top w:val="single" w:sz="4" w:space="0" w:color="17365D"/>
              <w:bottom w:val="single" w:sz="4" w:space="0" w:color="17365D"/>
            </w:tcBorders>
            <w:shd w:val="clear" w:color="auto" w:fill="auto"/>
            <w:vAlign w:val="center"/>
          </w:tcPr>
          <w:p w14:paraId="184A2F80" w14:textId="0310923B"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-234 982 627</w:t>
            </w:r>
          </w:p>
        </w:tc>
      </w:tr>
      <w:tr w:rsidR="00381F40" w:rsidRPr="00177E3C" w14:paraId="18C5B08E" w14:textId="77777777" w:rsidTr="00C2309E">
        <w:trPr>
          <w:trHeight w:val="272"/>
        </w:trPr>
        <w:tc>
          <w:tcPr>
            <w:tcW w:w="4111" w:type="dxa"/>
            <w:tcBorders>
              <w:top w:val="single" w:sz="4" w:space="0" w:color="17365D"/>
              <w:bottom w:val="single" w:sz="4" w:space="0" w:color="17365D"/>
            </w:tcBorders>
            <w:shd w:val="clear" w:color="auto" w:fill="auto"/>
            <w:vAlign w:val="center"/>
          </w:tcPr>
          <w:p w14:paraId="45DC1645" w14:textId="2DC68CF8"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Citi ieņēmumi no finansēšanas darbības</w:t>
            </w:r>
          </w:p>
        </w:tc>
        <w:tc>
          <w:tcPr>
            <w:tcW w:w="992" w:type="dxa"/>
            <w:tcBorders>
              <w:top w:val="single" w:sz="4" w:space="0" w:color="17365D"/>
              <w:bottom w:val="single" w:sz="4" w:space="0" w:color="17365D"/>
            </w:tcBorders>
            <w:shd w:val="clear" w:color="auto" w:fill="auto"/>
            <w:vAlign w:val="center"/>
          </w:tcPr>
          <w:p w14:paraId="274F24A4" w14:textId="351ACE07"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23D7DAC" w14:textId="605EBB68" w:rsidR="00381F40" w:rsidRPr="00177E3C" w:rsidRDefault="00381F40" w:rsidP="00381F40">
            <w:pPr>
              <w:spacing w:after="0" w:line="240" w:lineRule="auto"/>
              <w:jc w:val="right"/>
              <w:rPr>
                <w:bCs/>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2C0AFE03" w14:textId="2D486EF5"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-703 300 000</w:t>
            </w:r>
          </w:p>
        </w:tc>
        <w:tc>
          <w:tcPr>
            <w:tcW w:w="1560" w:type="dxa"/>
            <w:tcBorders>
              <w:top w:val="single" w:sz="4" w:space="0" w:color="17365D"/>
              <w:bottom w:val="single" w:sz="4" w:space="0" w:color="17365D"/>
            </w:tcBorders>
            <w:shd w:val="clear" w:color="auto" w:fill="auto"/>
            <w:vAlign w:val="center"/>
          </w:tcPr>
          <w:p w14:paraId="3CBF7A5A" w14:textId="4ED56F3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-304 600 000</w:t>
            </w:r>
          </w:p>
        </w:tc>
      </w:tr>
      <w:tr w:rsidR="00381F40" w:rsidRPr="00177E3C" w14:paraId="1B206665" w14:textId="77777777" w:rsidTr="00C2309E">
        <w:trPr>
          <w:trHeight w:val="272"/>
        </w:trPr>
        <w:tc>
          <w:tcPr>
            <w:tcW w:w="4111" w:type="dxa"/>
            <w:tcBorders>
              <w:top w:val="single" w:sz="4" w:space="0" w:color="17365D"/>
              <w:bottom w:val="single" w:sz="4" w:space="0" w:color="17365D"/>
            </w:tcBorders>
            <w:shd w:val="clear" w:color="auto" w:fill="auto"/>
            <w:vAlign w:val="center"/>
          </w:tcPr>
          <w:p w14:paraId="510B578F" w14:textId="6D1966E0"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Izdevumi no finansēšanas darbības</w:t>
            </w:r>
          </w:p>
        </w:tc>
        <w:tc>
          <w:tcPr>
            <w:tcW w:w="992" w:type="dxa"/>
            <w:tcBorders>
              <w:top w:val="single" w:sz="4" w:space="0" w:color="17365D"/>
              <w:bottom w:val="single" w:sz="4" w:space="0" w:color="17365D"/>
            </w:tcBorders>
            <w:shd w:val="clear" w:color="auto" w:fill="auto"/>
            <w:vAlign w:val="center"/>
          </w:tcPr>
          <w:p w14:paraId="3B2ADDB2" w14:textId="028C98EA"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687B9D9" w14:textId="66D2EE18"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w:t>
            </w:r>
          </w:p>
        </w:tc>
        <w:tc>
          <w:tcPr>
            <w:tcW w:w="1556" w:type="dxa"/>
            <w:gridSpan w:val="2"/>
            <w:tcBorders>
              <w:top w:val="single" w:sz="4" w:space="0" w:color="17365D"/>
              <w:bottom w:val="single" w:sz="4" w:space="0" w:color="17365D"/>
            </w:tcBorders>
            <w:shd w:val="clear" w:color="auto" w:fill="auto"/>
            <w:vAlign w:val="center"/>
          </w:tcPr>
          <w:p w14:paraId="4FF19EE9" w14:textId="45050B8D"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-241 972 583</w:t>
            </w:r>
          </w:p>
        </w:tc>
        <w:tc>
          <w:tcPr>
            <w:tcW w:w="1560" w:type="dxa"/>
            <w:tcBorders>
              <w:top w:val="single" w:sz="4" w:space="0" w:color="17365D"/>
              <w:bottom w:val="single" w:sz="4" w:space="0" w:color="17365D"/>
            </w:tcBorders>
            <w:shd w:val="clear" w:color="auto" w:fill="auto"/>
            <w:vAlign w:val="center"/>
          </w:tcPr>
          <w:p w14:paraId="036A2BD6" w14:textId="6D99023A"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-528 020 050</w:t>
            </w:r>
          </w:p>
        </w:tc>
      </w:tr>
      <w:tr w:rsidR="00381F40" w:rsidRPr="00177E3C" w14:paraId="6F9F271B" w14:textId="77777777" w:rsidTr="00C2309E">
        <w:trPr>
          <w:trHeight w:val="272"/>
        </w:trPr>
        <w:tc>
          <w:tcPr>
            <w:tcW w:w="4111" w:type="dxa"/>
            <w:tcBorders>
              <w:top w:val="single" w:sz="4" w:space="0" w:color="17365D"/>
              <w:bottom w:val="single" w:sz="4" w:space="0" w:color="17365D"/>
            </w:tcBorders>
            <w:shd w:val="clear" w:color="auto" w:fill="auto"/>
            <w:vAlign w:val="center"/>
          </w:tcPr>
          <w:p w14:paraId="49288E04" w14:textId="21F75B64"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Aizņēmumi un emitētie parāda vērtspapīri</w:t>
            </w:r>
          </w:p>
        </w:tc>
        <w:tc>
          <w:tcPr>
            <w:tcW w:w="992" w:type="dxa"/>
            <w:tcBorders>
              <w:top w:val="single" w:sz="4" w:space="0" w:color="17365D"/>
              <w:bottom w:val="single" w:sz="4" w:space="0" w:color="17365D"/>
            </w:tcBorders>
            <w:shd w:val="clear" w:color="auto" w:fill="auto"/>
            <w:vAlign w:val="center"/>
          </w:tcPr>
          <w:p w14:paraId="33DD19C7" w14:textId="2979C998"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 </w:t>
            </w: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4432B777" w14:textId="4037A3E3"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w:t>
            </w:r>
          </w:p>
        </w:tc>
        <w:tc>
          <w:tcPr>
            <w:tcW w:w="1556" w:type="dxa"/>
            <w:gridSpan w:val="2"/>
            <w:tcBorders>
              <w:top w:val="single" w:sz="4" w:space="0" w:color="17365D"/>
              <w:bottom w:val="single" w:sz="4" w:space="0" w:color="17365D"/>
            </w:tcBorders>
            <w:shd w:val="clear" w:color="auto" w:fill="auto"/>
            <w:vAlign w:val="center"/>
          </w:tcPr>
          <w:p w14:paraId="68B537B4" w14:textId="319702DF"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-155 169 718</w:t>
            </w:r>
          </w:p>
        </w:tc>
        <w:tc>
          <w:tcPr>
            <w:tcW w:w="1560" w:type="dxa"/>
            <w:tcBorders>
              <w:top w:val="single" w:sz="4" w:space="0" w:color="17365D"/>
              <w:bottom w:val="single" w:sz="4" w:space="0" w:color="17365D"/>
            </w:tcBorders>
            <w:shd w:val="clear" w:color="auto" w:fill="auto"/>
            <w:vAlign w:val="center"/>
          </w:tcPr>
          <w:p w14:paraId="0B26EEAD" w14:textId="095602D3" w:rsidR="00381F40" w:rsidRPr="00177E3C" w:rsidRDefault="00381F40" w:rsidP="00381F40">
            <w:pPr>
              <w:spacing w:after="0" w:line="240" w:lineRule="auto"/>
              <w:jc w:val="right"/>
              <w:rPr>
                <w:bCs/>
                <w:color w:val="17365D"/>
                <w:sz w:val="18"/>
                <w:szCs w:val="18"/>
              </w:rPr>
            </w:pPr>
            <w:r w:rsidRPr="0054080A">
              <w:rPr>
                <w:rFonts w:eastAsia="Times New Roman" w:cs="Times New Roman"/>
                <w:color w:val="17365D"/>
                <w:sz w:val="18"/>
                <w:szCs w:val="18"/>
                <w:lang w:eastAsia="lv-LV"/>
              </w:rPr>
              <w:t>-150 888 093</w:t>
            </w:r>
          </w:p>
        </w:tc>
      </w:tr>
      <w:tr w:rsidR="00381F40" w:rsidRPr="00177E3C" w14:paraId="28548F9C" w14:textId="77777777" w:rsidTr="00C2309E">
        <w:trPr>
          <w:trHeight w:val="272"/>
        </w:trPr>
        <w:tc>
          <w:tcPr>
            <w:tcW w:w="4111" w:type="dxa"/>
            <w:tcBorders>
              <w:top w:val="single" w:sz="4" w:space="0" w:color="17365D"/>
              <w:bottom w:val="single" w:sz="4" w:space="0" w:color="17365D"/>
            </w:tcBorders>
            <w:shd w:val="clear" w:color="auto" w:fill="auto"/>
            <w:vAlign w:val="center"/>
          </w:tcPr>
          <w:p w14:paraId="04982CFF" w14:textId="43B71C03"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Procentu izdevumi</w:t>
            </w:r>
          </w:p>
        </w:tc>
        <w:tc>
          <w:tcPr>
            <w:tcW w:w="992" w:type="dxa"/>
            <w:tcBorders>
              <w:top w:val="single" w:sz="4" w:space="0" w:color="17365D"/>
              <w:bottom w:val="single" w:sz="4" w:space="0" w:color="17365D"/>
            </w:tcBorders>
            <w:shd w:val="clear" w:color="auto" w:fill="auto"/>
            <w:vAlign w:val="center"/>
          </w:tcPr>
          <w:p w14:paraId="5387B51A" w14:textId="62BA843E" w:rsidR="00381F40" w:rsidRPr="00177E3C" w:rsidRDefault="00381F40" w:rsidP="00381F40">
            <w:pPr>
              <w:spacing w:after="0" w:line="240" w:lineRule="auto"/>
              <w:jc w:val="right"/>
              <w:rPr>
                <w:rFonts w:cs="Times New Roman"/>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183B9006" w14:textId="2870209B" w:rsidR="00381F40" w:rsidRPr="00177E3C" w:rsidRDefault="00381F40" w:rsidP="00381F40">
            <w:pPr>
              <w:spacing w:after="0" w:line="240" w:lineRule="auto"/>
              <w:jc w:val="right"/>
              <w:rPr>
                <w:rFonts w:cs="Times New Roman"/>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4010E709" w14:textId="709FAB3A" w:rsidR="00381F40" w:rsidRPr="00177E3C" w:rsidRDefault="00381F40" w:rsidP="00381F40">
            <w:pPr>
              <w:spacing w:after="0" w:line="240" w:lineRule="auto"/>
              <w:jc w:val="right"/>
              <w:rPr>
                <w:rFonts w:cs="Times New Roman"/>
                <w:color w:val="17365D"/>
                <w:sz w:val="18"/>
                <w:szCs w:val="18"/>
              </w:rPr>
            </w:pPr>
            <w:r w:rsidRPr="0054080A">
              <w:rPr>
                <w:rFonts w:eastAsia="Times New Roman" w:cs="Times New Roman"/>
                <w:color w:val="17365D"/>
                <w:sz w:val="18"/>
                <w:szCs w:val="18"/>
                <w:lang w:eastAsia="lv-LV"/>
              </w:rPr>
              <w:t>-82 202 865</w:t>
            </w:r>
          </w:p>
        </w:tc>
        <w:tc>
          <w:tcPr>
            <w:tcW w:w="1560" w:type="dxa"/>
            <w:tcBorders>
              <w:top w:val="single" w:sz="4" w:space="0" w:color="17365D"/>
              <w:bottom w:val="single" w:sz="4" w:space="0" w:color="17365D"/>
            </w:tcBorders>
            <w:shd w:val="clear" w:color="auto" w:fill="auto"/>
            <w:vAlign w:val="center"/>
          </w:tcPr>
          <w:p w14:paraId="637C083A" w14:textId="3878D6DE" w:rsidR="00381F40" w:rsidRPr="00177E3C" w:rsidRDefault="00381F40" w:rsidP="00381F40">
            <w:pPr>
              <w:spacing w:after="0" w:line="240" w:lineRule="auto"/>
              <w:jc w:val="right"/>
              <w:rPr>
                <w:rFonts w:cs="Times New Roman"/>
                <w:color w:val="17365D"/>
                <w:sz w:val="18"/>
                <w:szCs w:val="18"/>
              </w:rPr>
            </w:pPr>
            <w:r w:rsidRPr="0054080A">
              <w:rPr>
                <w:rFonts w:eastAsia="Times New Roman" w:cs="Times New Roman"/>
                <w:color w:val="17365D"/>
                <w:sz w:val="18"/>
                <w:szCs w:val="18"/>
                <w:lang w:eastAsia="lv-LV"/>
              </w:rPr>
              <w:t>-39 531 957</w:t>
            </w:r>
          </w:p>
        </w:tc>
      </w:tr>
      <w:tr w:rsidR="00381F40" w:rsidRPr="00177E3C" w14:paraId="4A473711" w14:textId="77777777" w:rsidTr="00C2309E">
        <w:trPr>
          <w:trHeight w:val="272"/>
        </w:trPr>
        <w:tc>
          <w:tcPr>
            <w:tcW w:w="4111" w:type="dxa"/>
            <w:tcBorders>
              <w:top w:val="single" w:sz="4" w:space="0" w:color="17365D"/>
              <w:bottom w:val="single" w:sz="4" w:space="0" w:color="17365D"/>
            </w:tcBorders>
            <w:shd w:val="clear" w:color="auto" w:fill="auto"/>
            <w:vAlign w:val="center"/>
          </w:tcPr>
          <w:p w14:paraId="4F1614C9" w14:textId="0ED7D3CD" w:rsidR="00381F40" w:rsidRPr="00177E3C" w:rsidRDefault="00381F40" w:rsidP="00381F40">
            <w:pPr>
              <w:spacing w:after="0" w:line="240" w:lineRule="auto"/>
              <w:ind w:firstLine="179"/>
              <w:rPr>
                <w:color w:val="17365D"/>
                <w:sz w:val="18"/>
                <w:szCs w:val="18"/>
              </w:rPr>
            </w:pPr>
            <w:r w:rsidRPr="0054080A">
              <w:rPr>
                <w:rFonts w:eastAsia="Times New Roman" w:cs="Times New Roman"/>
                <w:color w:val="17365D"/>
                <w:sz w:val="18"/>
                <w:szCs w:val="18"/>
                <w:lang w:eastAsia="lv-LV"/>
              </w:rPr>
              <w:t>Citi izdevumi no finansēšanas darbības</w:t>
            </w:r>
          </w:p>
        </w:tc>
        <w:tc>
          <w:tcPr>
            <w:tcW w:w="992" w:type="dxa"/>
            <w:tcBorders>
              <w:top w:val="single" w:sz="4" w:space="0" w:color="17365D"/>
              <w:bottom w:val="single" w:sz="4" w:space="0" w:color="17365D"/>
            </w:tcBorders>
            <w:shd w:val="clear" w:color="auto" w:fill="auto"/>
            <w:vAlign w:val="center"/>
          </w:tcPr>
          <w:p w14:paraId="2AD07FD0" w14:textId="08E50816" w:rsidR="00381F40" w:rsidRPr="00177E3C" w:rsidRDefault="00381F40" w:rsidP="00381F40">
            <w:pPr>
              <w:spacing w:after="0" w:line="240" w:lineRule="auto"/>
              <w:jc w:val="right"/>
              <w:rPr>
                <w:rFonts w:cs="Times New Roman"/>
                <w:color w:val="17365D"/>
                <w:sz w:val="18"/>
                <w:szCs w:val="18"/>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1BC41440" w14:textId="5573F8B3" w:rsidR="00381F40" w:rsidRPr="00177E3C" w:rsidRDefault="00381F40" w:rsidP="00381F40">
            <w:pPr>
              <w:spacing w:after="0" w:line="240" w:lineRule="auto"/>
              <w:jc w:val="right"/>
              <w:rPr>
                <w:rFonts w:cs="Times New Roman"/>
                <w:color w:val="17365D"/>
                <w:sz w:val="18"/>
                <w:szCs w:val="18"/>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4C498BE1" w14:textId="5D18DA85" w:rsidR="00381F40" w:rsidRPr="00177E3C" w:rsidRDefault="00381F40" w:rsidP="00381F40">
            <w:pPr>
              <w:spacing w:after="0" w:line="240" w:lineRule="auto"/>
              <w:jc w:val="right"/>
              <w:rPr>
                <w:rFonts w:cs="Times New Roman"/>
                <w:color w:val="17365D"/>
                <w:sz w:val="18"/>
                <w:szCs w:val="18"/>
              </w:rPr>
            </w:pPr>
            <w:r w:rsidRPr="0054080A">
              <w:rPr>
                <w:rFonts w:eastAsia="Times New Roman" w:cs="Times New Roman"/>
                <w:color w:val="17365D"/>
                <w:sz w:val="18"/>
                <w:szCs w:val="18"/>
                <w:lang w:eastAsia="lv-LV"/>
              </w:rPr>
              <w:t>-4 600 000</w:t>
            </w:r>
          </w:p>
        </w:tc>
        <w:tc>
          <w:tcPr>
            <w:tcW w:w="1560" w:type="dxa"/>
            <w:tcBorders>
              <w:top w:val="single" w:sz="4" w:space="0" w:color="17365D"/>
              <w:bottom w:val="single" w:sz="4" w:space="0" w:color="17365D"/>
            </w:tcBorders>
            <w:shd w:val="clear" w:color="auto" w:fill="auto"/>
            <w:vAlign w:val="center"/>
          </w:tcPr>
          <w:p w14:paraId="3C880C28" w14:textId="1D8404F3" w:rsidR="00381F40" w:rsidRPr="00177E3C" w:rsidRDefault="00381F40" w:rsidP="00381F40">
            <w:pPr>
              <w:spacing w:after="0" w:line="240" w:lineRule="auto"/>
              <w:jc w:val="right"/>
              <w:rPr>
                <w:rFonts w:cs="Times New Roman"/>
                <w:color w:val="17365D"/>
                <w:sz w:val="18"/>
                <w:szCs w:val="18"/>
              </w:rPr>
            </w:pPr>
            <w:r w:rsidRPr="0054080A">
              <w:rPr>
                <w:rFonts w:eastAsia="Times New Roman" w:cs="Times New Roman"/>
                <w:color w:val="17365D"/>
                <w:sz w:val="18"/>
                <w:szCs w:val="18"/>
                <w:lang w:eastAsia="lv-LV"/>
              </w:rPr>
              <w:t>-337 600 000</w:t>
            </w:r>
          </w:p>
        </w:tc>
      </w:tr>
      <w:tr w:rsidR="00381F40" w:rsidRPr="00177E3C" w14:paraId="4DEE6531" w14:textId="77777777" w:rsidTr="00C2309E">
        <w:trPr>
          <w:trHeight w:val="227"/>
        </w:trPr>
        <w:tc>
          <w:tcPr>
            <w:tcW w:w="4111" w:type="dxa"/>
            <w:tcBorders>
              <w:top w:val="single" w:sz="4" w:space="0" w:color="17365D"/>
              <w:bottom w:val="single" w:sz="4" w:space="0" w:color="17365D"/>
            </w:tcBorders>
            <w:shd w:val="clear" w:color="auto" w:fill="auto"/>
            <w:vAlign w:val="center"/>
          </w:tcPr>
          <w:p w14:paraId="29186D88" w14:textId="4CF12745" w:rsidR="00381F40" w:rsidRPr="00177E3C" w:rsidRDefault="00381F40" w:rsidP="00381F40">
            <w:pPr>
              <w:spacing w:after="0" w:line="240" w:lineRule="auto"/>
              <w:rPr>
                <w:color w:val="17365D"/>
                <w:sz w:val="18"/>
                <w:szCs w:val="18"/>
              </w:rPr>
            </w:pPr>
            <w:r>
              <w:rPr>
                <w:rFonts w:eastAsia="Times New Roman" w:cs="Times New Roman"/>
                <w:b/>
                <w:bCs/>
                <w:color w:val="17365D"/>
                <w:sz w:val="18"/>
                <w:szCs w:val="18"/>
                <w:lang w:eastAsia="lv-LV"/>
              </w:rPr>
              <w:t xml:space="preserve"> </w:t>
            </w:r>
            <w:r w:rsidRPr="00097B42">
              <w:rPr>
                <w:rFonts w:eastAsia="Times New Roman" w:cs="Times New Roman"/>
                <w:b/>
                <w:bCs/>
                <w:color w:val="17365D"/>
                <w:sz w:val="18"/>
                <w:szCs w:val="18"/>
                <w:lang w:eastAsia="lv-LV"/>
              </w:rPr>
              <w:t>Naudas līdzekļu plūsma no piesaistītajiem līdzekļiem</w:t>
            </w:r>
          </w:p>
        </w:tc>
        <w:tc>
          <w:tcPr>
            <w:tcW w:w="992" w:type="dxa"/>
            <w:tcBorders>
              <w:top w:val="single" w:sz="4" w:space="0" w:color="17365D"/>
              <w:bottom w:val="single" w:sz="4" w:space="0" w:color="17365D"/>
            </w:tcBorders>
            <w:shd w:val="clear" w:color="auto" w:fill="auto"/>
            <w:vAlign w:val="center"/>
          </w:tcPr>
          <w:p w14:paraId="7F83C0C0" w14:textId="65970E89" w:rsidR="00381F40" w:rsidRPr="00177E3C" w:rsidRDefault="00381F40" w:rsidP="00381F40">
            <w:pPr>
              <w:spacing w:after="0" w:line="240" w:lineRule="auto"/>
              <w:jc w:val="right"/>
              <w:rPr>
                <w:color w:val="17365D"/>
                <w:sz w:val="18"/>
                <w:szCs w:val="18"/>
              </w:rPr>
            </w:pPr>
            <w:r w:rsidRPr="00097B42">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C869289" w14:textId="6F157BA7" w:rsidR="00381F40" w:rsidRPr="00177E3C" w:rsidRDefault="00381F40" w:rsidP="00381F40">
            <w:pPr>
              <w:spacing w:after="0" w:line="240" w:lineRule="auto"/>
              <w:jc w:val="right"/>
              <w:rPr>
                <w:color w:val="17365D"/>
                <w:sz w:val="18"/>
                <w:szCs w:val="18"/>
              </w:rPr>
            </w:pPr>
            <w:r w:rsidRPr="00097B42">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51B09DA9" w14:textId="2635A65D" w:rsidR="00381F40" w:rsidRPr="00177E3C" w:rsidRDefault="00381F40" w:rsidP="00381F40">
            <w:pPr>
              <w:spacing w:after="0" w:line="240" w:lineRule="auto"/>
              <w:jc w:val="right"/>
              <w:rPr>
                <w:color w:val="17365D"/>
                <w:sz w:val="18"/>
                <w:szCs w:val="18"/>
              </w:rPr>
            </w:pPr>
            <w:r w:rsidRPr="00097B42">
              <w:rPr>
                <w:rFonts w:eastAsia="Times New Roman" w:cs="Times New Roman"/>
                <w:b/>
                <w:bCs/>
                <w:color w:val="17365D"/>
                <w:sz w:val="18"/>
                <w:szCs w:val="18"/>
                <w:lang w:eastAsia="lv-LV"/>
              </w:rPr>
              <w:t>3 261 279 310</w:t>
            </w:r>
          </w:p>
        </w:tc>
        <w:tc>
          <w:tcPr>
            <w:tcW w:w="1560" w:type="dxa"/>
            <w:tcBorders>
              <w:top w:val="single" w:sz="4" w:space="0" w:color="17365D"/>
              <w:bottom w:val="single" w:sz="4" w:space="0" w:color="17365D"/>
            </w:tcBorders>
            <w:shd w:val="clear" w:color="auto" w:fill="auto"/>
            <w:vAlign w:val="center"/>
          </w:tcPr>
          <w:p w14:paraId="7F9D3B07" w14:textId="733BF874" w:rsidR="00381F40" w:rsidRPr="00177E3C" w:rsidRDefault="00381F40" w:rsidP="00381F40">
            <w:pPr>
              <w:spacing w:after="0" w:line="240" w:lineRule="auto"/>
              <w:jc w:val="right"/>
              <w:rPr>
                <w:color w:val="17365D"/>
                <w:sz w:val="18"/>
                <w:szCs w:val="18"/>
              </w:rPr>
            </w:pPr>
            <w:r w:rsidRPr="00097B42">
              <w:rPr>
                <w:rFonts w:eastAsia="Times New Roman" w:cs="Times New Roman"/>
                <w:b/>
                <w:bCs/>
                <w:color w:val="17365D"/>
                <w:sz w:val="18"/>
                <w:szCs w:val="18"/>
                <w:lang w:eastAsia="lv-LV"/>
              </w:rPr>
              <w:t>3 011 669 977</w:t>
            </w:r>
          </w:p>
        </w:tc>
      </w:tr>
      <w:tr w:rsidR="00381F40" w:rsidRPr="00177E3C" w14:paraId="685C9271" w14:textId="77777777" w:rsidTr="00C2309E">
        <w:trPr>
          <w:trHeight w:val="227"/>
        </w:trPr>
        <w:tc>
          <w:tcPr>
            <w:tcW w:w="4111" w:type="dxa"/>
            <w:tcBorders>
              <w:top w:val="single" w:sz="4" w:space="0" w:color="17365D"/>
              <w:bottom w:val="single" w:sz="4" w:space="0" w:color="17365D"/>
            </w:tcBorders>
            <w:shd w:val="clear" w:color="auto" w:fill="auto"/>
            <w:vAlign w:val="center"/>
          </w:tcPr>
          <w:p w14:paraId="118CC55C" w14:textId="6F616A53" w:rsidR="00381F40" w:rsidRPr="00097B42" w:rsidRDefault="00381F40" w:rsidP="00381F40">
            <w:pPr>
              <w:spacing w:after="0" w:line="240" w:lineRule="auto"/>
              <w:ind w:firstLine="179"/>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Ieņēmumi no piesaistītajiem līdzekļiem</w:t>
            </w:r>
          </w:p>
        </w:tc>
        <w:tc>
          <w:tcPr>
            <w:tcW w:w="992" w:type="dxa"/>
            <w:tcBorders>
              <w:top w:val="single" w:sz="4" w:space="0" w:color="17365D"/>
              <w:bottom w:val="single" w:sz="4" w:space="0" w:color="17365D"/>
            </w:tcBorders>
            <w:shd w:val="clear" w:color="auto" w:fill="auto"/>
            <w:vAlign w:val="center"/>
          </w:tcPr>
          <w:p w14:paraId="607C0355" w14:textId="194B6DEE" w:rsidR="00381F40" w:rsidRPr="00097B42" w:rsidRDefault="00381F40" w:rsidP="00381F40">
            <w:pPr>
              <w:spacing w:after="0" w:line="240" w:lineRule="auto"/>
              <w:jc w:val="right"/>
              <w:rPr>
                <w:rFonts w:eastAsia="Times New Roman" w:cs="Times New Roman"/>
                <w:b/>
                <w:bCs/>
                <w:color w:val="17365D"/>
                <w:sz w:val="18"/>
                <w:szCs w:val="18"/>
                <w:lang w:eastAsia="lv-LV"/>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1098B477" w14:textId="7DC50D1D" w:rsidR="00381F40" w:rsidRPr="00097B42" w:rsidRDefault="00381F40" w:rsidP="00381F40">
            <w:pPr>
              <w:spacing w:after="0" w:line="240" w:lineRule="auto"/>
              <w:jc w:val="right"/>
              <w:rPr>
                <w:rFonts w:eastAsia="Times New Roman" w:cs="Times New Roman"/>
                <w:b/>
                <w:bCs/>
                <w:color w:val="17365D"/>
                <w:sz w:val="18"/>
                <w:szCs w:val="18"/>
                <w:lang w:eastAsia="lv-LV"/>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4D4FF1E0" w14:textId="0B950095" w:rsidR="00381F40" w:rsidRPr="00097B42"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-19 961 846 222</w:t>
            </w:r>
          </w:p>
        </w:tc>
        <w:tc>
          <w:tcPr>
            <w:tcW w:w="1560" w:type="dxa"/>
            <w:tcBorders>
              <w:top w:val="single" w:sz="4" w:space="0" w:color="17365D"/>
              <w:bottom w:val="single" w:sz="4" w:space="0" w:color="17365D"/>
            </w:tcBorders>
            <w:shd w:val="clear" w:color="auto" w:fill="auto"/>
            <w:vAlign w:val="center"/>
          </w:tcPr>
          <w:p w14:paraId="0EFF0481" w14:textId="6E440F18" w:rsidR="00381F40" w:rsidRPr="00097B42"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-18 122 581 265</w:t>
            </w:r>
          </w:p>
        </w:tc>
      </w:tr>
      <w:tr w:rsidR="00381F40" w:rsidRPr="00177E3C" w14:paraId="5085DA96" w14:textId="77777777" w:rsidTr="00C2309E">
        <w:trPr>
          <w:trHeight w:val="227"/>
        </w:trPr>
        <w:tc>
          <w:tcPr>
            <w:tcW w:w="4111" w:type="dxa"/>
            <w:tcBorders>
              <w:top w:val="single" w:sz="4" w:space="0" w:color="17365D"/>
              <w:bottom w:val="single" w:sz="4" w:space="0" w:color="17365D"/>
            </w:tcBorders>
            <w:shd w:val="clear" w:color="auto" w:fill="auto"/>
            <w:vAlign w:val="center"/>
          </w:tcPr>
          <w:p w14:paraId="4F8C5470" w14:textId="2A2D130E" w:rsidR="00381F40" w:rsidRPr="0054080A" w:rsidRDefault="00381F40" w:rsidP="00381F40">
            <w:pPr>
              <w:spacing w:after="0" w:line="240" w:lineRule="auto"/>
              <w:ind w:firstLine="179"/>
              <w:rPr>
                <w:rFonts w:eastAsia="Times New Roman" w:cs="Times New Roman"/>
                <w:color w:val="17365D"/>
                <w:sz w:val="18"/>
                <w:szCs w:val="18"/>
                <w:lang w:eastAsia="lv-LV"/>
              </w:rPr>
            </w:pPr>
            <w:r w:rsidRPr="0054080A">
              <w:rPr>
                <w:rFonts w:eastAsia="Times New Roman" w:cs="Times New Roman"/>
                <w:color w:val="17365D"/>
                <w:sz w:val="18"/>
                <w:szCs w:val="18"/>
                <w:lang w:eastAsia="lv-LV"/>
              </w:rPr>
              <w:t>Izdevumi no piesaistītajiem līdzekļiem</w:t>
            </w:r>
          </w:p>
        </w:tc>
        <w:tc>
          <w:tcPr>
            <w:tcW w:w="992" w:type="dxa"/>
            <w:tcBorders>
              <w:top w:val="single" w:sz="4" w:space="0" w:color="17365D"/>
              <w:bottom w:val="single" w:sz="4" w:space="0" w:color="17365D"/>
            </w:tcBorders>
            <w:shd w:val="clear" w:color="auto" w:fill="auto"/>
            <w:vAlign w:val="center"/>
          </w:tcPr>
          <w:p w14:paraId="55901E22" w14:textId="65436A21" w:rsidR="00381F40" w:rsidRDefault="00381F40" w:rsidP="00381F40">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14E0E934" w14:textId="664B5817" w:rsidR="00381F40" w:rsidRDefault="00381F40" w:rsidP="00381F40">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135F241E" w14:textId="737F5DF8"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color w:val="17365D"/>
                <w:sz w:val="18"/>
                <w:szCs w:val="18"/>
                <w:lang w:eastAsia="lv-LV"/>
              </w:rPr>
              <w:t>-23 223 125 532</w:t>
            </w:r>
          </w:p>
        </w:tc>
        <w:tc>
          <w:tcPr>
            <w:tcW w:w="1560" w:type="dxa"/>
            <w:tcBorders>
              <w:top w:val="single" w:sz="4" w:space="0" w:color="17365D"/>
              <w:bottom w:val="single" w:sz="4" w:space="0" w:color="17365D"/>
            </w:tcBorders>
            <w:shd w:val="clear" w:color="auto" w:fill="auto"/>
            <w:vAlign w:val="center"/>
          </w:tcPr>
          <w:p w14:paraId="43F95D87" w14:textId="7844D758"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color w:val="17365D"/>
                <w:sz w:val="18"/>
                <w:szCs w:val="18"/>
                <w:lang w:eastAsia="lv-LV"/>
              </w:rPr>
              <w:t>-21 134 251 242</w:t>
            </w:r>
          </w:p>
        </w:tc>
      </w:tr>
      <w:tr w:rsidR="00381F40" w:rsidRPr="00177E3C" w14:paraId="4AA61123" w14:textId="77777777" w:rsidTr="00C2309E">
        <w:trPr>
          <w:trHeight w:val="227"/>
        </w:trPr>
        <w:tc>
          <w:tcPr>
            <w:tcW w:w="4111" w:type="dxa"/>
            <w:tcBorders>
              <w:top w:val="single" w:sz="4" w:space="0" w:color="17365D"/>
              <w:bottom w:val="single" w:sz="4" w:space="0" w:color="17365D"/>
            </w:tcBorders>
            <w:shd w:val="clear" w:color="auto" w:fill="auto"/>
            <w:vAlign w:val="center"/>
          </w:tcPr>
          <w:p w14:paraId="2AA32A63" w14:textId="5FEC3FDC" w:rsidR="00381F40" w:rsidRPr="0054080A" w:rsidRDefault="00381F40" w:rsidP="00381F40">
            <w:pPr>
              <w:spacing w:after="0" w:line="240" w:lineRule="auto"/>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III. Naudas līdzekļu plūsma kopā (I. - II.)</w:t>
            </w:r>
          </w:p>
        </w:tc>
        <w:tc>
          <w:tcPr>
            <w:tcW w:w="992" w:type="dxa"/>
            <w:tcBorders>
              <w:top w:val="single" w:sz="4" w:space="0" w:color="17365D"/>
              <w:bottom w:val="single" w:sz="4" w:space="0" w:color="17365D"/>
            </w:tcBorders>
            <w:shd w:val="clear" w:color="auto" w:fill="auto"/>
            <w:vAlign w:val="center"/>
          </w:tcPr>
          <w:p w14:paraId="509DE3C1" w14:textId="055AB417" w:rsidR="00381F40"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543745C1" w14:textId="03BB8FAE" w:rsidR="00381F40"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677BEF27" w14:textId="4D83B7F6"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10 485 666 989</w:t>
            </w:r>
          </w:p>
        </w:tc>
        <w:tc>
          <w:tcPr>
            <w:tcW w:w="1560" w:type="dxa"/>
            <w:tcBorders>
              <w:top w:val="single" w:sz="4" w:space="0" w:color="17365D"/>
              <w:bottom w:val="single" w:sz="4" w:space="0" w:color="17365D"/>
            </w:tcBorders>
            <w:shd w:val="clear" w:color="auto" w:fill="auto"/>
            <w:vAlign w:val="center"/>
          </w:tcPr>
          <w:p w14:paraId="1892968B" w14:textId="51354995"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9 912 905 448</w:t>
            </w:r>
          </w:p>
        </w:tc>
      </w:tr>
      <w:tr w:rsidR="00381F40" w:rsidRPr="00177E3C" w14:paraId="19706D69" w14:textId="77777777" w:rsidTr="00C2309E">
        <w:trPr>
          <w:trHeight w:val="227"/>
        </w:trPr>
        <w:tc>
          <w:tcPr>
            <w:tcW w:w="4111" w:type="dxa"/>
            <w:tcBorders>
              <w:top w:val="single" w:sz="4" w:space="0" w:color="17365D"/>
              <w:bottom w:val="single" w:sz="4" w:space="0" w:color="17365D"/>
            </w:tcBorders>
            <w:shd w:val="clear" w:color="auto" w:fill="auto"/>
            <w:vAlign w:val="center"/>
          </w:tcPr>
          <w:p w14:paraId="25A32F9D" w14:textId="09221690" w:rsidR="00381F40" w:rsidRPr="0054080A" w:rsidRDefault="00381F40" w:rsidP="00381F40">
            <w:pPr>
              <w:spacing w:after="0" w:line="240" w:lineRule="auto"/>
              <w:rPr>
                <w:rFonts w:eastAsia="Times New Roman" w:cs="Times New Roman"/>
                <w:b/>
                <w:bCs/>
                <w:color w:val="17365D"/>
                <w:sz w:val="18"/>
                <w:szCs w:val="18"/>
                <w:lang w:eastAsia="lv-LV"/>
              </w:rPr>
            </w:pPr>
            <w:r>
              <w:rPr>
                <w:rFonts w:eastAsia="Times New Roman" w:cs="Times New Roman"/>
                <w:color w:val="17365D"/>
                <w:sz w:val="18"/>
                <w:szCs w:val="18"/>
                <w:lang w:eastAsia="lv-LV"/>
              </w:rPr>
              <w:t xml:space="preserve">DOT  </w:t>
            </w:r>
            <w:r w:rsidRPr="0054080A">
              <w:rPr>
                <w:rFonts w:eastAsia="Times New Roman" w:cs="Times New Roman"/>
                <w:color w:val="17365D"/>
                <w:sz w:val="18"/>
                <w:szCs w:val="18"/>
                <w:lang w:eastAsia="lv-LV"/>
              </w:rPr>
              <w:t>Dotācija no vispārējiem ieņēmumiem</w:t>
            </w:r>
          </w:p>
        </w:tc>
        <w:tc>
          <w:tcPr>
            <w:tcW w:w="992" w:type="dxa"/>
            <w:tcBorders>
              <w:top w:val="single" w:sz="4" w:space="0" w:color="17365D"/>
              <w:bottom w:val="single" w:sz="4" w:space="0" w:color="17365D"/>
            </w:tcBorders>
            <w:shd w:val="clear" w:color="auto" w:fill="auto"/>
            <w:vAlign w:val="center"/>
          </w:tcPr>
          <w:p w14:paraId="006666D7" w14:textId="7BC83560" w:rsidR="00381F40" w:rsidRPr="0054080A" w:rsidRDefault="00381F40" w:rsidP="00381F40">
            <w:pPr>
              <w:spacing w:after="0" w:line="240" w:lineRule="auto"/>
              <w:jc w:val="right"/>
              <w:rPr>
                <w:rFonts w:eastAsia="Times New Roman" w:cs="Times New Roman"/>
                <w:b/>
                <w:bCs/>
                <w:color w:val="17365D"/>
                <w:sz w:val="18"/>
                <w:szCs w:val="18"/>
                <w:lang w:eastAsia="lv-LV"/>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384008C" w14:textId="4AB4A460" w:rsidR="00381F40" w:rsidRPr="0054080A" w:rsidRDefault="00381F40" w:rsidP="00381F40">
            <w:pPr>
              <w:spacing w:after="0" w:line="240" w:lineRule="auto"/>
              <w:jc w:val="right"/>
              <w:rPr>
                <w:rFonts w:eastAsia="Times New Roman" w:cs="Times New Roman"/>
                <w:b/>
                <w:bCs/>
                <w:color w:val="17365D"/>
                <w:sz w:val="18"/>
                <w:szCs w:val="18"/>
                <w:lang w:eastAsia="lv-LV"/>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2A15EEC7" w14:textId="0F12E480"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-10 456 559 922</w:t>
            </w:r>
          </w:p>
        </w:tc>
        <w:tc>
          <w:tcPr>
            <w:tcW w:w="1560" w:type="dxa"/>
            <w:tcBorders>
              <w:top w:val="single" w:sz="4" w:space="0" w:color="17365D"/>
              <w:bottom w:val="single" w:sz="4" w:space="0" w:color="17365D"/>
            </w:tcBorders>
            <w:shd w:val="clear" w:color="auto" w:fill="auto"/>
            <w:vAlign w:val="center"/>
          </w:tcPr>
          <w:p w14:paraId="26760A28" w14:textId="62D4AC02"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-10 049 552 744</w:t>
            </w:r>
          </w:p>
        </w:tc>
      </w:tr>
      <w:tr w:rsidR="00381F40" w:rsidRPr="00177E3C" w14:paraId="12D1A990" w14:textId="77777777" w:rsidTr="00C2309E">
        <w:trPr>
          <w:trHeight w:val="227"/>
        </w:trPr>
        <w:tc>
          <w:tcPr>
            <w:tcW w:w="4111" w:type="dxa"/>
            <w:tcBorders>
              <w:top w:val="single" w:sz="4" w:space="0" w:color="17365D"/>
              <w:bottom w:val="single" w:sz="4" w:space="0" w:color="17365D"/>
            </w:tcBorders>
            <w:shd w:val="clear" w:color="auto" w:fill="auto"/>
            <w:vAlign w:val="center"/>
          </w:tcPr>
          <w:p w14:paraId="7793D8DB" w14:textId="1062B8C8" w:rsidR="00381F40" w:rsidRDefault="00381F40" w:rsidP="00381F40">
            <w:pPr>
              <w:spacing w:after="0" w:line="240" w:lineRule="auto"/>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IV. Naudas plūsma kopā (III. + DOT)</w:t>
            </w:r>
          </w:p>
        </w:tc>
        <w:tc>
          <w:tcPr>
            <w:tcW w:w="992" w:type="dxa"/>
            <w:tcBorders>
              <w:top w:val="single" w:sz="4" w:space="0" w:color="17365D"/>
              <w:bottom w:val="single" w:sz="4" w:space="0" w:color="17365D"/>
            </w:tcBorders>
            <w:shd w:val="clear" w:color="auto" w:fill="auto"/>
            <w:vAlign w:val="center"/>
          </w:tcPr>
          <w:p w14:paraId="7DF33DEB" w14:textId="36577E5D" w:rsidR="00381F40"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779B6404" w14:textId="559787FB" w:rsidR="00381F40"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1F58F334" w14:textId="31488BFD"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29 107 067</w:t>
            </w:r>
          </w:p>
        </w:tc>
        <w:tc>
          <w:tcPr>
            <w:tcW w:w="1560" w:type="dxa"/>
            <w:tcBorders>
              <w:top w:val="single" w:sz="4" w:space="0" w:color="17365D"/>
              <w:bottom w:val="single" w:sz="4" w:space="0" w:color="17365D"/>
            </w:tcBorders>
            <w:shd w:val="clear" w:color="auto" w:fill="auto"/>
            <w:vAlign w:val="center"/>
          </w:tcPr>
          <w:p w14:paraId="3276CE36" w14:textId="472F40A7"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b/>
                <w:bCs/>
                <w:color w:val="17365D"/>
                <w:sz w:val="18"/>
                <w:szCs w:val="18"/>
                <w:lang w:eastAsia="lv-LV"/>
              </w:rPr>
              <w:t>-136 647 296</w:t>
            </w:r>
          </w:p>
        </w:tc>
      </w:tr>
      <w:tr w:rsidR="00381F40" w:rsidRPr="00177E3C" w14:paraId="30B8BA04" w14:textId="77777777" w:rsidTr="00C2309E">
        <w:trPr>
          <w:trHeight w:val="227"/>
        </w:trPr>
        <w:tc>
          <w:tcPr>
            <w:tcW w:w="4111" w:type="dxa"/>
            <w:tcBorders>
              <w:top w:val="single" w:sz="4" w:space="0" w:color="17365D"/>
              <w:bottom w:val="single" w:sz="4" w:space="0" w:color="17365D"/>
            </w:tcBorders>
            <w:shd w:val="clear" w:color="auto" w:fill="auto"/>
            <w:vAlign w:val="center"/>
          </w:tcPr>
          <w:p w14:paraId="4073D8E0" w14:textId="39C4FF13" w:rsidR="00381F40" w:rsidRPr="0054080A" w:rsidRDefault="00381F40" w:rsidP="00381F40">
            <w:pPr>
              <w:spacing w:after="0" w:line="240" w:lineRule="auto"/>
              <w:rPr>
                <w:rFonts w:eastAsia="Times New Roman" w:cs="Times New Roman"/>
                <w:b/>
                <w:bCs/>
                <w:color w:val="17365D"/>
                <w:sz w:val="18"/>
                <w:szCs w:val="18"/>
                <w:lang w:eastAsia="lv-LV"/>
              </w:rPr>
            </w:pPr>
            <w:r w:rsidRPr="0054080A">
              <w:rPr>
                <w:rFonts w:eastAsia="Times New Roman" w:cs="Times New Roman"/>
                <w:b/>
                <w:bCs/>
                <w:color w:val="17365D"/>
                <w:sz w:val="18"/>
                <w:szCs w:val="18"/>
                <w:lang w:eastAsia="lv-LV"/>
              </w:rPr>
              <w:t>VI. Naudas līdzekļu un noguldījumu izmaiņas pārskata periodā</w:t>
            </w:r>
          </w:p>
        </w:tc>
        <w:tc>
          <w:tcPr>
            <w:tcW w:w="992" w:type="dxa"/>
            <w:tcBorders>
              <w:top w:val="single" w:sz="4" w:space="0" w:color="17365D"/>
              <w:bottom w:val="single" w:sz="4" w:space="0" w:color="17365D"/>
            </w:tcBorders>
            <w:shd w:val="clear" w:color="auto" w:fill="auto"/>
            <w:vAlign w:val="center"/>
          </w:tcPr>
          <w:p w14:paraId="3753D4AE" w14:textId="557A4AA7"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b/>
                <w:bCs/>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612DFBE" w14:textId="4F8EBED6"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b/>
                <w:bCs/>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3D1E4F45" w14:textId="323BED3D"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b/>
                <w:bCs/>
                <w:color w:val="17365D"/>
                <w:sz w:val="18"/>
                <w:szCs w:val="18"/>
                <w:lang w:eastAsia="lv-LV"/>
              </w:rPr>
              <w:t>-29 107 067</w:t>
            </w:r>
          </w:p>
        </w:tc>
        <w:tc>
          <w:tcPr>
            <w:tcW w:w="1560" w:type="dxa"/>
            <w:tcBorders>
              <w:top w:val="single" w:sz="4" w:space="0" w:color="17365D"/>
              <w:bottom w:val="single" w:sz="4" w:space="0" w:color="17365D"/>
            </w:tcBorders>
            <w:shd w:val="clear" w:color="auto" w:fill="auto"/>
            <w:vAlign w:val="center"/>
          </w:tcPr>
          <w:p w14:paraId="4ED3DC56" w14:textId="4008FA4D"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b/>
                <w:bCs/>
                <w:color w:val="17365D"/>
                <w:sz w:val="18"/>
                <w:szCs w:val="18"/>
                <w:lang w:eastAsia="lv-LV"/>
              </w:rPr>
              <w:t>136 647 296</w:t>
            </w:r>
          </w:p>
        </w:tc>
      </w:tr>
      <w:tr w:rsidR="00381F40" w:rsidRPr="00177E3C" w14:paraId="79FA9577" w14:textId="77777777" w:rsidTr="00C2309E">
        <w:trPr>
          <w:trHeight w:val="227"/>
        </w:trPr>
        <w:tc>
          <w:tcPr>
            <w:tcW w:w="4111" w:type="dxa"/>
            <w:tcBorders>
              <w:top w:val="single" w:sz="4" w:space="0" w:color="17365D"/>
              <w:bottom w:val="single" w:sz="4" w:space="0" w:color="17365D"/>
            </w:tcBorders>
            <w:shd w:val="clear" w:color="auto" w:fill="auto"/>
            <w:vAlign w:val="center"/>
          </w:tcPr>
          <w:p w14:paraId="2012984E" w14:textId="78775921" w:rsidR="00381F40" w:rsidRPr="0054080A" w:rsidRDefault="00381F40" w:rsidP="00381F40">
            <w:pPr>
              <w:spacing w:after="0" w:line="240" w:lineRule="auto"/>
              <w:rPr>
                <w:rFonts w:eastAsia="Times New Roman" w:cs="Times New Roman"/>
                <w:b/>
                <w:bCs/>
                <w:color w:val="17365D"/>
                <w:sz w:val="18"/>
                <w:szCs w:val="18"/>
                <w:lang w:eastAsia="lv-LV"/>
              </w:rPr>
            </w:pPr>
            <w:r>
              <w:rPr>
                <w:rFonts w:eastAsia="Times New Roman" w:cs="Times New Roman"/>
                <w:color w:val="17365D"/>
                <w:sz w:val="18"/>
                <w:szCs w:val="18"/>
                <w:lang w:eastAsia="lv-LV"/>
              </w:rPr>
              <w:t xml:space="preserve">  </w:t>
            </w:r>
            <w:r w:rsidRPr="0054080A">
              <w:rPr>
                <w:rFonts w:eastAsia="Times New Roman" w:cs="Times New Roman"/>
                <w:color w:val="17365D"/>
                <w:sz w:val="18"/>
                <w:szCs w:val="18"/>
                <w:lang w:eastAsia="lv-LV"/>
              </w:rPr>
              <w:t>Naudas līdzekļu un noguldījumu atlikums perioda sākumā</w:t>
            </w:r>
          </w:p>
        </w:tc>
        <w:tc>
          <w:tcPr>
            <w:tcW w:w="992" w:type="dxa"/>
            <w:tcBorders>
              <w:top w:val="single" w:sz="4" w:space="0" w:color="17365D"/>
              <w:bottom w:val="single" w:sz="4" w:space="0" w:color="17365D"/>
            </w:tcBorders>
            <w:shd w:val="clear" w:color="auto" w:fill="auto"/>
            <w:vAlign w:val="center"/>
          </w:tcPr>
          <w:p w14:paraId="0469A422" w14:textId="79CB90C6" w:rsidR="00381F40" w:rsidRPr="0054080A" w:rsidRDefault="00381F40" w:rsidP="00381F40">
            <w:pPr>
              <w:spacing w:after="0" w:line="240" w:lineRule="auto"/>
              <w:jc w:val="right"/>
              <w:rPr>
                <w:rFonts w:eastAsia="Times New Roman" w:cs="Times New Roman"/>
                <w:b/>
                <w:bCs/>
                <w:color w:val="17365D"/>
                <w:sz w:val="18"/>
                <w:szCs w:val="18"/>
                <w:lang w:eastAsia="lv-LV"/>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63CA5DE1" w14:textId="117DFFCF" w:rsidR="00381F40" w:rsidRPr="0054080A" w:rsidRDefault="00381F40" w:rsidP="00381F40">
            <w:pPr>
              <w:spacing w:after="0" w:line="240" w:lineRule="auto"/>
              <w:jc w:val="right"/>
              <w:rPr>
                <w:rFonts w:eastAsia="Times New Roman" w:cs="Times New Roman"/>
                <w:b/>
                <w:bCs/>
                <w:color w:val="17365D"/>
                <w:sz w:val="18"/>
                <w:szCs w:val="18"/>
                <w:lang w:eastAsia="lv-LV"/>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65805D0C" w14:textId="29CB4FB0"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-2 748 660 199</w:t>
            </w:r>
          </w:p>
        </w:tc>
        <w:tc>
          <w:tcPr>
            <w:tcW w:w="1560" w:type="dxa"/>
            <w:tcBorders>
              <w:top w:val="single" w:sz="4" w:space="0" w:color="17365D"/>
              <w:bottom w:val="single" w:sz="4" w:space="0" w:color="17365D"/>
            </w:tcBorders>
            <w:shd w:val="clear" w:color="auto" w:fill="auto"/>
            <w:vAlign w:val="center"/>
          </w:tcPr>
          <w:p w14:paraId="087E8D2C" w14:textId="77BCE235" w:rsidR="00381F40" w:rsidRPr="0054080A" w:rsidRDefault="00381F40" w:rsidP="00381F40">
            <w:pPr>
              <w:spacing w:after="0" w:line="240" w:lineRule="auto"/>
              <w:jc w:val="right"/>
              <w:rPr>
                <w:rFonts w:eastAsia="Times New Roman" w:cs="Times New Roman"/>
                <w:b/>
                <w:bCs/>
                <w:color w:val="17365D"/>
                <w:sz w:val="18"/>
                <w:szCs w:val="18"/>
                <w:lang w:eastAsia="lv-LV"/>
              </w:rPr>
            </w:pPr>
            <w:r w:rsidRPr="0054080A">
              <w:rPr>
                <w:rFonts w:eastAsia="Times New Roman" w:cs="Times New Roman"/>
                <w:color w:val="17365D"/>
                <w:sz w:val="18"/>
                <w:szCs w:val="18"/>
                <w:lang w:eastAsia="lv-LV"/>
              </w:rPr>
              <w:t>-2 612 012 903</w:t>
            </w:r>
          </w:p>
        </w:tc>
      </w:tr>
      <w:tr w:rsidR="00381F40" w:rsidRPr="00177E3C" w14:paraId="69D4E428" w14:textId="77777777" w:rsidTr="00C2309E">
        <w:trPr>
          <w:trHeight w:val="227"/>
        </w:trPr>
        <w:tc>
          <w:tcPr>
            <w:tcW w:w="4111" w:type="dxa"/>
            <w:tcBorders>
              <w:top w:val="single" w:sz="4" w:space="0" w:color="17365D"/>
              <w:bottom w:val="single" w:sz="4" w:space="0" w:color="17365D"/>
            </w:tcBorders>
            <w:shd w:val="clear" w:color="auto" w:fill="auto"/>
            <w:vAlign w:val="center"/>
          </w:tcPr>
          <w:p w14:paraId="3140B924" w14:textId="30799C62" w:rsidR="00381F40" w:rsidRPr="0054080A" w:rsidRDefault="00381F40" w:rsidP="00381F40">
            <w:pPr>
              <w:spacing w:after="0" w:line="240" w:lineRule="auto"/>
              <w:rPr>
                <w:rFonts w:eastAsia="Times New Roman" w:cs="Times New Roman"/>
                <w:color w:val="17365D"/>
                <w:sz w:val="18"/>
                <w:szCs w:val="18"/>
                <w:lang w:eastAsia="lv-LV"/>
              </w:rPr>
            </w:pPr>
            <w:r>
              <w:rPr>
                <w:rFonts w:eastAsia="Times New Roman" w:cs="Times New Roman"/>
                <w:color w:val="17365D"/>
                <w:sz w:val="18"/>
                <w:szCs w:val="18"/>
                <w:lang w:eastAsia="lv-LV"/>
              </w:rPr>
              <w:t xml:space="preserve">  </w:t>
            </w:r>
            <w:r w:rsidRPr="0054080A">
              <w:rPr>
                <w:rFonts w:eastAsia="Times New Roman" w:cs="Times New Roman"/>
                <w:color w:val="17365D"/>
                <w:sz w:val="18"/>
                <w:szCs w:val="18"/>
                <w:lang w:eastAsia="lv-LV"/>
              </w:rPr>
              <w:t>Naudas līdzekļu un noguldījumu atlikums perioda beigās</w:t>
            </w:r>
          </w:p>
        </w:tc>
        <w:tc>
          <w:tcPr>
            <w:tcW w:w="992" w:type="dxa"/>
            <w:tcBorders>
              <w:top w:val="single" w:sz="4" w:space="0" w:color="17365D"/>
              <w:bottom w:val="single" w:sz="4" w:space="0" w:color="17365D"/>
            </w:tcBorders>
            <w:shd w:val="clear" w:color="auto" w:fill="auto"/>
            <w:vAlign w:val="center"/>
          </w:tcPr>
          <w:p w14:paraId="1B0B715F" w14:textId="1F057899" w:rsidR="00381F40" w:rsidRDefault="00381F40" w:rsidP="00381F40">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0</w:t>
            </w:r>
          </w:p>
        </w:tc>
        <w:tc>
          <w:tcPr>
            <w:tcW w:w="1276" w:type="dxa"/>
            <w:gridSpan w:val="2"/>
            <w:tcBorders>
              <w:top w:val="single" w:sz="4" w:space="0" w:color="17365D"/>
              <w:bottom w:val="single" w:sz="4" w:space="0" w:color="17365D"/>
            </w:tcBorders>
            <w:shd w:val="clear" w:color="auto" w:fill="auto"/>
            <w:vAlign w:val="center"/>
          </w:tcPr>
          <w:p w14:paraId="21091471" w14:textId="2FF04798" w:rsidR="00381F40" w:rsidRDefault="00381F40" w:rsidP="00381F40">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0</w:t>
            </w:r>
          </w:p>
        </w:tc>
        <w:tc>
          <w:tcPr>
            <w:tcW w:w="1556" w:type="dxa"/>
            <w:gridSpan w:val="2"/>
            <w:tcBorders>
              <w:top w:val="single" w:sz="4" w:space="0" w:color="17365D"/>
              <w:bottom w:val="single" w:sz="4" w:space="0" w:color="17365D"/>
            </w:tcBorders>
            <w:shd w:val="clear" w:color="auto" w:fill="auto"/>
            <w:vAlign w:val="center"/>
          </w:tcPr>
          <w:p w14:paraId="7461FF1A" w14:textId="2FF76D08"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color w:val="17365D"/>
                <w:sz w:val="18"/>
                <w:szCs w:val="18"/>
                <w:lang w:eastAsia="lv-LV"/>
              </w:rPr>
              <w:t>-2 719 553 132</w:t>
            </w:r>
          </w:p>
        </w:tc>
        <w:tc>
          <w:tcPr>
            <w:tcW w:w="1560" w:type="dxa"/>
            <w:tcBorders>
              <w:top w:val="single" w:sz="4" w:space="0" w:color="17365D"/>
              <w:bottom w:val="single" w:sz="4" w:space="0" w:color="17365D"/>
            </w:tcBorders>
            <w:shd w:val="clear" w:color="auto" w:fill="auto"/>
            <w:vAlign w:val="center"/>
          </w:tcPr>
          <w:p w14:paraId="6E84704B" w14:textId="421EAB71" w:rsidR="00381F40" w:rsidRPr="0054080A" w:rsidRDefault="00381F40" w:rsidP="00381F40">
            <w:pPr>
              <w:spacing w:after="0" w:line="240" w:lineRule="auto"/>
              <w:jc w:val="right"/>
              <w:rPr>
                <w:rFonts w:eastAsia="Times New Roman" w:cs="Times New Roman"/>
                <w:color w:val="17365D"/>
                <w:sz w:val="18"/>
                <w:szCs w:val="18"/>
                <w:lang w:eastAsia="lv-LV"/>
              </w:rPr>
            </w:pPr>
            <w:r w:rsidRPr="0054080A">
              <w:rPr>
                <w:rFonts w:eastAsia="Times New Roman" w:cs="Times New Roman"/>
                <w:color w:val="17365D"/>
                <w:sz w:val="18"/>
                <w:szCs w:val="18"/>
                <w:lang w:eastAsia="lv-LV"/>
              </w:rPr>
              <w:t>-2 748 660 199</w:t>
            </w:r>
          </w:p>
        </w:tc>
      </w:tr>
      <w:tr w:rsidR="00381F40" w:rsidRPr="00177E3C" w14:paraId="6E51987C" w14:textId="77777777" w:rsidTr="00C2309E">
        <w:trPr>
          <w:trHeight w:val="227"/>
        </w:trPr>
        <w:tc>
          <w:tcPr>
            <w:tcW w:w="4111" w:type="dxa"/>
            <w:tcBorders>
              <w:top w:val="single" w:sz="4" w:space="0" w:color="17365D"/>
            </w:tcBorders>
            <w:shd w:val="clear" w:color="auto" w:fill="B9CDE5"/>
            <w:vAlign w:val="center"/>
          </w:tcPr>
          <w:p w14:paraId="6552EBEF" w14:textId="77777777" w:rsidR="00381F40" w:rsidRPr="0054080A" w:rsidRDefault="00381F40" w:rsidP="00381F40">
            <w:pPr>
              <w:spacing w:after="0" w:line="240" w:lineRule="auto"/>
              <w:rPr>
                <w:rFonts w:eastAsia="Times New Roman" w:cs="Times New Roman"/>
                <w:color w:val="17365D"/>
                <w:sz w:val="18"/>
                <w:szCs w:val="18"/>
                <w:lang w:eastAsia="lv-LV"/>
              </w:rPr>
            </w:pPr>
          </w:p>
        </w:tc>
        <w:tc>
          <w:tcPr>
            <w:tcW w:w="992" w:type="dxa"/>
            <w:tcBorders>
              <w:top w:val="single" w:sz="4" w:space="0" w:color="17365D"/>
            </w:tcBorders>
            <w:shd w:val="clear" w:color="auto" w:fill="B9CDE5"/>
            <w:vAlign w:val="center"/>
          </w:tcPr>
          <w:p w14:paraId="393209AA" w14:textId="77777777" w:rsidR="00381F40" w:rsidRDefault="00381F40" w:rsidP="00381F40">
            <w:pPr>
              <w:spacing w:after="0" w:line="240" w:lineRule="auto"/>
              <w:jc w:val="right"/>
              <w:rPr>
                <w:rFonts w:eastAsia="Times New Roman" w:cs="Times New Roman"/>
                <w:color w:val="17365D"/>
                <w:sz w:val="18"/>
                <w:szCs w:val="18"/>
                <w:lang w:eastAsia="lv-LV"/>
              </w:rPr>
            </w:pPr>
          </w:p>
        </w:tc>
        <w:tc>
          <w:tcPr>
            <w:tcW w:w="1276" w:type="dxa"/>
            <w:gridSpan w:val="2"/>
            <w:tcBorders>
              <w:top w:val="single" w:sz="4" w:space="0" w:color="17365D"/>
            </w:tcBorders>
            <w:shd w:val="clear" w:color="auto" w:fill="B9CDE5"/>
            <w:vAlign w:val="center"/>
          </w:tcPr>
          <w:p w14:paraId="4FA9906E" w14:textId="77777777" w:rsidR="00381F40" w:rsidRDefault="00381F40" w:rsidP="00381F40">
            <w:pPr>
              <w:spacing w:after="0" w:line="240" w:lineRule="auto"/>
              <w:jc w:val="right"/>
              <w:rPr>
                <w:rFonts w:eastAsia="Times New Roman" w:cs="Times New Roman"/>
                <w:color w:val="17365D"/>
                <w:sz w:val="18"/>
                <w:szCs w:val="18"/>
                <w:lang w:eastAsia="lv-LV"/>
              </w:rPr>
            </w:pPr>
          </w:p>
        </w:tc>
        <w:tc>
          <w:tcPr>
            <w:tcW w:w="1556" w:type="dxa"/>
            <w:gridSpan w:val="2"/>
            <w:tcBorders>
              <w:top w:val="single" w:sz="4" w:space="0" w:color="17365D"/>
            </w:tcBorders>
            <w:shd w:val="clear" w:color="auto" w:fill="B9CDE5"/>
            <w:vAlign w:val="center"/>
          </w:tcPr>
          <w:p w14:paraId="3716A55A" w14:textId="77777777" w:rsidR="00381F40" w:rsidRPr="0054080A" w:rsidRDefault="00381F40" w:rsidP="00381F40">
            <w:pPr>
              <w:spacing w:after="0" w:line="240" w:lineRule="auto"/>
              <w:jc w:val="right"/>
              <w:rPr>
                <w:rFonts w:eastAsia="Times New Roman" w:cs="Times New Roman"/>
                <w:color w:val="17365D"/>
                <w:sz w:val="18"/>
                <w:szCs w:val="18"/>
                <w:lang w:eastAsia="lv-LV"/>
              </w:rPr>
            </w:pPr>
          </w:p>
        </w:tc>
        <w:tc>
          <w:tcPr>
            <w:tcW w:w="1560" w:type="dxa"/>
            <w:tcBorders>
              <w:top w:val="single" w:sz="4" w:space="0" w:color="17365D"/>
            </w:tcBorders>
            <w:shd w:val="clear" w:color="auto" w:fill="B9CDE5"/>
            <w:vAlign w:val="center"/>
          </w:tcPr>
          <w:p w14:paraId="7AD23BEB" w14:textId="77777777" w:rsidR="00381F40" w:rsidRPr="0054080A" w:rsidRDefault="00381F40" w:rsidP="00381F40">
            <w:pPr>
              <w:spacing w:after="0" w:line="240" w:lineRule="auto"/>
              <w:jc w:val="right"/>
              <w:rPr>
                <w:rFonts w:eastAsia="Times New Roman" w:cs="Times New Roman"/>
                <w:color w:val="17365D"/>
                <w:sz w:val="18"/>
                <w:szCs w:val="18"/>
                <w:lang w:eastAsia="lv-LV"/>
              </w:rPr>
            </w:pPr>
          </w:p>
        </w:tc>
      </w:tr>
    </w:tbl>
    <w:p w14:paraId="42AF6782" w14:textId="77777777" w:rsidR="00FB11FC" w:rsidRPr="00A27896" w:rsidRDefault="00FB11FC" w:rsidP="00FB11FC">
      <w:pPr>
        <w:pStyle w:val="Bullets"/>
        <w:numPr>
          <w:ilvl w:val="0"/>
          <w:numId w:val="0"/>
        </w:numPr>
        <w:ind w:left="777"/>
      </w:pPr>
    </w:p>
    <w:sectPr w:rsidR="00FB11FC" w:rsidRPr="00A27896" w:rsidSect="00381F40">
      <w:footerReference w:type="default" r:id="rId17"/>
      <w:pgSz w:w="11906" w:h="16838" w:code="9"/>
      <w:pgMar w:top="1134" w:right="851" w:bottom="1134" w:left="156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1D75F" w14:textId="77777777" w:rsidR="00F810A4" w:rsidRDefault="00F810A4" w:rsidP="00C25339">
      <w:pPr>
        <w:spacing w:after="0"/>
      </w:pPr>
      <w:r>
        <w:separator/>
      </w:r>
    </w:p>
  </w:endnote>
  <w:endnote w:type="continuationSeparator" w:id="0">
    <w:p w14:paraId="214AD5F0" w14:textId="77777777" w:rsidR="00F810A4" w:rsidRDefault="00F810A4" w:rsidP="00C25339">
      <w:pPr>
        <w:spacing w:after="0"/>
      </w:pPr>
      <w:r>
        <w:continuationSeparator/>
      </w:r>
    </w:p>
  </w:endnote>
  <w:endnote w:type="continuationNotice" w:id="1">
    <w:p w14:paraId="05CFAAE1" w14:textId="77777777" w:rsidR="00F810A4" w:rsidRDefault="00F810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5510626"/>
      <w:docPartObj>
        <w:docPartGallery w:val="Page Numbers (Bottom of Page)"/>
        <w:docPartUnique/>
      </w:docPartObj>
    </w:sdtPr>
    <w:sdtEndPr>
      <w:rPr>
        <w:noProof/>
        <w:color w:val="17365D"/>
        <w:sz w:val="20"/>
      </w:rPr>
    </w:sdtEndPr>
    <w:sdtContent>
      <w:p w14:paraId="7689B704" w14:textId="5E6D3DA4" w:rsidR="00F810A4" w:rsidRPr="007A7A77" w:rsidRDefault="00F7161A" w:rsidP="006511A6">
        <w:pPr>
          <w:pStyle w:val="Footer"/>
          <w:ind w:right="140"/>
          <w:jc w:val="right"/>
          <w:rPr>
            <w:color w:val="17365D"/>
            <w:sz w:val="20"/>
          </w:rPr>
        </w:pPr>
        <w:r w:rsidRPr="00BF73C5">
          <w:rPr>
            <w:noProof/>
            <w:lang w:eastAsia="lv-LV"/>
          </w:rPr>
          <mc:AlternateContent>
            <mc:Choice Requires="wps">
              <w:drawing>
                <wp:anchor distT="0" distB="0" distL="114300" distR="114300" simplePos="0" relativeHeight="251665408" behindDoc="0" locked="0" layoutInCell="1" allowOverlap="1" wp14:anchorId="5445A629" wp14:editId="4DBAB6F0">
                  <wp:simplePos x="0" y="0"/>
                  <wp:positionH relativeFrom="column">
                    <wp:posOffset>-194310</wp:posOffset>
                  </wp:positionH>
                  <wp:positionV relativeFrom="paragraph">
                    <wp:posOffset>-67945</wp:posOffset>
                  </wp:positionV>
                  <wp:extent cx="5643245" cy="344805"/>
                  <wp:effectExtent l="0" t="0" r="0" b="0"/>
                  <wp:wrapNone/>
                  <wp:docPr id="4" name="Rounded Rectangle 4"/>
                  <wp:cNvGraphicFramePr/>
                  <a:graphic xmlns:a="http://schemas.openxmlformats.org/drawingml/2006/main">
                    <a:graphicData uri="http://schemas.microsoft.com/office/word/2010/wordprocessingShape">
                      <wps:wsp>
                        <wps:cNvSpPr/>
                        <wps:spPr>
                          <a:xfrm>
                            <a:off x="0" y="0"/>
                            <a:ext cx="5643245" cy="344805"/>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3C82EE85" w14:textId="2202B563" w:rsidR="00F810A4" w:rsidRDefault="00F810A4" w:rsidP="007A7A77">
                              <w:pPr>
                                <w:spacing w:line="240" w:lineRule="auto"/>
                                <w:jc w:val="center"/>
                                <w:rPr>
                                  <w:color w:val="17365D"/>
                                  <w:sz w:val="20"/>
                                  <w:szCs w:val="20"/>
                                </w:rPr>
                              </w:pPr>
                              <w:r>
                                <w:rPr>
                                  <w:color w:val="17365D"/>
                                  <w:sz w:val="20"/>
                                  <w:szCs w:val="20"/>
                                </w:rPr>
                                <w:t>1_07_FMInf_Fpp_1</w:t>
                              </w:r>
                              <w:r w:rsidR="00FC1BF6">
                                <w:rPr>
                                  <w:color w:val="17365D"/>
                                  <w:sz w:val="20"/>
                                  <w:szCs w:val="20"/>
                                </w:rPr>
                                <w:t>6</w:t>
                              </w:r>
                              <w:r>
                                <w:rPr>
                                  <w:color w:val="17365D"/>
                                  <w:sz w:val="20"/>
                                  <w:szCs w:val="20"/>
                                </w:rPr>
                                <w:t>0</w:t>
                              </w:r>
                              <w:r w:rsidR="00545853">
                                <w:rPr>
                                  <w:color w:val="17365D"/>
                                  <w:sz w:val="20"/>
                                  <w:szCs w:val="20"/>
                                </w:rPr>
                                <w:t>5</w:t>
                              </w:r>
                              <w:r>
                                <w:rPr>
                                  <w:color w:val="17365D"/>
                                  <w:sz w:val="20"/>
                                  <w:szCs w:val="20"/>
                                </w:rPr>
                                <w:t>25; Latvijas Republikas konsolidētais 2024</w:t>
                              </w:r>
                              <w:r w:rsidRPr="00D8601B">
                                <w:rPr>
                                  <w:color w:val="17365D"/>
                                  <w:sz w:val="20"/>
                                  <w:szCs w:val="20"/>
                                </w:rPr>
                                <w:t>. gada pārskats; 1. sējums</w:t>
                              </w:r>
                              <w:r w:rsidR="00C51FB6">
                                <w:rPr>
                                  <w:color w:val="17365D"/>
                                  <w:sz w:val="20"/>
                                  <w:szCs w:val="20"/>
                                </w:rPr>
                                <w:t xml:space="preserve"> (neauditēts)</w:t>
                              </w:r>
                            </w:p>
                            <w:p w14:paraId="060527E8" w14:textId="77777777" w:rsidR="00F810A4" w:rsidRPr="00D8601B" w:rsidRDefault="00F810A4" w:rsidP="007A7A77">
                              <w:pPr>
                                <w:spacing w:line="240" w:lineRule="auto"/>
                                <w:jc w:val="center"/>
                                <w:rPr>
                                  <w:color w:val="17365D"/>
                                  <w:sz w:val="20"/>
                                  <w:szCs w:val="20"/>
                                </w:rPr>
                              </w:pPr>
                            </w:p>
                            <w:p w14:paraId="0ED89C9E" w14:textId="77777777" w:rsidR="00F810A4" w:rsidRPr="004E5A5E" w:rsidRDefault="00F810A4" w:rsidP="007A7A77">
                              <w:pPr>
                                <w:jc w:val="center"/>
                                <w:rPr>
                                  <w:color w:val="17365D" w:themeColor="text2" w:themeShade="BF"/>
                                  <w:sz w:val="20"/>
                                  <w:szCs w:val="20"/>
                                </w:rPr>
                              </w:pPr>
                              <w:r w:rsidRPr="000847D9">
                                <w:rPr>
                                  <w:color w:val="17365D" w:themeColor="text2" w:themeShade="BF"/>
                                  <w:sz w:val="20"/>
                                  <w:szCs w:val="20"/>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45A629" id="Rounded Rectangle 4" o:spid="_x0000_s1026" style="position:absolute;left:0;text-align:left;margin-left:-15.3pt;margin-top:-5.35pt;width:444.35pt;height:2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" fillcolor="#dbe5f1 [660]" stroked="f" strokeweight="1pt">
                  <v:stroke dashstyle="dash"/>
                  <v:textbox>
                    <w:txbxContent>
                      <w:p w14:paraId="3C82EE85" w14:textId="2202B563" w:rsidR="00F810A4" w:rsidRDefault="00F810A4" w:rsidP="007A7A77">
                        <w:pPr>
                          <w:spacing w:line="240" w:lineRule="auto"/>
                          <w:jc w:val="center"/>
                          <w:rPr>
                            <w:color w:val="17365D"/>
                            <w:sz w:val="20"/>
                            <w:szCs w:val="20"/>
                          </w:rPr>
                        </w:pPr>
                        <w:r>
                          <w:rPr>
                            <w:color w:val="17365D"/>
                            <w:sz w:val="20"/>
                            <w:szCs w:val="20"/>
                          </w:rPr>
                          <w:t>1_07_FMInf_Fpp_1</w:t>
                        </w:r>
                        <w:r w:rsidR="00FC1BF6">
                          <w:rPr>
                            <w:color w:val="17365D"/>
                            <w:sz w:val="20"/>
                            <w:szCs w:val="20"/>
                          </w:rPr>
                          <w:t>6</w:t>
                        </w:r>
                        <w:r>
                          <w:rPr>
                            <w:color w:val="17365D"/>
                            <w:sz w:val="20"/>
                            <w:szCs w:val="20"/>
                          </w:rPr>
                          <w:t>0</w:t>
                        </w:r>
                        <w:r w:rsidR="00545853">
                          <w:rPr>
                            <w:color w:val="17365D"/>
                            <w:sz w:val="20"/>
                            <w:szCs w:val="20"/>
                          </w:rPr>
                          <w:t>5</w:t>
                        </w:r>
                        <w:r>
                          <w:rPr>
                            <w:color w:val="17365D"/>
                            <w:sz w:val="20"/>
                            <w:szCs w:val="20"/>
                          </w:rPr>
                          <w:t>25; Latvijas Republikas konsolidētais 2024</w:t>
                        </w:r>
                        <w:r w:rsidRPr="00D8601B">
                          <w:rPr>
                            <w:color w:val="17365D"/>
                            <w:sz w:val="20"/>
                            <w:szCs w:val="20"/>
                          </w:rPr>
                          <w:t>. gada pārskats; 1. sējums</w:t>
                        </w:r>
                        <w:r w:rsidR="00C51FB6">
                          <w:rPr>
                            <w:color w:val="17365D"/>
                            <w:sz w:val="20"/>
                            <w:szCs w:val="20"/>
                          </w:rPr>
                          <w:t xml:space="preserve"> (neauditēts)</w:t>
                        </w:r>
                      </w:p>
                      <w:p w14:paraId="060527E8" w14:textId="77777777" w:rsidR="00F810A4" w:rsidRPr="00D8601B" w:rsidRDefault="00F810A4" w:rsidP="007A7A77">
                        <w:pPr>
                          <w:spacing w:line="240" w:lineRule="auto"/>
                          <w:jc w:val="center"/>
                          <w:rPr>
                            <w:color w:val="17365D"/>
                            <w:sz w:val="20"/>
                            <w:szCs w:val="20"/>
                          </w:rPr>
                        </w:pPr>
                      </w:p>
                      <w:p w14:paraId="0ED89C9E" w14:textId="77777777" w:rsidR="00F810A4" w:rsidRPr="004E5A5E" w:rsidRDefault="00F810A4" w:rsidP="007A7A77">
                        <w:pPr>
                          <w:jc w:val="center"/>
                          <w:rPr>
                            <w:color w:val="17365D" w:themeColor="text2" w:themeShade="BF"/>
                            <w:sz w:val="20"/>
                            <w:szCs w:val="20"/>
                          </w:rPr>
                        </w:pPr>
                        <w:r w:rsidRPr="000847D9">
                          <w:rPr>
                            <w:color w:val="17365D" w:themeColor="text2" w:themeShade="BF"/>
                            <w:sz w:val="20"/>
                            <w:szCs w:val="20"/>
                          </w:rPr>
                          <w:tab/>
                        </w:r>
                      </w:p>
                    </w:txbxContent>
                  </v:textbox>
                </v:roundrect>
              </w:pict>
            </mc:Fallback>
          </mc:AlternateContent>
        </w:r>
        <w:r w:rsidR="00F11F8E" w:rsidRPr="00292A3B">
          <w:rPr>
            <w:noProof/>
            <w:color w:val="17365D"/>
            <w:sz w:val="16"/>
            <w:lang w:eastAsia="lv-LV"/>
          </w:rPr>
          <mc:AlternateContent>
            <mc:Choice Requires="wps">
              <w:drawing>
                <wp:anchor distT="0" distB="0" distL="114300" distR="114300" simplePos="0" relativeHeight="251667456" behindDoc="1" locked="0" layoutInCell="1" allowOverlap="1" wp14:anchorId="133A1385" wp14:editId="78FBCE95">
                  <wp:simplePos x="0" y="0"/>
                  <wp:positionH relativeFrom="column">
                    <wp:posOffset>5619115</wp:posOffset>
                  </wp:positionH>
                  <wp:positionV relativeFrom="paragraph">
                    <wp:posOffset>-53340</wp:posOffset>
                  </wp:positionV>
                  <wp:extent cx="456565" cy="279400"/>
                  <wp:effectExtent l="0" t="0" r="635" b="6350"/>
                  <wp:wrapNone/>
                  <wp:docPr id="858312751" name="Rounded Rectangle 1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D34FE5" id="Rounded Rectangle 13" o:spid="_x0000_s1026" style="position:absolute;margin-left:442.45pt;margin-top:-4.2pt;width:35.95pt;height:2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" fillcolor="#dbe5f1 [660]" stroked="f" strokeweight="1pt">
                  <v:stroke dashstyle="dash"/>
                </v:roundrect>
              </w:pict>
            </mc:Fallback>
          </mc:AlternateContent>
        </w:r>
        <w:r w:rsidR="00F11F8E" w:rsidRPr="007A7A77">
          <w:rPr>
            <w:noProof/>
            <w:color w:val="17365D"/>
            <w:sz w:val="12"/>
            <w:lang w:eastAsia="lv-LV"/>
          </w:rPr>
          <mc:AlternateContent>
            <mc:Choice Requires="wps">
              <w:drawing>
                <wp:anchor distT="0" distB="0" distL="114300" distR="114300" simplePos="0" relativeHeight="251663360" behindDoc="1" locked="0" layoutInCell="1" allowOverlap="1" wp14:anchorId="04909151" wp14:editId="32651955">
                  <wp:simplePos x="0" y="0"/>
                  <wp:positionH relativeFrom="column">
                    <wp:posOffset>9387632</wp:posOffset>
                  </wp:positionH>
                  <wp:positionV relativeFrom="paragraph">
                    <wp:posOffset>3089275</wp:posOffset>
                  </wp:positionV>
                  <wp:extent cx="456565" cy="279400"/>
                  <wp:effectExtent l="0" t="0" r="635" b="6350"/>
                  <wp:wrapNone/>
                  <wp:docPr id="3" name="Rounded Rectangle 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4A5B4C" id="Rounded Rectangle 3" o:spid="_x0000_s1026" style="position:absolute;margin-left:739.2pt;margin-top:243.25pt;width:35.95pt;height:2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" fillcolor="#dbe5f1 [660]" stroked="f" strokeweight="1pt">
                  <v:stroke dashstyle="dash"/>
                </v:roundrect>
              </w:pict>
            </mc:Fallback>
          </mc:AlternateContent>
        </w:r>
        <w:r w:rsidR="00F810A4" w:rsidRPr="007A7A77">
          <w:rPr>
            <w:color w:val="17365D"/>
            <w:sz w:val="20"/>
          </w:rPr>
          <w:fldChar w:fldCharType="begin"/>
        </w:r>
        <w:r w:rsidR="00F810A4" w:rsidRPr="007A7A77">
          <w:rPr>
            <w:color w:val="17365D"/>
            <w:sz w:val="20"/>
          </w:rPr>
          <w:instrText xml:space="preserve"> PAGE   \* MERGEFORMAT </w:instrText>
        </w:r>
        <w:r w:rsidR="00F810A4" w:rsidRPr="007A7A77">
          <w:rPr>
            <w:color w:val="17365D"/>
            <w:sz w:val="20"/>
          </w:rPr>
          <w:fldChar w:fldCharType="separate"/>
        </w:r>
        <w:r w:rsidR="00403C07">
          <w:rPr>
            <w:noProof/>
            <w:color w:val="17365D"/>
            <w:sz w:val="20"/>
          </w:rPr>
          <w:t>71</w:t>
        </w:r>
        <w:r w:rsidR="00F810A4" w:rsidRPr="007A7A77">
          <w:rPr>
            <w:noProof/>
            <w:color w:val="17365D"/>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E3E82" w14:textId="30E3D22C" w:rsidR="00F810A4" w:rsidRPr="007A7A77" w:rsidRDefault="00F7161A" w:rsidP="007A7A77">
    <w:pPr>
      <w:pStyle w:val="Footer"/>
      <w:ind w:right="142"/>
      <w:jc w:val="right"/>
      <w:rPr>
        <w:color w:val="17365D"/>
        <w:sz w:val="20"/>
      </w:rPr>
    </w:pPr>
    <w:r w:rsidRPr="00BF73C5">
      <w:rPr>
        <w:noProof/>
        <w:lang w:eastAsia="lv-LV"/>
      </w:rPr>
      <mc:AlternateContent>
        <mc:Choice Requires="wps">
          <w:drawing>
            <wp:anchor distT="0" distB="0" distL="114300" distR="114300" simplePos="0" relativeHeight="251661312" behindDoc="0" locked="0" layoutInCell="1" allowOverlap="1" wp14:anchorId="406C13EB" wp14:editId="27F01E65">
              <wp:simplePos x="0" y="0"/>
              <wp:positionH relativeFrom="column">
                <wp:posOffset>-260985</wp:posOffset>
              </wp:positionH>
              <wp:positionV relativeFrom="paragraph">
                <wp:posOffset>-77470</wp:posOffset>
              </wp:positionV>
              <wp:extent cx="5615940" cy="344805"/>
              <wp:effectExtent l="0" t="0" r="3810" b="0"/>
              <wp:wrapNone/>
              <wp:docPr id="9" name="Rounded Rectangle 9"/>
              <wp:cNvGraphicFramePr/>
              <a:graphic xmlns:a="http://schemas.openxmlformats.org/drawingml/2006/main">
                <a:graphicData uri="http://schemas.microsoft.com/office/word/2010/wordprocessingShape">
                  <wps:wsp>
                    <wps:cNvSpPr/>
                    <wps:spPr>
                      <a:xfrm>
                        <a:off x="0" y="0"/>
                        <a:ext cx="5615940" cy="344805"/>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ECE4132" w14:textId="3A4F41B7" w:rsidR="00F810A4" w:rsidRDefault="00F810A4" w:rsidP="007A7A77">
                          <w:pPr>
                            <w:spacing w:line="240" w:lineRule="auto"/>
                            <w:jc w:val="center"/>
                            <w:rPr>
                              <w:color w:val="17365D"/>
                              <w:sz w:val="20"/>
                              <w:szCs w:val="20"/>
                            </w:rPr>
                          </w:pPr>
                          <w:r>
                            <w:rPr>
                              <w:color w:val="17365D"/>
                              <w:sz w:val="20"/>
                              <w:szCs w:val="20"/>
                            </w:rPr>
                            <w:t>1_07_FMInf_Fpp_1</w:t>
                          </w:r>
                          <w:r w:rsidR="00FC1BF6">
                            <w:rPr>
                              <w:color w:val="17365D"/>
                              <w:sz w:val="20"/>
                              <w:szCs w:val="20"/>
                            </w:rPr>
                            <w:t>60525</w:t>
                          </w:r>
                          <w:r>
                            <w:rPr>
                              <w:color w:val="17365D"/>
                              <w:sz w:val="20"/>
                              <w:szCs w:val="20"/>
                            </w:rPr>
                            <w:t>; Latvijas Republikas konsolidētais 202</w:t>
                          </w:r>
                          <w:r w:rsidR="006E6B94">
                            <w:rPr>
                              <w:color w:val="17365D"/>
                              <w:sz w:val="20"/>
                              <w:szCs w:val="20"/>
                            </w:rPr>
                            <w:t>4</w:t>
                          </w:r>
                          <w:r w:rsidRPr="00D8601B">
                            <w:rPr>
                              <w:color w:val="17365D"/>
                              <w:sz w:val="20"/>
                              <w:szCs w:val="20"/>
                            </w:rPr>
                            <w:t xml:space="preserve">. </w:t>
                          </w:r>
                          <w:r w:rsidRPr="00D8601B">
                            <w:rPr>
                              <w:color w:val="17365D"/>
                              <w:sz w:val="20"/>
                              <w:szCs w:val="20"/>
                            </w:rPr>
                            <w:t>gada pārskats; 1. sējums</w:t>
                          </w:r>
                          <w:r w:rsidR="00C51FB6">
                            <w:rPr>
                              <w:color w:val="17365D"/>
                              <w:sz w:val="20"/>
                              <w:szCs w:val="20"/>
                            </w:rPr>
                            <w:t xml:space="preserve"> (neauditēts)</w:t>
                          </w:r>
                        </w:p>
                        <w:p w14:paraId="59A7F7B3" w14:textId="77777777" w:rsidR="00F810A4" w:rsidRPr="00D8601B" w:rsidRDefault="00F810A4" w:rsidP="007A7A77">
                          <w:pPr>
                            <w:spacing w:line="240" w:lineRule="auto"/>
                            <w:jc w:val="center"/>
                            <w:rPr>
                              <w:color w:val="17365D"/>
                              <w:sz w:val="20"/>
                              <w:szCs w:val="20"/>
                            </w:rPr>
                          </w:pPr>
                        </w:p>
                        <w:p w14:paraId="1BD67462" w14:textId="77777777" w:rsidR="00F810A4" w:rsidRPr="004E5A5E" w:rsidRDefault="00F810A4" w:rsidP="007A7A77">
                          <w:pPr>
                            <w:jc w:val="center"/>
                            <w:rPr>
                              <w:color w:val="17365D" w:themeColor="text2" w:themeShade="BF"/>
                              <w:sz w:val="20"/>
                              <w:szCs w:val="20"/>
                            </w:rPr>
                          </w:pPr>
                          <w:r w:rsidRPr="000847D9">
                            <w:rPr>
                              <w:color w:val="17365D" w:themeColor="text2" w:themeShade="BF"/>
                              <w:sz w:val="20"/>
                              <w:szCs w:val="20"/>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6C13EB" id="Rounded Rectangle 9" o:spid="_x0000_s1027" style="position:absolute;left:0;text-align:left;margin-left:-20.55pt;margin-top:-6.1pt;width:442.2pt;height:2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" fillcolor="#dbe5f1 [660]" stroked="f" strokeweight="1pt">
              <v:stroke dashstyle="dash"/>
              <v:textbox>
                <w:txbxContent>
                  <w:p w14:paraId="4ECE4132" w14:textId="3A4F41B7" w:rsidR="00F810A4" w:rsidRDefault="00F810A4" w:rsidP="007A7A77">
                    <w:pPr>
                      <w:spacing w:line="240" w:lineRule="auto"/>
                      <w:jc w:val="center"/>
                      <w:rPr>
                        <w:color w:val="17365D"/>
                        <w:sz w:val="20"/>
                        <w:szCs w:val="20"/>
                      </w:rPr>
                    </w:pPr>
                    <w:r>
                      <w:rPr>
                        <w:color w:val="17365D"/>
                        <w:sz w:val="20"/>
                        <w:szCs w:val="20"/>
                      </w:rPr>
                      <w:t>1_07_FMInf_Fpp_1</w:t>
                    </w:r>
                    <w:r w:rsidR="00FC1BF6">
                      <w:rPr>
                        <w:color w:val="17365D"/>
                        <w:sz w:val="20"/>
                        <w:szCs w:val="20"/>
                      </w:rPr>
                      <w:t>60525</w:t>
                    </w:r>
                    <w:r>
                      <w:rPr>
                        <w:color w:val="17365D"/>
                        <w:sz w:val="20"/>
                        <w:szCs w:val="20"/>
                      </w:rPr>
                      <w:t>; Latvijas Republikas konsolidētais 202</w:t>
                    </w:r>
                    <w:r w:rsidR="006E6B94">
                      <w:rPr>
                        <w:color w:val="17365D"/>
                        <w:sz w:val="20"/>
                        <w:szCs w:val="20"/>
                      </w:rPr>
                      <w:t>4</w:t>
                    </w:r>
                    <w:r w:rsidRPr="00D8601B">
                      <w:rPr>
                        <w:color w:val="17365D"/>
                        <w:sz w:val="20"/>
                        <w:szCs w:val="20"/>
                      </w:rPr>
                      <w:t xml:space="preserve">. </w:t>
                    </w:r>
                    <w:r w:rsidRPr="00D8601B">
                      <w:rPr>
                        <w:color w:val="17365D"/>
                        <w:sz w:val="20"/>
                        <w:szCs w:val="20"/>
                      </w:rPr>
                      <w:t>gada pārskats; 1. sējums</w:t>
                    </w:r>
                    <w:r w:rsidR="00C51FB6">
                      <w:rPr>
                        <w:color w:val="17365D"/>
                        <w:sz w:val="20"/>
                        <w:szCs w:val="20"/>
                      </w:rPr>
                      <w:t xml:space="preserve"> (neauditēts)</w:t>
                    </w:r>
                  </w:p>
                  <w:p w14:paraId="59A7F7B3" w14:textId="77777777" w:rsidR="00F810A4" w:rsidRPr="00D8601B" w:rsidRDefault="00F810A4" w:rsidP="007A7A77">
                    <w:pPr>
                      <w:spacing w:line="240" w:lineRule="auto"/>
                      <w:jc w:val="center"/>
                      <w:rPr>
                        <w:color w:val="17365D"/>
                        <w:sz w:val="20"/>
                        <w:szCs w:val="20"/>
                      </w:rPr>
                    </w:pPr>
                  </w:p>
                  <w:p w14:paraId="1BD67462" w14:textId="77777777" w:rsidR="00F810A4" w:rsidRPr="004E5A5E" w:rsidRDefault="00F810A4" w:rsidP="007A7A77">
                    <w:pPr>
                      <w:jc w:val="center"/>
                      <w:rPr>
                        <w:color w:val="17365D" w:themeColor="text2" w:themeShade="BF"/>
                        <w:sz w:val="20"/>
                        <w:szCs w:val="20"/>
                      </w:rPr>
                    </w:pPr>
                    <w:r w:rsidRPr="000847D9">
                      <w:rPr>
                        <w:color w:val="17365D" w:themeColor="text2" w:themeShade="BF"/>
                        <w:sz w:val="20"/>
                        <w:szCs w:val="20"/>
                      </w:rPr>
                      <w:tab/>
                    </w:r>
                  </w:p>
                </w:txbxContent>
              </v:textbox>
            </v:roundrect>
          </w:pict>
        </mc:Fallback>
      </mc:AlternateContent>
    </w:r>
    <w:r w:rsidR="00F810A4" w:rsidRPr="00292A3B">
      <w:rPr>
        <w:noProof/>
        <w:color w:val="17365D"/>
        <w:sz w:val="16"/>
        <w:lang w:eastAsia="lv-LV"/>
      </w:rPr>
      <mc:AlternateContent>
        <mc:Choice Requires="wps">
          <w:drawing>
            <wp:anchor distT="0" distB="0" distL="114300" distR="114300" simplePos="0" relativeHeight="251659264" behindDoc="1" locked="0" layoutInCell="1" allowOverlap="1" wp14:anchorId="3C0D3092" wp14:editId="4F847718">
              <wp:simplePos x="0" y="0"/>
              <wp:positionH relativeFrom="column">
                <wp:posOffset>5537692</wp:posOffset>
              </wp:positionH>
              <wp:positionV relativeFrom="paragraph">
                <wp:posOffset>-41910</wp:posOffset>
              </wp:positionV>
              <wp:extent cx="456565" cy="279400"/>
              <wp:effectExtent l="0" t="0" r="635" b="6350"/>
              <wp:wrapNone/>
              <wp:docPr id="13" name="Rounded Rectangle 1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60394C" id="Rounded Rectangle 13" o:spid="_x0000_s1026" style="position:absolute;margin-left:436.05pt;margin-top:-3.3pt;width:35.95pt;height: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" fillcolor="#dbe5f1 [660]" stroked="f" strokeweight="1pt">
              <v:stroke dashstyle="dash"/>
            </v:roundrect>
          </w:pict>
        </mc:Fallback>
      </mc:AlternateContent>
    </w:r>
    <w:r w:rsidR="00B111A1">
      <w:rPr>
        <w:color w:val="17365D"/>
        <w:sz w:val="20"/>
      </w:rPr>
      <w:t>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1540869"/>
      <w:docPartObj>
        <w:docPartGallery w:val="Page Numbers (Bottom of Page)"/>
        <w:docPartUnique/>
      </w:docPartObj>
    </w:sdtPr>
    <w:sdtEndPr>
      <w:rPr>
        <w:noProof/>
        <w:color w:val="17365D"/>
        <w:sz w:val="20"/>
      </w:rPr>
    </w:sdtEndPr>
    <w:sdtContent>
      <w:p w14:paraId="023CE9E2" w14:textId="666F53FE" w:rsidR="006511A6" w:rsidRPr="007A7A77" w:rsidRDefault="00F7161A" w:rsidP="006511A6">
        <w:pPr>
          <w:pStyle w:val="Footer"/>
          <w:ind w:right="5214"/>
          <w:jc w:val="right"/>
          <w:rPr>
            <w:color w:val="17365D"/>
            <w:sz w:val="20"/>
          </w:rPr>
        </w:pPr>
        <w:r w:rsidRPr="00BF73C5">
          <w:rPr>
            <w:noProof/>
            <w:lang w:eastAsia="lv-LV"/>
          </w:rPr>
          <mc:AlternateContent>
            <mc:Choice Requires="wps">
              <w:drawing>
                <wp:anchor distT="0" distB="0" distL="114300" distR="114300" simplePos="0" relativeHeight="251670528" behindDoc="0" locked="0" layoutInCell="1" allowOverlap="1" wp14:anchorId="4F10D0AA" wp14:editId="006DDE51">
                  <wp:simplePos x="0" y="0"/>
                  <wp:positionH relativeFrom="column">
                    <wp:posOffset>-167640</wp:posOffset>
                  </wp:positionH>
                  <wp:positionV relativeFrom="paragraph">
                    <wp:posOffset>-50800</wp:posOffset>
                  </wp:positionV>
                  <wp:extent cx="5614670" cy="344805"/>
                  <wp:effectExtent l="0" t="0" r="5080" b="0"/>
                  <wp:wrapNone/>
                  <wp:docPr id="630579220" name="Rounded Rectangle 4"/>
                  <wp:cNvGraphicFramePr/>
                  <a:graphic xmlns:a="http://schemas.openxmlformats.org/drawingml/2006/main">
                    <a:graphicData uri="http://schemas.microsoft.com/office/word/2010/wordprocessingShape">
                      <wps:wsp>
                        <wps:cNvSpPr/>
                        <wps:spPr>
                          <a:xfrm>
                            <a:off x="0" y="0"/>
                            <a:ext cx="5614670" cy="344805"/>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1DE9394" w14:textId="535CCA5E" w:rsidR="006511A6" w:rsidRDefault="006511A6" w:rsidP="007A7A77">
                              <w:pPr>
                                <w:spacing w:line="240" w:lineRule="auto"/>
                                <w:jc w:val="center"/>
                                <w:rPr>
                                  <w:color w:val="17365D"/>
                                  <w:sz w:val="20"/>
                                  <w:szCs w:val="20"/>
                                </w:rPr>
                              </w:pPr>
                              <w:r>
                                <w:rPr>
                                  <w:color w:val="17365D"/>
                                  <w:sz w:val="20"/>
                                  <w:szCs w:val="20"/>
                                </w:rPr>
                                <w:t>1_07_FMInf_Fpp_1</w:t>
                              </w:r>
                              <w:r w:rsidR="00FC1BF6">
                                <w:rPr>
                                  <w:color w:val="17365D"/>
                                  <w:sz w:val="20"/>
                                  <w:szCs w:val="20"/>
                                </w:rPr>
                                <w:t>6</w:t>
                              </w:r>
                              <w:r>
                                <w:rPr>
                                  <w:color w:val="17365D"/>
                                  <w:sz w:val="20"/>
                                  <w:szCs w:val="20"/>
                                </w:rPr>
                                <w:t>0525; Latvijas Republikas konsolidētais 2024</w:t>
                              </w:r>
                              <w:r w:rsidRPr="00D8601B">
                                <w:rPr>
                                  <w:color w:val="17365D"/>
                                  <w:sz w:val="20"/>
                                  <w:szCs w:val="20"/>
                                </w:rPr>
                                <w:t xml:space="preserve">. </w:t>
                              </w:r>
                              <w:r w:rsidRPr="00D8601B">
                                <w:rPr>
                                  <w:color w:val="17365D"/>
                                  <w:sz w:val="20"/>
                                  <w:szCs w:val="20"/>
                                </w:rPr>
                                <w:t>gada pārskats; 1. sējums</w:t>
                              </w:r>
                              <w:r w:rsidR="00C51FB6">
                                <w:rPr>
                                  <w:color w:val="17365D"/>
                                  <w:sz w:val="20"/>
                                  <w:szCs w:val="20"/>
                                </w:rPr>
                                <w:t xml:space="preserve"> (neauditēts)</w:t>
                              </w:r>
                            </w:p>
                            <w:p w14:paraId="22D04A1E" w14:textId="77777777" w:rsidR="006511A6" w:rsidRPr="00D8601B" w:rsidRDefault="006511A6" w:rsidP="007A7A77">
                              <w:pPr>
                                <w:spacing w:line="240" w:lineRule="auto"/>
                                <w:jc w:val="center"/>
                                <w:rPr>
                                  <w:color w:val="17365D"/>
                                  <w:sz w:val="20"/>
                                  <w:szCs w:val="20"/>
                                </w:rPr>
                              </w:pPr>
                            </w:p>
                            <w:p w14:paraId="2BB820F7" w14:textId="77777777" w:rsidR="006511A6" w:rsidRPr="004E5A5E" w:rsidRDefault="006511A6" w:rsidP="007A7A77">
                              <w:pPr>
                                <w:jc w:val="center"/>
                                <w:rPr>
                                  <w:color w:val="17365D" w:themeColor="text2" w:themeShade="BF"/>
                                  <w:sz w:val="20"/>
                                  <w:szCs w:val="20"/>
                                </w:rPr>
                              </w:pPr>
                              <w:r w:rsidRPr="000847D9">
                                <w:rPr>
                                  <w:color w:val="17365D" w:themeColor="text2" w:themeShade="BF"/>
                                  <w:sz w:val="20"/>
                                  <w:szCs w:val="20"/>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0D0AA" id="_x0000_s1028" style="position:absolute;left:0;text-align:left;margin-left:-13.2pt;margin-top:-4pt;width:442.1pt;height:2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" fillcolor="#dbe5f1 [660]" stroked="f" strokeweight="1pt">
                  <v:stroke dashstyle="dash"/>
                  <v:textbox>
                    <w:txbxContent>
                      <w:p w14:paraId="11DE9394" w14:textId="535CCA5E" w:rsidR="006511A6" w:rsidRDefault="006511A6" w:rsidP="007A7A77">
                        <w:pPr>
                          <w:spacing w:line="240" w:lineRule="auto"/>
                          <w:jc w:val="center"/>
                          <w:rPr>
                            <w:color w:val="17365D"/>
                            <w:sz w:val="20"/>
                            <w:szCs w:val="20"/>
                          </w:rPr>
                        </w:pPr>
                        <w:r>
                          <w:rPr>
                            <w:color w:val="17365D"/>
                            <w:sz w:val="20"/>
                            <w:szCs w:val="20"/>
                          </w:rPr>
                          <w:t>1_07_FMInf_Fpp_1</w:t>
                        </w:r>
                        <w:r w:rsidR="00FC1BF6">
                          <w:rPr>
                            <w:color w:val="17365D"/>
                            <w:sz w:val="20"/>
                            <w:szCs w:val="20"/>
                          </w:rPr>
                          <w:t>6</w:t>
                        </w:r>
                        <w:r>
                          <w:rPr>
                            <w:color w:val="17365D"/>
                            <w:sz w:val="20"/>
                            <w:szCs w:val="20"/>
                          </w:rPr>
                          <w:t>0525; Latvijas Republikas konsolidētais 2024</w:t>
                        </w:r>
                        <w:r w:rsidRPr="00D8601B">
                          <w:rPr>
                            <w:color w:val="17365D"/>
                            <w:sz w:val="20"/>
                            <w:szCs w:val="20"/>
                          </w:rPr>
                          <w:t xml:space="preserve">. </w:t>
                        </w:r>
                        <w:r w:rsidRPr="00D8601B">
                          <w:rPr>
                            <w:color w:val="17365D"/>
                            <w:sz w:val="20"/>
                            <w:szCs w:val="20"/>
                          </w:rPr>
                          <w:t>gada pārskats; 1. sējums</w:t>
                        </w:r>
                        <w:r w:rsidR="00C51FB6">
                          <w:rPr>
                            <w:color w:val="17365D"/>
                            <w:sz w:val="20"/>
                            <w:szCs w:val="20"/>
                          </w:rPr>
                          <w:t xml:space="preserve"> (neauditēts)</w:t>
                        </w:r>
                      </w:p>
                      <w:p w14:paraId="22D04A1E" w14:textId="77777777" w:rsidR="006511A6" w:rsidRPr="00D8601B" w:rsidRDefault="006511A6" w:rsidP="007A7A77">
                        <w:pPr>
                          <w:spacing w:line="240" w:lineRule="auto"/>
                          <w:jc w:val="center"/>
                          <w:rPr>
                            <w:color w:val="17365D"/>
                            <w:sz w:val="20"/>
                            <w:szCs w:val="20"/>
                          </w:rPr>
                        </w:pPr>
                      </w:p>
                      <w:p w14:paraId="2BB820F7" w14:textId="77777777" w:rsidR="006511A6" w:rsidRPr="004E5A5E" w:rsidRDefault="006511A6" w:rsidP="007A7A77">
                        <w:pPr>
                          <w:jc w:val="center"/>
                          <w:rPr>
                            <w:color w:val="17365D" w:themeColor="text2" w:themeShade="BF"/>
                            <w:sz w:val="20"/>
                            <w:szCs w:val="20"/>
                          </w:rPr>
                        </w:pPr>
                        <w:r w:rsidRPr="000847D9">
                          <w:rPr>
                            <w:color w:val="17365D" w:themeColor="text2" w:themeShade="BF"/>
                            <w:sz w:val="20"/>
                            <w:szCs w:val="20"/>
                          </w:rPr>
                          <w:tab/>
                        </w:r>
                      </w:p>
                    </w:txbxContent>
                  </v:textbox>
                </v:roundrect>
              </w:pict>
            </mc:Fallback>
          </mc:AlternateContent>
        </w:r>
        <w:r w:rsidR="006511A6" w:rsidRPr="00292A3B">
          <w:rPr>
            <w:noProof/>
            <w:color w:val="17365D"/>
            <w:sz w:val="16"/>
            <w:lang w:eastAsia="lv-LV"/>
          </w:rPr>
          <mc:AlternateContent>
            <mc:Choice Requires="wps">
              <w:drawing>
                <wp:anchor distT="0" distB="0" distL="114300" distR="114300" simplePos="0" relativeHeight="251671552" behindDoc="1" locked="0" layoutInCell="1" allowOverlap="1" wp14:anchorId="75E54389" wp14:editId="16C3113A">
                  <wp:simplePos x="0" y="0"/>
                  <wp:positionH relativeFrom="column">
                    <wp:posOffset>5654040</wp:posOffset>
                  </wp:positionH>
                  <wp:positionV relativeFrom="paragraph">
                    <wp:posOffset>-53340</wp:posOffset>
                  </wp:positionV>
                  <wp:extent cx="456565" cy="279400"/>
                  <wp:effectExtent l="0" t="0" r="635" b="6350"/>
                  <wp:wrapNone/>
                  <wp:docPr id="170468517" name="Rounded Rectangle 1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CF1FF7" id="Rounded Rectangle 13" o:spid="_x0000_s1026" style="position:absolute;margin-left:445.2pt;margin-top:-4.2pt;width:35.95pt;height:2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" fillcolor="#dbe5f1 [660]" stroked="f" strokeweight="1pt">
                  <v:stroke dashstyle="dash"/>
                </v:roundrect>
              </w:pict>
            </mc:Fallback>
          </mc:AlternateContent>
        </w:r>
        <w:r w:rsidR="006511A6" w:rsidRPr="007A7A77">
          <w:rPr>
            <w:noProof/>
            <w:color w:val="17365D"/>
            <w:sz w:val="12"/>
            <w:lang w:eastAsia="lv-LV"/>
          </w:rPr>
          <mc:AlternateContent>
            <mc:Choice Requires="wps">
              <w:drawing>
                <wp:anchor distT="0" distB="0" distL="114300" distR="114300" simplePos="0" relativeHeight="251669504" behindDoc="1" locked="0" layoutInCell="1" allowOverlap="1" wp14:anchorId="4219512A" wp14:editId="5E85FF77">
                  <wp:simplePos x="0" y="0"/>
                  <wp:positionH relativeFrom="column">
                    <wp:posOffset>9387632</wp:posOffset>
                  </wp:positionH>
                  <wp:positionV relativeFrom="paragraph">
                    <wp:posOffset>3089275</wp:posOffset>
                  </wp:positionV>
                  <wp:extent cx="456565" cy="279400"/>
                  <wp:effectExtent l="0" t="0" r="635" b="6350"/>
                  <wp:wrapNone/>
                  <wp:docPr id="1137101607" name="Rounded Rectangle 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E7519B" id="Rounded Rectangle 3" o:spid="_x0000_s1026" style="position:absolute;margin-left:739.2pt;margin-top:243.25pt;width:35.95pt;height:2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" fillcolor="#dbe5f1 [660]" stroked="f" strokeweight="1pt">
                  <v:stroke dashstyle="dash"/>
                </v:roundrect>
              </w:pict>
            </mc:Fallback>
          </mc:AlternateContent>
        </w:r>
        <w:r w:rsidR="006511A6" w:rsidRPr="007A7A77">
          <w:rPr>
            <w:color w:val="17365D"/>
            <w:sz w:val="20"/>
          </w:rPr>
          <w:fldChar w:fldCharType="begin"/>
        </w:r>
        <w:r w:rsidR="006511A6" w:rsidRPr="007A7A77">
          <w:rPr>
            <w:color w:val="17365D"/>
            <w:sz w:val="20"/>
          </w:rPr>
          <w:instrText xml:space="preserve"> PAGE   \* MERGEFORMAT </w:instrText>
        </w:r>
        <w:r w:rsidR="006511A6" w:rsidRPr="007A7A77">
          <w:rPr>
            <w:color w:val="17365D"/>
            <w:sz w:val="20"/>
          </w:rPr>
          <w:fldChar w:fldCharType="separate"/>
        </w:r>
        <w:r w:rsidR="00403C07">
          <w:rPr>
            <w:noProof/>
            <w:color w:val="17365D"/>
            <w:sz w:val="20"/>
          </w:rPr>
          <w:t>74</w:t>
        </w:r>
        <w:r w:rsidR="006511A6" w:rsidRPr="007A7A77">
          <w:rPr>
            <w:noProof/>
            <w:color w:val="17365D"/>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1003625"/>
      <w:docPartObj>
        <w:docPartGallery w:val="Page Numbers (Bottom of Page)"/>
        <w:docPartUnique/>
      </w:docPartObj>
    </w:sdtPr>
    <w:sdtEndPr>
      <w:rPr>
        <w:noProof/>
        <w:color w:val="17365D"/>
        <w:sz w:val="20"/>
      </w:rPr>
    </w:sdtEndPr>
    <w:sdtContent>
      <w:p w14:paraId="4CD97C12" w14:textId="7146BAF3" w:rsidR="006511A6" w:rsidRPr="007A7A77" w:rsidRDefault="00F7161A" w:rsidP="000F3D22">
        <w:pPr>
          <w:pStyle w:val="Footer"/>
          <w:ind w:right="139"/>
          <w:jc w:val="right"/>
          <w:rPr>
            <w:color w:val="17365D"/>
            <w:sz w:val="20"/>
          </w:rPr>
        </w:pPr>
        <w:r w:rsidRPr="00BF73C5">
          <w:rPr>
            <w:noProof/>
            <w:lang w:eastAsia="lv-LV"/>
          </w:rPr>
          <mc:AlternateContent>
            <mc:Choice Requires="wps">
              <w:drawing>
                <wp:anchor distT="0" distB="0" distL="114300" distR="114300" simplePos="0" relativeHeight="251674624" behindDoc="0" locked="0" layoutInCell="1" allowOverlap="1" wp14:anchorId="778A5BAB" wp14:editId="29361659">
                  <wp:simplePos x="0" y="0"/>
                  <wp:positionH relativeFrom="column">
                    <wp:posOffset>-152400</wp:posOffset>
                  </wp:positionH>
                  <wp:positionV relativeFrom="paragraph">
                    <wp:posOffset>-58420</wp:posOffset>
                  </wp:positionV>
                  <wp:extent cx="5652770" cy="344805"/>
                  <wp:effectExtent l="0" t="0" r="5080" b="0"/>
                  <wp:wrapNone/>
                  <wp:docPr id="789192093" name="Rounded Rectangle 4"/>
                  <wp:cNvGraphicFramePr/>
                  <a:graphic xmlns:a="http://schemas.openxmlformats.org/drawingml/2006/main">
                    <a:graphicData uri="http://schemas.microsoft.com/office/word/2010/wordprocessingShape">
                      <wps:wsp>
                        <wps:cNvSpPr/>
                        <wps:spPr>
                          <a:xfrm>
                            <a:off x="0" y="0"/>
                            <a:ext cx="5652770" cy="344805"/>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07FAF264" w14:textId="520A2359" w:rsidR="006511A6" w:rsidRDefault="006511A6" w:rsidP="007A7A77">
                              <w:pPr>
                                <w:spacing w:line="240" w:lineRule="auto"/>
                                <w:jc w:val="center"/>
                                <w:rPr>
                                  <w:color w:val="17365D"/>
                                  <w:sz w:val="20"/>
                                  <w:szCs w:val="20"/>
                                </w:rPr>
                              </w:pPr>
                              <w:r>
                                <w:rPr>
                                  <w:color w:val="17365D"/>
                                  <w:sz w:val="20"/>
                                  <w:szCs w:val="20"/>
                                </w:rPr>
                                <w:t>1_07_FMInf_Fpp_1</w:t>
                              </w:r>
                              <w:r w:rsidR="00FC1BF6">
                                <w:rPr>
                                  <w:color w:val="17365D"/>
                                  <w:sz w:val="20"/>
                                  <w:szCs w:val="20"/>
                                </w:rPr>
                                <w:t>6</w:t>
                              </w:r>
                              <w:r>
                                <w:rPr>
                                  <w:color w:val="17365D"/>
                                  <w:sz w:val="20"/>
                                  <w:szCs w:val="20"/>
                                </w:rPr>
                                <w:t>0525; Latvijas Republikas konsolidētais 2024</w:t>
                              </w:r>
                              <w:r w:rsidRPr="00D8601B">
                                <w:rPr>
                                  <w:color w:val="17365D"/>
                                  <w:sz w:val="20"/>
                                  <w:szCs w:val="20"/>
                                </w:rPr>
                                <w:t xml:space="preserve">. </w:t>
                              </w:r>
                              <w:r w:rsidRPr="00D8601B">
                                <w:rPr>
                                  <w:color w:val="17365D"/>
                                  <w:sz w:val="20"/>
                                  <w:szCs w:val="20"/>
                                </w:rPr>
                                <w:t>gada pārskats; 1. sējums</w:t>
                              </w:r>
                              <w:r w:rsidR="00C51FB6">
                                <w:rPr>
                                  <w:color w:val="17365D"/>
                                  <w:sz w:val="20"/>
                                  <w:szCs w:val="20"/>
                                </w:rPr>
                                <w:t xml:space="preserve"> (neauditēts)</w:t>
                              </w:r>
                            </w:p>
                            <w:p w14:paraId="4131AB56" w14:textId="77777777" w:rsidR="006511A6" w:rsidRPr="00D8601B" w:rsidRDefault="006511A6" w:rsidP="007A7A77">
                              <w:pPr>
                                <w:spacing w:line="240" w:lineRule="auto"/>
                                <w:jc w:val="center"/>
                                <w:rPr>
                                  <w:color w:val="17365D"/>
                                  <w:sz w:val="20"/>
                                  <w:szCs w:val="20"/>
                                </w:rPr>
                              </w:pPr>
                            </w:p>
                            <w:p w14:paraId="2986E73F" w14:textId="77777777" w:rsidR="006511A6" w:rsidRPr="004E5A5E" w:rsidRDefault="006511A6" w:rsidP="007A7A77">
                              <w:pPr>
                                <w:jc w:val="center"/>
                                <w:rPr>
                                  <w:color w:val="17365D" w:themeColor="text2" w:themeShade="BF"/>
                                  <w:sz w:val="20"/>
                                  <w:szCs w:val="20"/>
                                </w:rPr>
                              </w:pPr>
                              <w:r w:rsidRPr="000847D9">
                                <w:rPr>
                                  <w:color w:val="17365D" w:themeColor="text2" w:themeShade="BF"/>
                                  <w:sz w:val="20"/>
                                  <w:szCs w:val="20"/>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8A5BAB" id="_x0000_s1029" style="position:absolute;left:0;text-align:left;margin-left:-12pt;margin-top:-4.6pt;width:445.1pt;height:2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" fillcolor="#dbe5f1 [660]" stroked="f" strokeweight="1pt">
                  <v:stroke dashstyle="dash"/>
                  <v:textbox>
                    <w:txbxContent>
                      <w:p w14:paraId="07FAF264" w14:textId="520A2359" w:rsidR="006511A6" w:rsidRDefault="006511A6" w:rsidP="007A7A77">
                        <w:pPr>
                          <w:spacing w:line="240" w:lineRule="auto"/>
                          <w:jc w:val="center"/>
                          <w:rPr>
                            <w:color w:val="17365D"/>
                            <w:sz w:val="20"/>
                            <w:szCs w:val="20"/>
                          </w:rPr>
                        </w:pPr>
                        <w:r>
                          <w:rPr>
                            <w:color w:val="17365D"/>
                            <w:sz w:val="20"/>
                            <w:szCs w:val="20"/>
                          </w:rPr>
                          <w:t>1_07_FMInf_Fpp_1</w:t>
                        </w:r>
                        <w:r w:rsidR="00FC1BF6">
                          <w:rPr>
                            <w:color w:val="17365D"/>
                            <w:sz w:val="20"/>
                            <w:szCs w:val="20"/>
                          </w:rPr>
                          <w:t>6</w:t>
                        </w:r>
                        <w:r>
                          <w:rPr>
                            <w:color w:val="17365D"/>
                            <w:sz w:val="20"/>
                            <w:szCs w:val="20"/>
                          </w:rPr>
                          <w:t>0525; Latvijas Republikas konsolidētais 2024</w:t>
                        </w:r>
                        <w:r w:rsidRPr="00D8601B">
                          <w:rPr>
                            <w:color w:val="17365D"/>
                            <w:sz w:val="20"/>
                            <w:szCs w:val="20"/>
                          </w:rPr>
                          <w:t xml:space="preserve">. </w:t>
                        </w:r>
                        <w:r w:rsidRPr="00D8601B">
                          <w:rPr>
                            <w:color w:val="17365D"/>
                            <w:sz w:val="20"/>
                            <w:szCs w:val="20"/>
                          </w:rPr>
                          <w:t>gada pārskats; 1. sējums</w:t>
                        </w:r>
                        <w:r w:rsidR="00C51FB6">
                          <w:rPr>
                            <w:color w:val="17365D"/>
                            <w:sz w:val="20"/>
                            <w:szCs w:val="20"/>
                          </w:rPr>
                          <w:t xml:space="preserve"> (neauditēts)</w:t>
                        </w:r>
                      </w:p>
                      <w:p w14:paraId="4131AB56" w14:textId="77777777" w:rsidR="006511A6" w:rsidRPr="00D8601B" w:rsidRDefault="006511A6" w:rsidP="007A7A77">
                        <w:pPr>
                          <w:spacing w:line="240" w:lineRule="auto"/>
                          <w:jc w:val="center"/>
                          <w:rPr>
                            <w:color w:val="17365D"/>
                            <w:sz w:val="20"/>
                            <w:szCs w:val="20"/>
                          </w:rPr>
                        </w:pPr>
                      </w:p>
                      <w:p w14:paraId="2986E73F" w14:textId="77777777" w:rsidR="006511A6" w:rsidRPr="004E5A5E" w:rsidRDefault="006511A6" w:rsidP="007A7A77">
                        <w:pPr>
                          <w:jc w:val="center"/>
                          <w:rPr>
                            <w:color w:val="17365D" w:themeColor="text2" w:themeShade="BF"/>
                            <w:sz w:val="20"/>
                            <w:szCs w:val="20"/>
                          </w:rPr>
                        </w:pPr>
                        <w:r w:rsidRPr="000847D9">
                          <w:rPr>
                            <w:color w:val="17365D" w:themeColor="text2" w:themeShade="BF"/>
                            <w:sz w:val="20"/>
                            <w:szCs w:val="20"/>
                          </w:rPr>
                          <w:tab/>
                        </w:r>
                      </w:p>
                    </w:txbxContent>
                  </v:textbox>
                </v:roundrect>
              </w:pict>
            </mc:Fallback>
          </mc:AlternateContent>
        </w:r>
        <w:r w:rsidR="006511A6" w:rsidRPr="00292A3B">
          <w:rPr>
            <w:noProof/>
            <w:color w:val="17365D"/>
            <w:sz w:val="16"/>
            <w:lang w:eastAsia="lv-LV"/>
          </w:rPr>
          <mc:AlternateContent>
            <mc:Choice Requires="wps">
              <w:drawing>
                <wp:anchor distT="0" distB="0" distL="114300" distR="114300" simplePos="0" relativeHeight="251675648" behindDoc="1" locked="0" layoutInCell="1" allowOverlap="1" wp14:anchorId="4E799E39" wp14:editId="2AB7C8D3">
                  <wp:simplePos x="0" y="0"/>
                  <wp:positionH relativeFrom="column">
                    <wp:posOffset>5663870</wp:posOffset>
                  </wp:positionH>
                  <wp:positionV relativeFrom="paragraph">
                    <wp:posOffset>-53340</wp:posOffset>
                  </wp:positionV>
                  <wp:extent cx="456565" cy="279400"/>
                  <wp:effectExtent l="0" t="0" r="635" b="6350"/>
                  <wp:wrapNone/>
                  <wp:docPr id="327995323" name="Rounded Rectangle 1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EC994D" id="Rounded Rectangle 13" o:spid="_x0000_s1026" style="position:absolute;margin-left:445.95pt;margin-top:-4.2pt;width:35.95pt;height:2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" fillcolor="#dbe5f1 [660]" stroked="f" strokeweight="1pt">
                  <v:stroke dashstyle="dash"/>
                </v:roundrect>
              </w:pict>
            </mc:Fallback>
          </mc:AlternateContent>
        </w:r>
        <w:r w:rsidR="006511A6" w:rsidRPr="007A7A77">
          <w:rPr>
            <w:noProof/>
            <w:color w:val="17365D"/>
            <w:sz w:val="12"/>
            <w:lang w:eastAsia="lv-LV"/>
          </w:rPr>
          <mc:AlternateContent>
            <mc:Choice Requires="wps">
              <w:drawing>
                <wp:anchor distT="0" distB="0" distL="114300" distR="114300" simplePos="0" relativeHeight="251673600" behindDoc="1" locked="0" layoutInCell="1" allowOverlap="1" wp14:anchorId="67A01181" wp14:editId="1EBCC845">
                  <wp:simplePos x="0" y="0"/>
                  <wp:positionH relativeFrom="column">
                    <wp:posOffset>9387632</wp:posOffset>
                  </wp:positionH>
                  <wp:positionV relativeFrom="paragraph">
                    <wp:posOffset>3089275</wp:posOffset>
                  </wp:positionV>
                  <wp:extent cx="456565" cy="279400"/>
                  <wp:effectExtent l="0" t="0" r="635" b="6350"/>
                  <wp:wrapNone/>
                  <wp:docPr id="1450583195" name="Rounded Rectangle 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851604" id="Rounded Rectangle 3" o:spid="_x0000_s1026" style="position:absolute;margin-left:739.2pt;margin-top:243.25pt;width:35.95pt;height:2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" fillcolor="#dbe5f1 [660]" stroked="f" strokeweight="1pt">
                  <v:stroke dashstyle="dash"/>
                </v:roundrect>
              </w:pict>
            </mc:Fallback>
          </mc:AlternateContent>
        </w:r>
        <w:r w:rsidR="006511A6" w:rsidRPr="007A7A77">
          <w:rPr>
            <w:color w:val="17365D"/>
            <w:sz w:val="20"/>
          </w:rPr>
          <w:fldChar w:fldCharType="begin"/>
        </w:r>
        <w:r w:rsidR="006511A6" w:rsidRPr="007A7A77">
          <w:rPr>
            <w:color w:val="17365D"/>
            <w:sz w:val="20"/>
          </w:rPr>
          <w:instrText xml:space="preserve"> PAGE   \* MERGEFORMAT </w:instrText>
        </w:r>
        <w:r w:rsidR="006511A6" w:rsidRPr="007A7A77">
          <w:rPr>
            <w:color w:val="17365D"/>
            <w:sz w:val="20"/>
          </w:rPr>
          <w:fldChar w:fldCharType="separate"/>
        </w:r>
        <w:r w:rsidR="00403C07">
          <w:rPr>
            <w:noProof/>
            <w:color w:val="17365D"/>
            <w:sz w:val="20"/>
          </w:rPr>
          <w:t>87</w:t>
        </w:r>
        <w:r w:rsidR="006511A6" w:rsidRPr="007A7A77">
          <w:rPr>
            <w:noProof/>
            <w:color w:val="17365D"/>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25D10" w14:textId="77777777" w:rsidR="00F810A4" w:rsidRPr="009A3D4A" w:rsidRDefault="00F810A4" w:rsidP="00C25339">
      <w:pPr>
        <w:spacing w:after="0"/>
        <w:rPr>
          <w:color w:val="17365D"/>
        </w:rPr>
      </w:pPr>
      <w:r w:rsidRPr="009A3D4A">
        <w:rPr>
          <w:color w:val="17365D"/>
        </w:rPr>
        <w:separator/>
      </w:r>
    </w:p>
  </w:footnote>
  <w:footnote w:type="continuationSeparator" w:id="0">
    <w:p w14:paraId="0F5C8D6C" w14:textId="77777777" w:rsidR="00F810A4" w:rsidRDefault="00F810A4" w:rsidP="00C25339">
      <w:pPr>
        <w:spacing w:after="0"/>
      </w:pPr>
      <w:r>
        <w:continuationSeparator/>
      </w:r>
    </w:p>
  </w:footnote>
  <w:footnote w:type="continuationNotice" w:id="1">
    <w:p w14:paraId="55072603" w14:textId="77777777" w:rsidR="00F810A4" w:rsidRDefault="00F810A4">
      <w:pPr>
        <w:spacing w:after="0" w:line="240" w:lineRule="auto"/>
      </w:pPr>
    </w:p>
  </w:footnote>
  <w:footnote w:id="2">
    <w:p w14:paraId="64F0CB03" w14:textId="77777777" w:rsidR="00F810A4" w:rsidRPr="006068DD" w:rsidRDefault="00F810A4" w:rsidP="007E7321">
      <w:pPr>
        <w:pStyle w:val="FootnoteText"/>
      </w:pPr>
      <w:r w:rsidRPr="006068DD">
        <w:rPr>
          <w:rStyle w:val="FootnoteReference"/>
        </w:rPr>
        <w:footnoteRef/>
      </w:r>
      <w:r w:rsidRPr="006068DD">
        <w:t xml:space="preserve"> Saeima un Valsts kontrole</w:t>
      </w:r>
    </w:p>
  </w:footnote>
  <w:footnote w:id="3">
    <w:p w14:paraId="7C402DD4" w14:textId="7023188B" w:rsidR="00F810A4" w:rsidRPr="006068DD" w:rsidRDefault="00F810A4" w:rsidP="007E7321">
      <w:pPr>
        <w:pStyle w:val="FootnoteText"/>
      </w:pPr>
      <w:r w:rsidRPr="006068DD">
        <w:rPr>
          <w:rStyle w:val="FootnoteReference"/>
        </w:rPr>
        <w:footnoteRef/>
      </w:r>
      <w:r w:rsidRPr="006068DD">
        <w:t xml:space="preserve"> </w:t>
      </w:r>
      <w:r>
        <w:t>Jelgavas</w:t>
      </w:r>
      <w:r w:rsidRPr="002E0893">
        <w:rPr>
          <w:sz w:val="24"/>
          <w:szCs w:val="22"/>
        </w:rPr>
        <w:t xml:space="preserve"> </w:t>
      </w:r>
      <w:r w:rsidRPr="002E0893">
        <w:t xml:space="preserve">valstspilsētas </w:t>
      </w:r>
      <w:r w:rsidRPr="007E7321">
        <w:t>pašvaldība</w:t>
      </w:r>
      <w:r w:rsidR="005972EC">
        <w:t>,</w:t>
      </w:r>
      <w:r>
        <w:t xml:space="preserve"> </w:t>
      </w:r>
      <w:r w:rsidRPr="006068DD">
        <w:t xml:space="preserve">Liepājas </w:t>
      </w:r>
      <w:r>
        <w:t>valsts</w:t>
      </w:r>
      <w:r w:rsidRPr="006068DD">
        <w:t>pilsētas pašvaldība</w:t>
      </w:r>
      <w:r>
        <w:t>, Ropažu novada pašvaldība</w:t>
      </w:r>
      <w:r w:rsidR="00BE46A6">
        <w:t>,</w:t>
      </w:r>
      <w:r>
        <w:t xml:space="preserve"> Talsu novada pašvaldība, Līvānu novada pašvaldība, Ogres</w:t>
      </w:r>
      <w:r w:rsidRPr="006068DD">
        <w:t xml:space="preserve"> novada pašvaldība</w:t>
      </w:r>
      <w:r>
        <w:t xml:space="preserve"> un Rēzeknes </w:t>
      </w:r>
      <w:r w:rsidR="00075F99">
        <w:t>valstspilsētas</w:t>
      </w:r>
      <w:r>
        <w:t xml:space="preserve"> pašvaldība</w:t>
      </w:r>
    </w:p>
  </w:footnote>
  <w:footnote w:id="4">
    <w:p w14:paraId="2D37961C" w14:textId="6B969392" w:rsidR="00F810A4" w:rsidRDefault="00F810A4" w:rsidP="00695490">
      <w:pPr>
        <w:pStyle w:val="FootnoteText"/>
      </w:pPr>
      <w:r>
        <w:rPr>
          <w:rStyle w:val="FootnoteReference"/>
        </w:rPr>
        <w:footnoteRef/>
      </w:r>
      <w:r>
        <w:t xml:space="preserve"> </w:t>
      </w:r>
      <w:r w:rsidRPr="00DC41A7">
        <w:t>Balvu novada pašvaldība, Jūrmalas valstspilsētas pašvaldība, Preiļu novada pašvaldība, Tukuma novada pašvaldība, Valkas novada pašvaldība</w:t>
      </w:r>
      <w:r w:rsidR="00BE46A6">
        <w:t>,</w:t>
      </w:r>
      <w:r w:rsidRPr="00DC41A7">
        <w:t xml:space="preserve"> Valmieras novada pašvaldība, Līvānu novada pašvaldība, Ogres novada pašvaldība un Rēzeknes </w:t>
      </w:r>
      <w:r w:rsidR="00075F99">
        <w:t>valstspilsētas</w:t>
      </w:r>
      <w:r w:rsidRPr="00DC41A7">
        <w:t xml:space="preserve"> pašvaldība</w:t>
      </w:r>
    </w:p>
  </w:footnote>
  <w:footnote w:id="5">
    <w:p w14:paraId="12E3977E" w14:textId="4E436AE9" w:rsidR="00F810A4" w:rsidRPr="00DB0E31" w:rsidRDefault="00F810A4" w:rsidP="007E7321">
      <w:pPr>
        <w:pStyle w:val="FootnoteText"/>
      </w:pPr>
      <w:r>
        <w:rPr>
          <w:rStyle w:val="FootnoteReference"/>
        </w:rPr>
        <w:footnoteRef/>
      </w:r>
      <w:r>
        <w:t xml:space="preserve"> </w:t>
      </w:r>
      <w:r w:rsidRPr="000355A9">
        <w:t xml:space="preserve">VK stratēģija publicēta: </w:t>
      </w:r>
      <w:hyperlink r:id="rId1" w:history="1">
        <w:r w:rsidRPr="00140D89">
          <w:rPr>
            <w:rStyle w:val="Hyperlink"/>
          </w:rPr>
          <w:t>https://www.kase.gov.lv/sites/default/files/public/PVNLVS_2024.pdf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9C328" w14:textId="319E2425" w:rsidR="00F810A4" w:rsidRPr="007A7A77" w:rsidRDefault="00F810A4" w:rsidP="007A7A77">
    <w:pPr>
      <w:pStyle w:val="Header"/>
      <w:jc w:val="center"/>
      <w:rPr>
        <w:caps/>
        <w:color w:val="17365D"/>
        <w:sz w:val="20"/>
        <w:szCs w:val="20"/>
      </w:rPr>
    </w:pPr>
    <w:r>
      <w:rPr>
        <w:caps/>
        <w:color w:val="17365D"/>
        <w:sz w:val="20"/>
        <w:szCs w:val="20"/>
      </w:rPr>
      <w:t>finanšu pārskata pielikums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5E6F"/>
    <w:multiLevelType w:val="hybridMultilevel"/>
    <w:tmpl w:val="28BACBB2"/>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 w15:restartNumberingAfterBreak="0">
    <w:nsid w:val="01107E56"/>
    <w:multiLevelType w:val="hybridMultilevel"/>
    <w:tmpl w:val="68B0B4E2"/>
    <w:lvl w:ilvl="0" w:tplc="04260001">
      <w:start w:val="1"/>
      <w:numFmt w:val="bullet"/>
      <w:lvlText w:val=""/>
      <w:lvlJc w:val="left"/>
      <w:pPr>
        <w:ind w:left="1020" w:hanging="360"/>
      </w:pPr>
      <w:rPr>
        <w:rFonts w:ascii="Symbol" w:hAnsi="Symbol" w:hint="default"/>
      </w:rPr>
    </w:lvl>
    <w:lvl w:ilvl="1" w:tplc="04260003" w:tentative="1">
      <w:start w:val="1"/>
      <w:numFmt w:val="bullet"/>
      <w:lvlText w:val="o"/>
      <w:lvlJc w:val="left"/>
      <w:pPr>
        <w:ind w:left="1740" w:hanging="360"/>
      </w:pPr>
      <w:rPr>
        <w:rFonts w:ascii="Courier New" w:hAnsi="Courier New" w:cs="Courier New" w:hint="default"/>
      </w:rPr>
    </w:lvl>
    <w:lvl w:ilvl="2" w:tplc="04260005" w:tentative="1">
      <w:start w:val="1"/>
      <w:numFmt w:val="bullet"/>
      <w:lvlText w:val=""/>
      <w:lvlJc w:val="left"/>
      <w:pPr>
        <w:ind w:left="2460" w:hanging="360"/>
      </w:pPr>
      <w:rPr>
        <w:rFonts w:ascii="Wingdings" w:hAnsi="Wingdings" w:hint="default"/>
      </w:rPr>
    </w:lvl>
    <w:lvl w:ilvl="3" w:tplc="04260001" w:tentative="1">
      <w:start w:val="1"/>
      <w:numFmt w:val="bullet"/>
      <w:lvlText w:val=""/>
      <w:lvlJc w:val="left"/>
      <w:pPr>
        <w:ind w:left="3180" w:hanging="360"/>
      </w:pPr>
      <w:rPr>
        <w:rFonts w:ascii="Symbol" w:hAnsi="Symbol" w:hint="default"/>
      </w:rPr>
    </w:lvl>
    <w:lvl w:ilvl="4" w:tplc="04260003" w:tentative="1">
      <w:start w:val="1"/>
      <w:numFmt w:val="bullet"/>
      <w:lvlText w:val="o"/>
      <w:lvlJc w:val="left"/>
      <w:pPr>
        <w:ind w:left="3900" w:hanging="360"/>
      </w:pPr>
      <w:rPr>
        <w:rFonts w:ascii="Courier New" w:hAnsi="Courier New" w:cs="Courier New" w:hint="default"/>
      </w:rPr>
    </w:lvl>
    <w:lvl w:ilvl="5" w:tplc="04260005" w:tentative="1">
      <w:start w:val="1"/>
      <w:numFmt w:val="bullet"/>
      <w:lvlText w:val=""/>
      <w:lvlJc w:val="left"/>
      <w:pPr>
        <w:ind w:left="4620" w:hanging="360"/>
      </w:pPr>
      <w:rPr>
        <w:rFonts w:ascii="Wingdings" w:hAnsi="Wingdings" w:hint="default"/>
      </w:rPr>
    </w:lvl>
    <w:lvl w:ilvl="6" w:tplc="04260001" w:tentative="1">
      <w:start w:val="1"/>
      <w:numFmt w:val="bullet"/>
      <w:lvlText w:val=""/>
      <w:lvlJc w:val="left"/>
      <w:pPr>
        <w:ind w:left="5340" w:hanging="360"/>
      </w:pPr>
      <w:rPr>
        <w:rFonts w:ascii="Symbol" w:hAnsi="Symbol" w:hint="default"/>
      </w:rPr>
    </w:lvl>
    <w:lvl w:ilvl="7" w:tplc="04260003" w:tentative="1">
      <w:start w:val="1"/>
      <w:numFmt w:val="bullet"/>
      <w:lvlText w:val="o"/>
      <w:lvlJc w:val="left"/>
      <w:pPr>
        <w:ind w:left="6060" w:hanging="360"/>
      </w:pPr>
      <w:rPr>
        <w:rFonts w:ascii="Courier New" w:hAnsi="Courier New" w:cs="Courier New" w:hint="default"/>
      </w:rPr>
    </w:lvl>
    <w:lvl w:ilvl="8" w:tplc="04260005" w:tentative="1">
      <w:start w:val="1"/>
      <w:numFmt w:val="bullet"/>
      <w:lvlText w:val=""/>
      <w:lvlJc w:val="left"/>
      <w:pPr>
        <w:ind w:left="6780" w:hanging="360"/>
      </w:pPr>
      <w:rPr>
        <w:rFonts w:ascii="Wingdings" w:hAnsi="Wingdings" w:hint="default"/>
      </w:rPr>
    </w:lvl>
  </w:abstractNum>
  <w:abstractNum w:abstractNumId="2" w15:restartNumberingAfterBreak="0">
    <w:nsid w:val="04072E52"/>
    <w:multiLevelType w:val="hybridMultilevel"/>
    <w:tmpl w:val="6F8855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53E3A78"/>
    <w:multiLevelType w:val="hybridMultilevel"/>
    <w:tmpl w:val="AB2E7EBA"/>
    <w:lvl w:ilvl="0" w:tplc="04260001">
      <w:start w:val="1"/>
      <w:numFmt w:val="bullet"/>
      <w:lvlText w:val=""/>
      <w:lvlJc w:val="left"/>
      <w:pPr>
        <w:ind w:left="1344" w:hanging="360"/>
      </w:pPr>
      <w:rPr>
        <w:rFonts w:ascii="Symbol" w:hAnsi="Symbol" w:hint="default"/>
      </w:rPr>
    </w:lvl>
    <w:lvl w:ilvl="1" w:tplc="04260003" w:tentative="1">
      <w:start w:val="1"/>
      <w:numFmt w:val="bullet"/>
      <w:lvlText w:val="o"/>
      <w:lvlJc w:val="left"/>
      <w:pPr>
        <w:ind w:left="2064" w:hanging="360"/>
      </w:pPr>
      <w:rPr>
        <w:rFonts w:ascii="Courier New" w:hAnsi="Courier New" w:cs="Courier New" w:hint="default"/>
      </w:rPr>
    </w:lvl>
    <w:lvl w:ilvl="2" w:tplc="04260005" w:tentative="1">
      <w:start w:val="1"/>
      <w:numFmt w:val="bullet"/>
      <w:lvlText w:val=""/>
      <w:lvlJc w:val="left"/>
      <w:pPr>
        <w:ind w:left="2784" w:hanging="360"/>
      </w:pPr>
      <w:rPr>
        <w:rFonts w:ascii="Wingdings" w:hAnsi="Wingdings" w:hint="default"/>
      </w:rPr>
    </w:lvl>
    <w:lvl w:ilvl="3" w:tplc="04260001" w:tentative="1">
      <w:start w:val="1"/>
      <w:numFmt w:val="bullet"/>
      <w:lvlText w:val=""/>
      <w:lvlJc w:val="left"/>
      <w:pPr>
        <w:ind w:left="3504" w:hanging="360"/>
      </w:pPr>
      <w:rPr>
        <w:rFonts w:ascii="Symbol" w:hAnsi="Symbol" w:hint="default"/>
      </w:rPr>
    </w:lvl>
    <w:lvl w:ilvl="4" w:tplc="04260003" w:tentative="1">
      <w:start w:val="1"/>
      <w:numFmt w:val="bullet"/>
      <w:lvlText w:val="o"/>
      <w:lvlJc w:val="left"/>
      <w:pPr>
        <w:ind w:left="4224" w:hanging="360"/>
      </w:pPr>
      <w:rPr>
        <w:rFonts w:ascii="Courier New" w:hAnsi="Courier New" w:cs="Courier New" w:hint="default"/>
      </w:rPr>
    </w:lvl>
    <w:lvl w:ilvl="5" w:tplc="04260005" w:tentative="1">
      <w:start w:val="1"/>
      <w:numFmt w:val="bullet"/>
      <w:lvlText w:val=""/>
      <w:lvlJc w:val="left"/>
      <w:pPr>
        <w:ind w:left="4944" w:hanging="360"/>
      </w:pPr>
      <w:rPr>
        <w:rFonts w:ascii="Wingdings" w:hAnsi="Wingdings" w:hint="default"/>
      </w:rPr>
    </w:lvl>
    <w:lvl w:ilvl="6" w:tplc="04260001" w:tentative="1">
      <w:start w:val="1"/>
      <w:numFmt w:val="bullet"/>
      <w:lvlText w:val=""/>
      <w:lvlJc w:val="left"/>
      <w:pPr>
        <w:ind w:left="5664" w:hanging="360"/>
      </w:pPr>
      <w:rPr>
        <w:rFonts w:ascii="Symbol" w:hAnsi="Symbol" w:hint="default"/>
      </w:rPr>
    </w:lvl>
    <w:lvl w:ilvl="7" w:tplc="04260003" w:tentative="1">
      <w:start w:val="1"/>
      <w:numFmt w:val="bullet"/>
      <w:lvlText w:val="o"/>
      <w:lvlJc w:val="left"/>
      <w:pPr>
        <w:ind w:left="6384" w:hanging="360"/>
      </w:pPr>
      <w:rPr>
        <w:rFonts w:ascii="Courier New" w:hAnsi="Courier New" w:cs="Courier New" w:hint="default"/>
      </w:rPr>
    </w:lvl>
    <w:lvl w:ilvl="8" w:tplc="04260005" w:tentative="1">
      <w:start w:val="1"/>
      <w:numFmt w:val="bullet"/>
      <w:lvlText w:val=""/>
      <w:lvlJc w:val="left"/>
      <w:pPr>
        <w:ind w:left="7104" w:hanging="360"/>
      </w:pPr>
      <w:rPr>
        <w:rFonts w:ascii="Wingdings" w:hAnsi="Wingdings" w:hint="default"/>
      </w:rPr>
    </w:lvl>
  </w:abstractNum>
  <w:abstractNum w:abstractNumId="4" w15:restartNumberingAfterBreak="0">
    <w:nsid w:val="060E64CE"/>
    <w:multiLevelType w:val="hybridMultilevel"/>
    <w:tmpl w:val="B0B6BC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76F5CF6"/>
    <w:multiLevelType w:val="hybridMultilevel"/>
    <w:tmpl w:val="255466C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6" w15:restartNumberingAfterBreak="0">
    <w:nsid w:val="07F56E19"/>
    <w:multiLevelType w:val="hybridMultilevel"/>
    <w:tmpl w:val="258CC612"/>
    <w:lvl w:ilvl="0" w:tplc="FFFFFFFF">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8AC5EA3"/>
    <w:multiLevelType w:val="multilevel"/>
    <w:tmpl w:val="B64277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4."/>
      <w:lvlJc w:val="left"/>
      <w:pPr>
        <w:tabs>
          <w:tab w:val="num" w:pos="864"/>
        </w:tabs>
        <w:ind w:left="864" w:hanging="864"/>
      </w:pPr>
    </w:lvl>
    <w:lvl w:ilvl="4">
      <w:start w:val="1"/>
      <w:numFmt w:val="decimal"/>
      <w:lvlText w:val="%1.%2.%5."/>
      <w:lvlJc w:val="left"/>
      <w:pPr>
        <w:tabs>
          <w:tab w:val="num" w:pos="1008"/>
        </w:tabs>
        <w:ind w:left="1008" w:hanging="1008"/>
      </w:pPr>
    </w:lvl>
    <w:lvl w:ilvl="5">
      <w:start w:val="1"/>
      <w:numFmt w:val="decimal"/>
      <w:pStyle w:val="BodyText3"/>
      <w:lvlText w:val="%1.%2.%3.%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D477CDC"/>
    <w:multiLevelType w:val="hybridMultilevel"/>
    <w:tmpl w:val="ACD4AC16"/>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9" w15:restartNumberingAfterBreak="0">
    <w:nsid w:val="0D4E16BF"/>
    <w:multiLevelType w:val="hybridMultilevel"/>
    <w:tmpl w:val="93B891D4"/>
    <w:lvl w:ilvl="0" w:tplc="04260001">
      <w:start w:val="1"/>
      <w:numFmt w:val="bullet"/>
      <w:lvlText w:val=""/>
      <w:lvlJc w:val="left"/>
      <w:pPr>
        <w:ind w:left="1146"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10" w15:restartNumberingAfterBreak="0">
    <w:nsid w:val="0DA522C6"/>
    <w:multiLevelType w:val="hybridMultilevel"/>
    <w:tmpl w:val="5DFAB44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1" w15:restartNumberingAfterBreak="0">
    <w:nsid w:val="0E534711"/>
    <w:multiLevelType w:val="hybridMultilevel"/>
    <w:tmpl w:val="25B292DE"/>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2" w15:restartNumberingAfterBreak="0">
    <w:nsid w:val="0EC67138"/>
    <w:multiLevelType w:val="hybridMultilevel"/>
    <w:tmpl w:val="A7D07732"/>
    <w:lvl w:ilvl="0" w:tplc="04260001">
      <w:start w:val="1"/>
      <w:numFmt w:val="bullet"/>
      <w:lvlText w:val=""/>
      <w:lvlJc w:val="left"/>
      <w:pPr>
        <w:ind w:left="1724" w:hanging="360"/>
      </w:pPr>
      <w:rPr>
        <w:rFonts w:ascii="Symbol" w:hAnsi="Symbol" w:hint="default"/>
      </w:rPr>
    </w:lvl>
    <w:lvl w:ilvl="1" w:tplc="04260003" w:tentative="1">
      <w:start w:val="1"/>
      <w:numFmt w:val="bullet"/>
      <w:lvlText w:val="o"/>
      <w:lvlJc w:val="left"/>
      <w:pPr>
        <w:ind w:left="2444" w:hanging="360"/>
      </w:pPr>
      <w:rPr>
        <w:rFonts w:ascii="Courier New" w:hAnsi="Courier New" w:cs="Courier New" w:hint="default"/>
      </w:rPr>
    </w:lvl>
    <w:lvl w:ilvl="2" w:tplc="04260005" w:tentative="1">
      <w:start w:val="1"/>
      <w:numFmt w:val="bullet"/>
      <w:lvlText w:val=""/>
      <w:lvlJc w:val="left"/>
      <w:pPr>
        <w:ind w:left="3164" w:hanging="360"/>
      </w:pPr>
      <w:rPr>
        <w:rFonts w:ascii="Wingdings" w:hAnsi="Wingdings" w:hint="default"/>
      </w:rPr>
    </w:lvl>
    <w:lvl w:ilvl="3" w:tplc="04260001" w:tentative="1">
      <w:start w:val="1"/>
      <w:numFmt w:val="bullet"/>
      <w:lvlText w:val=""/>
      <w:lvlJc w:val="left"/>
      <w:pPr>
        <w:ind w:left="3884" w:hanging="360"/>
      </w:pPr>
      <w:rPr>
        <w:rFonts w:ascii="Symbol" w:hAnsi="Symbol" w:hint="default"/>
      </w:rPr>
    </w:lvl>
    <w:lvl w:ilvl="4" w:tplc="04260003" w:tentative="1">
      <w:start w:val="1"/>
      <w:numFmt w:val="bullet"/>
      <w:lvlText w:val="o"/>
      <w:lvlJc w:val="left"/>
      <w:pPr>
        <w:ind w:left="4604" w:hanging="360"/>
      </w:pPr>
      <w:rPr>
        <w:rFonts w:ascii="Courier New" w:hAnsi="Courier New" w:cs="Courier New" w:hint="default"/>
      </w:rPr>
    </w:lvl>
    <w:lvl w:ilvl="5" w:tplc="04260005" w:tentative="1">
      <w:start w:val="1"/>
      <w:numFmt w:val="bullet"/>
      <w:lvlText w:val=""/>
      <w:lvlJc w:val="left"/>
      <w:pPr>
        <w:ind w:left="5324" w:hanging="360"/>
      </w:pPr>
      <w:rPr>
        <w:rFonts w:ascii="Wingdings" w:hAnsi="Wingdings" w:hint="default"/>
      </w:rPr>
    </w:lvl>
    <w:lvl w:ilvl="6" w:tplc="04260001" w:tentative="1">
      <w:start w:val="1"/>
      <w:numFmt w:val="bullet"/>
      <w:lvlText w:val=""/>
      <w:lvlJc w:val="left"/>
      <w:pPr>
        <w:ind w:left="6044" w:hanging="360"/>
      </w:pPr>
      <w:rPr>
        <w:rFonts w:ascii="Symbol" w:hAnsi="Symbol" w:hint="default"/>
      </w:rPr>
    </w:lvl>
    <w:lvl w:ilvl="7" w:tplc="04260003" w:tentative="1">
      <w:start w:val="1"/>
      <w:numFmt w:val="bullet"/>
      <w:lvlText w:val="o"/>
      <w:lvlJc w:val="left"/>
      <w:pPr>
        <w:ind w:left="6764" w:hanging="360"/>
      </w:pPr>
      <w:rPr>
        <w:rFonts w:ascii="Courier New" w:hAnsi="Courier New" w:cs="Courier New" w:hint="default"/>
      </w:rPr>
    </w:lvl>
    <w:lvl w:ilvl="8" w:tplc="04260005" w:tentative="1">
      <w:start w:val="1"/>
      <w:numFmt w:val="bullet"/>
      <w:lvlText w:val=""/>
      <w:lvlJc w:val="left"/>
      <w:pPr>
        <w:ind w:left="7484" w:hanging="360"/>
      </w:pPr>
      <w:rPr>
        <w:rFonts w:ascii="Wingdings" w:hAnsi="Wingdings" w:hint="default"/>
      </w:rPr>
    </w:lvl>
  </w:abstractNum>
  <w:abstractNum w:abstractNumId="13" w15:restartNumberingAfterBreak="0">
    <w:nsid w:val="148D0C24"/>
    <w:multiLevelType w:val="hybridMultilevel"/>
    <w:tmpl w:val="BEA411F4"/>
    <w:lvl w:ilvl="0" w:tplc="04260001">
      <w:start w:val="1"/>
      <w:numFmt w:val="bullet"/>
      <w:lvlText w:val=""/>
      <w:lvlJc w:val="left"/>
      <w:pPr>
        <w:ind w:left="1287" w:hanging="360"/>
      </w:pPr>
      <w:rPr>
        <w:rFonts w:ascii="Symbol" w:hAnsi="Symbol" w:hint="default"/>
      </w:rPr>
    </w:lvl>
    <w:lvl w:ilvl="1" w:tplc="4216BDD8">
      <w:start w:val="1"/>
      <w:numFmt w:val="bullet"/>
      <w:pStyle w:val="Bullets2"/>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4" w15:restartNumberingAfterBreak="0">
    <w:nsid w:val="1CF937A8"/>
    <w:multiLevelType w:val="hybridMultilevel"/>
    <w:tmpl w:val="DEE6C0F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5" w15:restartNumberingAfterBreak="0">
    <w:nsid w:val="238F6601"/>
    <w:multiLevelType w:val="hybridMultilevel"/>
    <w:tmpl w:val="214001A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6" w15:restartNumberingAfterBreak="0">
    <w:nsid w:val="26E85DE8"/>
    <w:multiLevelType w:val="hybridMultilevel"/>
    <w:tmpl w:val="3410A588"/>
    <w:lvl w:ilvl="0" w:tplc="04260001">
      <w:start w:val="1"/>
      <w:numFmt w:val="bullet"/>
      <w:lvlText w:val=""/>
      <w:lvlJc w:val="left"/>
      <w:pPr>
        <w:ind w:left="108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7"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BC01D20"/>
    <w:multiLevelType w:val="hybridMultilevel"/>
    <w:tmpl w:val="2BDACAB6"/>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9" w15:restartNumberingAfterBreak="0">
    <w:nsid w:val="2BC02EAD"/>
    <w:multiLevelType w:val="hybridMultilevel"/>
    <w:tmpl w:val="2E409536"/>
    <w:lvl w:ilvl="0" w:tplc="BBFE7870">
      <w:start w:val="1"/>
      <w:numFmt w:val="bullet"/>
      <w:lvlText w:val=""/>
      <w:lvlJc w:val="left"/>
      <w:pPr>
        <w:ind w:left="1287" w:hanging="360"/>
      </w:pPr>
      <w:rPr>
        <w:rFonts w:ascii="Symbol" w:hAnsi="Symbol" w:hint="default"/>
        <w:color w:val="17365D"/>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0" w15:restartNumberingAfterBreak="0">
    <w:nsid w:val="2D5958D4"/>
    <w:multiLevelType w:val="hybridMultilevel"/>
    <w:tmpl w:val="125E09D4"/>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2F7B4672"/>
    <w:multiLevelType w:val="hybridMultilevel"/>
    <w:tmpl w:val="AB68263A"/>
    <w:lvl w:ilvl="0" w:tplc="F45E3F54">
      <w:start w:val="1"/>
      <w:numFmt w:val="bullet"/>
      <w:pStyle w:val="Bullets"/>
      <w:lvlText w:val=""/>
      <w:lvlJc w:val="left"/>
      <w:pPr>
        <w:ind w:left="360" w:hanging="360"/>
      </w:pPr>
      <w:rPr>
        <w:rFonts w:ascii="Symbol" w:hAnsi="Symbol" w:hint="default"/>
      </w:rPr>
    </w:lvl>
    <w:lvl w:ilvl="1" w:tplc="04260003" w:tentative="1">
      <w:start w:val="1"/>
      <w:numFmt w:val="bullet"/>
      <w:lvlText w:val="o"/>
      <w:lvlJc w:val="left"/>
      <w:pPr>
        <w:ind w:left="2727" w:hanging="360"/>
      </w:pPr>
      <w:rPr>
        <w:rFonts w:ascii="Courier New" w:hAnsi="Courier New" w:cs="Courier New" w:hint="default"/>
      </w:rPr>
    </w:lvl>
    <w:lvl w:ilvl="2" w:tplc="04260005" w:tentative="1">
      <w:start w:val="1"/>
      <w:numFmt w:val="bullet"/>
      <w:lvlText w:val=""/>
      <w:lvlJc w:val="left"/>
      <w:pPr>
        <w:ind w:left="3447" w:hanging="360"/>
      </w:pPr>
      <w:rPr>
        <w:rFonts w:ascii="Wingdings" w:hAnsi="Wingdings" w:hint="default"/>
      </w:rPr>
    </w:lvl>
    <w:lvl w:ilvl="3" w:tplc="04260001" w:tentative="1">
      <w:start w:val="1"/>
      <w:numFmt w:val="bullet"/>
      <w:lvlText w:val=""/>
      <w:lvlJc w:val="left"/>
      <w:pPr>
        <w:ind w:left="4167" w:hanging="360"/>
      </w:pPr>
      <w:rPr>
        <w:rFonts w:ascii="Symbol" w:hAnsi="Symbol" w:hint="default"/>
      </w:rPr>
    </w:lvl>
    <w:lvl w:ilvl="4" w:tplc="04260003" w:tentative="1">
      <w:start w:val="1"/>
      <w:numFmt w:val="bullet"/>
      <w:lvlText w:val="o"/>
      <w:lvlJc w:val="left"/>
      <w:pPr>
        <w:ind w:left="4887" w:hanging="360"/>
      </w:pPr>
      <w:rPr>
        <w:rFonts w:ascii="Courier New" w:hAnsi="Courier New" w:cs="Courier New" w:hint="default"/>
      </w:rPr>
    </w:lvl>
    <w:lvl w:ilvl="5" w:tplc="04260005" w:tentative="1">
      <w:start w:val="1"/>
      <w:numFmt w:val="bullet"/>
      <w:lvlText w:val=""/>
      <w:lvlJc w:val="left"/>
      <w:pPr>
        <w:ind w:left="5607" w:hanging="360"/>
      </w:pPr>
      <w:rPr>
        <w:rFonts w:ascii="Wingdings" w:hAnsi="Wingdings" w:hint="default"/>
      </w:rPr>
    </w:lvl>
    <w:lvl w:ilvl="6" w:tplc="04260001" w:tentative="1">
      <w:start w:val="1"/>
      <w:numFmt w:val="bullet"/>
      <w:lvlText w:val=""/>
      <w:lvlJc w:val="left"/>
      <w:pPr>
        <w:ind w:left="6327" w:hanging="360"/>
      </w:pPr>
      <w:rPr>
        <w:rFonts w:ascii="Symbol" w:hAnsi="Symbol" w:hint="default"/>
      </w:rPr>
    </w:lvl>
    <w:lvl w:ilvl="7" w:tplc="04260003" w:tentative="1">
      <w:start w:val="1"/>
      <w:numFmt w:val="bullet"/>
      <w:lvlText w:val="o"/>
      <w:lvlJc w:val="left"/>
      <w:pPr>
        <w:ind w:left="7047" w:hanging="360"/>
      </w:pPr>
      <w:rPr>
        <w:rFonts w:ascii="Courier New" w:hAnsi="Courier New" w:cs="Courier New" w:hint="default"/>
      </w:rPr>
    </w:lvl>
    <w:lvl w:ilvl="8" w:tplc="04260005" w:tentative="1">
      <w:start w:val="1"/>
      <w:numFmt w:val="bullet"/>
      <w:lvlText w:val=""/>
      <w:lvlJc w:val="left"/>
      <w:pPr>
        <w:ind w:left="7767" w:hanging="360"/>
      </w:pPr>
      <w:rPr>
        <w:rFonts w:ascii="Wingdings" w:hAnsi="Wingdings" w:hint="default"/>
      </w:rPr>
    </w:lvl>
  </w:abstractNum>
  <w:abstractNum w:abstractNumId="22"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23" w15:restartNumberingAfterBreak="0">
    <w:nsid w:val="34E617B7"/>
    <w:multiLevelType w:val="multilevel"/>
    <w:tmpl w:val="7A28ED92"/>
    <w:lvl w:ilvl="0">
      <w:start w:val="1"/>
      <w:numFmt w:val="decimal"/>
      <w:pStyle w:val="Lielievirsraksti"/>
      <w:lvlText w:val="%1."/>
      <w:lvlJc w:val="left"/>
      <w:pPr>
        <w:tabs>
          <w:tab w:val="num" w:pos="360"/>
        </w:tabs>
        <w:ind w:left="360" w:hanging="360"/>
      </w:pPr>
      <w:rPr>
        <w:rFonts w:hint="default"/>
      </w:rPr>
    </w:lvl>
    <w:lvl w:ilvl="1">
      <w:start w:val="1"/>
      <w:numFmt w:val="decimal"/>
      <w:pStyle w:val="Apakvirsraksti"/>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66C0B5F"/>
    <w:multiLevelType w:val="hybridMultilevel"/>
    <w:tmpl w:val="F4E0B6F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5" w15:restartNumberingAfterBreak="0">
    <w:nsid w:val="36E11F21"/>
    <w:multiLevelType w:val="hybridMultilevel"/>
    <w:tmpl w:val="750A8A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38A37D17"/>
    <w:multiLevelType w:val="hybridMultilevel"/>
    <w:tmpl w:val="46E64910"/>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7" w15:restartNumberingAfterBreak="0">
    <w:nsid w:val="3E3F42AD"/>
    <w:multiLevelType w:val="hybridMultilevel"/>
    <w:tmpl w:val="5B4A7AC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3FEC0AF6"/>
    <w:multiLevelType w:val="hybridMultilevel"/>
    <w:tmpl w:val="819EF3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41E8338F"/>
    <w:multiLevelType w:val="hybridMultilevel"/>
    <w:tmpl w:val="A2F88390"/>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0"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A2478B4"/>
    <w:multiLevelType w:val="hybridMultilevel"/>
    <w:tmpl w:val="C65C3082"/>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2" w15:restartNumberingAfterBreak="0">
    <w:nsid w:val="4B996344"/>
    <w:multiLevelType w:val="hybridMultilevel"/>
    <w:tmpl w:val="E5DAA27E"/>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3" w15:restartNumberingAfterBreak="0">
    <w:nsid w:val="4BC1684E"/>
    <w:multiLevelType w:val="hybridMultilevel"/>
    <w:tmpl w:val="999455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4C2E43EE"/>
    <w:multiLevelType w:val="hybridMultilevel"/>
    <w:tmpl w:val="9D9CD4B8"/>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5" w15:restartNumberingAfterBreak="0">
    <w:nsid w:val="4EB66993"/>
    <w:multiLevelType w:val="hybridMultilevel"/>
    <w:tmpl w:val="02AA87C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6" w15:restartNumberingAfterBreak="0">
    <w:nsid w:val="51487C54"/>
    <w:multiLevelType w:val="hybridMultilevel"/>
    <w:tmpl w:val="5DA03D54"/>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7" w15:restartNumberingAfterBreak="0">
    <w:nsid w:val="539013FD"/>
    <w:multiLevelType w:val="hybridMultilevel"/>
    <w:tmpl w:val="14F2F2CA"/>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8" w15:restartNumberingAfterBreak="0">
    <w:nsid w:val="53E830FE"/>
    <w:multiLevelType w:val="hybridMultilevel"/>
    <w:tmpl w:val="906E4EA6"/>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9" w15:restartNumberingAfterBreak="0">
    <w:nsid w:val="53E96553"/>
    <w:multiLevelType w:val="hybridMultilevel"/>
    <w:tmpl w:val="B8808C86"/>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40" w15:restartNumberingAfterBreak="0">
    <w:nsid w:val="5593434A"/>
    <w:multiLevelType w:val="hybridMultilevel"/>
    <w:tmpl w:val="412CB498"/>
    <w:lvl w:ilvl="0" w:tplc="04260003">
      <w:start w:val="1"/>
      <w:numFmt w:val="bullet"/>
      <w:lvlText w:val="o"/>
      <w:lvlJc w:val="left"/>
      <w:pPr>
        <w:ind w:left="1004" w:hanging="360"/>
      </w:pPr>
      <w:rPr>
        <w:rFonts w:ascii="Courier New" w:hAnsi="Courier New" w:cs="Courier New"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41" w15:restartNumberingAfterBreak="0">
    <w:nsid w:val="56C92EAB"/>
    <w:multiLevelType w:val="hybridMultilevel"/>
    <w:tmpl w:val="28826CF2"/>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42"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43" w15:restartNumberingAfterBreak="0">
    <w:nsid w:val="581603C5"/>
    <w:multiLevelType w:val="hybridMultilevel"/>
    <w:tmpl w:val="B8A403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5CF270D4"/>
    <w:multiLevelType w:val="hybridMultilevel"/>
    <w:tmpl w:val="5E488AB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5" w15:restartNumberingAfterBreak="0">
    <w:nsid w:val="5F7B492C"/>
    <w:multiLevelType w:val="hybridMultilevel"/>
    <w:tmpl w:val="C76624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664F395E"/>
    <w:multiLevelType w:val="hybridMultilevel"/>
    <w:tmpl w:val="22301800"/>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47" w15:restartNumberingAfterBreak="0">
    <w:nsid w:val="672D6455"/>
    <w:multiLevelType w:val="hybridMultilevel"/>
    <w:tmpl w:val="DCEC04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68537F97"/>
    <w:multiLevelType w:val="hybridMultilevel"/>
    <w:tmpl w:val="333CE03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697748A8"/>
    <w:multiLevelType w:val="hybridMultilevel"/>
    <w:tmpl w:val="A0DEDCC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0" w15:restartNumberingAfterBreak="0">
    <w:nsid w:val="6BF44BCB"/>
    <w:multiLevelType w:val="hybridMultilevel"/>
    <w:tmpl w:val="FE0EE998"/>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51" w15:restartNumberingAfterBreak="0">
    <w:nsid w:val="6EEA5D15"/>
    <w:multiLevelType w:val="hybridMultilevel"/>
    <w:tmpl w:val="82CA24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2" w15:restartNumberingAfterBreak="0">
    <w:nsid w:val="70E0196F"/>
    <w:multiLevelType w:val="hybridMultilevel"/>
    <w:tmpl w:val="CBF629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3" w15:restartNumberingAfterBreak="0">
    <w:nsid w:val="74BD3535"/>
    <w:multiLevelType w:val="hybridMultilevel"/>
    <w:tmpl w:val="E55ECEB6"/>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54" w15:restartNumberingAfterBreak="0">
    <w:nsid w:val="76D81C1C"/>
    <w:multiLevelType w:val="hybridMultilevel"/>
    <w:tmpl w:val="15F26C8A"/>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55" w15:restartNumberingAfterBreak="0">
    <w:nsid w:val="7CA34A37"/>
    <w:multiLevelType w:val="hybridMultilevel"/>
    <w:tmpl w:val="A37434BC"/>
    <w:lvl w:ilvl="0" w:tplc="04260001">
      <w:start w:val="1"/>
      <w:numFmt w:val="bullet"/>
      <w:lvlText w:val=""/>
      <w:lvlJc w:val="left"/>
      <w:pPr>
        <w:ind w:left="785"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6" w15:restartNumberingAfterBreak="0">
    <w:nsid w:val="7EA96A81"/>
    <w:multiLevelType w:val="hybridMultilevel"/>
    <w:tmpl w:val="382EB91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num w:numId="1" w16cid:durableId="921572645">
    <w:abstractNumId w:val="23"/>
  </w:num>
  <w:num w:numId="2" w16cid:durableId="1809400094">
    <w:abstractNumId w:val="44"/>
  </w:num>
  <w:num w:numId="3" w16cid:durableId="2090226221">
    <w:abstractNumId w:val="19"/>
  </w:num>
  <w:num w:numId="4" w16cid:durableId="1764374012">
    <w:abstractNumId w:val="3"/>
  </w:num>
  <w:num w:numId="5" w16cid:durableId="1271426438">
    <w:abstractNumId w:val="45"/>
  </w:num>
  <w:num w:numId="6" w16cid:durableId="1172258981">
    <w:abstractNumId w:val="4"/>
  </w:num>
  <w:num w:numId="7" w16cid:durableId="1407455418">
    <w:abstractNumId w:val="52"/>
  </w:num>
  <w:num w:numId="8" w16cid:durableId="1406339383">
    <w:abstractNumId w:val="12"/>
  </w:num>
  <w:num w:numId="9" w16cid:durableId="1554808044">
    <w:abstractNumId w:val="8"/>
  </w:num>
  <w:num w:numId="10" w16cid:durableId="489255293">
    <w:abstractNumId w:val="21"/>
  </w:num>
  <w:num w:numId="11" w16cid:durableId="1738017748">
    <w:abstractNumId w:val="29"/>
  </w:num>
  <w:num w:numId="12" w16cid:durableId="512575269">
    <w:abstractNumId w:val="55"/>
  </w:num>
  <w:num w:numId="13" w16cid:durableId="2004117078">
    <w:abstractNumId w:val="30"/>
  </w:num>
  <w:num w:numId="14" w16cid:durableId="1462654490">
    <w:abstractNumId w:val="17"/>
  </w:num>
  <w:num w:numId="15" w16cid:durableId="1616518968">
    <w:abstractNumId w:val="22"/>
  </w:num>
  <w:num w:numId="16" w16cid:durableId="160435020">
    <w:abstractNumId w:val="42"/>
  </w:num>
  <w:num w:numId="17" w16cid:durableId="289867435">
    <w:abstractNumId w:val="7"/>
  </w:num>
  <w:num w:numId="18" w16cid:durableId="1177306465">
    <w:abstractNumId w:val="16"/>
  </w:num>
  <w:num w:numId="19" w16cid:durableId="179206173">
    <w:abstractNumId w:val="48"/>
  </w:num>
  <w:num w:numId="20" w16cid:durableId="758254538">
    <w:abstractNumId w:val="13"/>
  </w:num>
  <w:num w:numId="21" w16cid:durableId="729379317">
    <w:abstractNumId w:val="53"/>
  </w:num>
  <w:num w:numId="22" w16cid:durableId="1038240588">
    <w:abstractNumId w:val="9"/>
  </w:num>
  <w:num w:numId="23" w16cid:durableId="1106194856">
    <w:abstractNumId w:val="40"/>
  </w:num>
  <w:num w:numId="24" w16cid:durableId="1666740886">
    <w:abstractNumId w:val="28"/>
  </w:num>
  <w:num w:numId="25" w16cid:durableId="1670331261">
    <w:abstractNumId w:val="2"/>
  </w:num>
  <w:num w:numId="26" w16cid:durableId="1223298507">
    <w:abstractNumId w:val="5"/>
  </w:num>
  <w:num w:numId="27" w16cid:durableId="1800103489">
    <w:abstractNumId w:val="1"/>
  </w:num>
  <w:num w:numId="28" w16cid:durableId="963997252">
    <w:abstractNumId w:val="49"/>
  </w:num>
  <w:num w:numId="29" w16cid:durableId="1488324542">
    <w:abstractNumId w:val="27"/>
  </w:num>
  <w:num w:numId="30" w16cid:durableId="584070833">
    <w:abstractNumId w:val="36"/>
  </w:num>
  <w:num w:numId="31" w16cid:durableId="1817065502">
    <w:abstractNumId w:val="35"/>
  </w:num>
  <w:num w:numId="32" w16cid:durableId="312830127">
    <w:abstractNumId w:val="38"/>
  </w:num>
  <w:num w:numId="33" w16cid:durableId="1150515718">
    <w:abstractNumId w:val="26"/>
  </w:num>
  <w:num w:numId="34" w16cid:durableId="486753590">
    <w:abstractNumId w:val="54"/>
  </w:num>
  <w:num w:numId="35" w16cid:durableId="1657343944">
    <w:abstractNumId w:val="50"/>
  </w:num>
  <w:num w:numId="36" w16cid:durableId="1809518758">
    <w:abstractNumId w:val="0"/>
  </w:num>
  <w:num w:numId="37" w16cid:durableId="1897282622">
    <w:abstractNumId w:val="14"/>
  </w:num>
  <w:num w:numId="38" w16cid:durableId="1525055484">
    <w:abstractNumId w:val="39"/>
  </w:num>
  <w:num w:numId="39" w16cid:durableId="1558083178">
    <w:abstractNumId w:val="24"/>
  </w:num>
  <w:num w:numId="40" w16cid:durableId="2071924758">
    <w:abstractNumId w:val="34"/>
  </w:num>
  <w:num w:numId="41" w16cid:durableId="1772433589">
    <w:abstractNumId w:val="37"/>
  </w:num>
  <w:num w:numId="42" w16cid:durableId="1707287753">
    <w:abstractNumId w:val="56"/>
  </w:num>
  <w:num w:numId="43" w16cid:durableId="610863027">
    <w:abstractNumId w:val="6"/>
  </w:num>
  <w:num w:numId="44" w16cid:durableId="1595630452">
    <w:abstractNumId w:val="41"/>
  </w:num>
  <w:num w:numId="45" w16cid:durableId="762579140">
    <w:abstractNumId w:val="47"/>
  </w:num>
  <w:num w:numId="46" w16cid:durableId="741178294">
    <w:abstractNumId w:val="18"/>
  </w:num>
  <w:num w:numId="47" w16cid:durableId="792358985">
    <w:abstractNumId w:val="32"/>
  </w:num>
  <w:num w:numId="48" w16cid:durableId="432484038">
    <w:abstractNumId w:val="20"/>
  </w:num>
  <w:num w:numId="49" w16cid:durableId="512109803">
    <w:abstractNumId w:val="51"/>
  </w:num>
  <w:num w:numId="50" w16cid:durableId="1415666957">
    <w:abstractNumId w:val="33"/>
  </w:num>
  <w:num w:numId="51" w16cid:durableId="75324474">
    <w:abstractNumId w:val="25"/>
  </w:num>
  <w:num w:numId="52" w16cid:durableId="1755321329">
    <w:abstractNumId w:val="43"/>
  </w:num>
  <w:num w:numId="53" w16cid:durableId="614868069">
    <w:abstractNumId w:val="31"/>
  </w:num>
  <w:num w:numId="54" w16cid:durableId="825054737">
    <w:abstractNumId w:val="11"/>
  </w:num>
  <w:num w:numId="55" w16cid:durableId="540091700">
    <w:abstractNumId w:val="10"/>
  </w:num>
  <w:num w:numId="56" w16cid:durableId="569072504">
    <w:abstractNumId w:val="15"/>
  </w:num>
  <w:num w:numId="57" w16cid:durableId="634988152">
    <w:abstractNumId w:val="4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913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4E4"/>
    <w:rsid w:val="00000001"/>
    <w:rsid w:val="0000008E"/>
    <w:rsid w:val="00000328"/>
    <w:rsid w:val="000008CF"/>
    <w:rsid w:val="00000A59"/>
    <w:rsid w:val="00000E17"/>
    <w:rsid w:val="00000F2D"/>
    <w:rsid w:val="0000105F"/>
    <w:rsid w:val="0000111B"/>
    <w:rsid w:val="00001125"/>
    <w:rsid w:val="000013D0"/>
    <w:rsid w:val="000013FA"/>
    <w:rsid w:val="00001445"/>
    <w:rsid w:val="00001521"/>
    <w:rsid w:val="00001522"/>
    <w:rsid w:val="00001BAC"/>
    <w:rsid w:val="000023EA"/>
    <w:rsid w:val="000024CD"/>
    <w:rsid w:val="000024DF"/>
    <w:rsid w:val="00002781"/>
    <w:rsid w:val="000027A4"/>
    <w:rsid w:val="00002972"/>
    <w:rsid w:val="00002F52"/>
    <w:rsid w:val="00002FCF"/>
    <w:rsid w:val="00003177"/>
    <w:rsid w:val="000033B7"/>
    <w:rsid w:val="000038EC"/>
    <w:rsid w:val="00003B3C"/>
    <w:rsid w:val="00003D86"/>
    <w:rsid w:val="00003F54"/>
    <w:rsid w:val="00003FDF"/>
    <w:rsid w:val="000042BE"/>
    <w:rsid w:val="00004529"/>
    <w:rsid w:val="000046B0"/>
    <w:rsid w:val="000049E2"/>
    <w:rsid w:val="00004DC5"/>
    <w:rsid w:val="00005096"/>
    <w:rsid w:val="0000526C"/>
    <w:rsid w:val="00005555"/>
    <w:rsid w:val="00005653"/>
    <w:rsid w:val="00005A46"/>
    <w:rsid w:val="00005ABE"/>
    <w:rsid w:val="00005EE2"/>
    <w:rsid w:val="0000624B"/>
    <w:rsid w:val="00006251"/>
    <w:rsid w:val="00006619"/>
    <w:rsid w:val="00006841"/>
    <w:rsid w:val="00006A79"/>
    <w:rsid w:val="00006F2A"/>
    <w:rsid w:val="00007237"/>
    <w:rsid w:val="00007646"/>
    <w:rsid w:val="00007B54"/>
    <w:rsid w:val="00010527"/>
    <w:rsid w:val="00010CCE"/>
    <w:rsid w:val="00010E05"/>
    <w:rsid w:val="000110F9"/>
    <w:rsid w:val="000119DF"/>
    <w:rsid w:val="00011AA9"/>
    <w:rsid w:val="00011ABD"/>
    <w:rsid w:val="00011C10"/>
    <w:rsid w:val="00011C95"/>
    <w:rsid w:val="00011CB8"/>
    <w:rsid w:val="00011E6C"/>
    <w:rsid w:val="00011FF5"/>
    <w:rsid w:val="0001214B"/>
    <w:rsid w:val="000122F8"/>
    <w:rsid w:val="0001234B"/>
    <w:rsid w:val="00012374"/>
    <w:rsid w:val="000123E8"/>
    <w:rsid w:val="0001240E"/>
    <w:rsid w:val="000124B7"/>
    <w:rsid w:val="00012F09"/>
    <w:rsid w:val="000133F2"/>
    <w:rsid w:val="00013480"/>
    <w:rsid w:val="00013627"/>
    <w:rsid w:val="000137B7"/>
    <w:rsid w:val="00013ACC"/>
    <w:rsid w:val="00013D34"/>
    <w:rsid w:val="00013E48"/>
    <w:rsid w:val="00013E56"/>
    <w:rsid w:val="000140A1"/>
    <w:rsid w:val="000149EA"/>
    <w:rsid w:val="00014D97"/>
    <w:rsid w:val="0001505B"/>
    <w:rsid w:val="0001509F"/>
    <w:rsid w:val="0001537A"/>
    <w:rsid w:val="00015887"/>
    <w:rsid w:val="00015935"/>
    <w:rsid w:val="00015C68"/>
    <w:rsid w:val="000160FF"/>
    <w:rsid w:val="0001614D"/>
    <w:rsid w:val="0001633D"/>
    <w:rsid w:val="00016CA6"/>
    <w:rsid w:val="000170A3"/>
    <w:rsid w:val="000170FB"/>
    <w:rsid w:val="00017139"/>
    <w:rsid w:val="0001726F"/>
    <w:rsid w:val="000172D5"/>
    <w:rsid w:val="00017D74"/>
    <w:rsid w:val="0002004C"/>
    <w:rsid w:val="0002009C"/>
    <w:rsid w:val="00020BEA"/>
    <w:rsid w:val="00020F9F"/>
    <w:rsid w:val="000210C9"/>
    <w:rsid w:val="0002130D"/>
    <w:rsid w:val="000213C7"/>
    <w:rsid w:val="000216CA"/>
    <w:rsid w:val="000216E7"/>
    <w:rsid w:val="000217AB"/>
    <w:rsid w:val="00021888"/>
    <w:rsid w:val="00021D82"/>
    <w:rsid w:val="000221BB"/>
    <w:rsid w:val="000224DA"/>
    <w:rsid w:val="0002261E"/>
    <w:rsid w:val="000229AE"/>
    <w:rsid w:val="00022B51"/>
    <w:rsid w:val="00022BBC"/>
    <w:rsid w:val="00022DCB"/>
    <w:rsid w:val="00022F69"/>
    <w:rsid w:val="0002364E"/>
    <w:rsid w:val="00023C18"/>
    <w:rsid w:val="00024295"/>
    <w:rsid w:val="00024381"/>
    <w:rsid w:val="00024478"/>
    <w:rsid w:val="00024628"/>
    <w:rsid w:val="00024816"/>
    <w:rsid w:val="00024886"/>
    <w:rsid w:val="00024954"/>
    <w:rsid w:val="0002504C"/>
    <w:rsid w:val="0002516F"/>
    <w:rsid w:val="0002545D"/>
    <w:rsid w:val="0002547D"/>
    <w:rsid w:val="00025567"/>
    <w:rsid w:val="000255D8"/>
    <w:rsid w:val="000257E2"/>
    <w:rsid w:val="000259E5"/>
    <w:rsid w:val="00025ADD"/>
    <w:rsid w:val="00025BF8"/>
    <w:rsid w:val="00025C56"/>
    <w:rsid w:val="00025E41"/>
    <w:rsid w:val="00025EA0"/>
    <w:rsid w:val="0002606A"/>
    <w:rsid w:val="00026438"/>
    <w:rsid w:val="00026896"/>
    <w:rsid w:val="00026D12"/>
    <w:rsid w:val="0002716E"/>
    <w:rsid w:val="000274D8"/>
    <w:rsid w:val="00027C0A"/>
    <w:rsid w:val="00027CB9"/>
    <w:rsid w:val="00027ED5"/>
    <w:rsid w:val="000303CA"/>
    <w:rsid w:val="00030F16"/>
    <w:rsid w:val="00030FB1"/>
    <w:rsid w:val="0003117E"/>
    <w:rsid w:val="00031243"/>
    <w:rsid w:val="000313B4"/>
    <w:rsid w:val="000313F4"/>
    <w:rsid w:val="00031494"/>
    <w:rsid w:val="000314E5"/>
    <w:rsid w:val="0003199C"/>
    <w:rsid w:val="00031A92"/>
    <w:rsid w:val="00031CD6"/>
    <w:rsid w:val="00031D53"/>
    <w:rsid w:val="00032212"/>
    <w:rsid w:val="000324D8"/>
    <w:rsid w:val="00032734"/>
    <w:rsid w:val="0003276A"/>
    <w:rsid w:val="000327C4"/>
    <w:rsid w:val="00032826"/>
    <w:rsid w:val="00032AC7"/>
    <w:rsid w:val="00032D0E"/>
    <w:rsid w:val="00032D8D"/>
    <w:rsid w:val="00032EC5"/>
    <w:rsid w:val="0003311F"/>
    <w:rsid w:val="000335FD"/>
    <w:rsid w:val="00033667"/>
    <w:rsid w:val="000336E2"/>
    <w:rsid w:val="0003417F"/>
    <w:rsid w:val="00034307"/>
    <w:rsid w:val="00034416"/>
    <w:rsid w:val="00034664"/>
    <w:rsid w:val="000346D3"/>
    <w:rsid w:val="00034B3C"/>
    <w:rsid w:val="0003548F"/>
    <w:rsid w:val="000356D0"/>
    <w:rsid w:val="000357A0"/>
    <w:rsid w:val="00035B49"/>
    <w:rsid w:val="00035C14"/>
    <w:rsid w:val="00035DB3"/>
    <w:rsid w:val="00035DD5"/>
    <w:rsid w:val="00035EBC"/>
    <w:rsid w:val="00035FEE"/>
    <w:rsid w:val="0003665E"/>
    <w:rsid w:val="00036A01"/>
    <w:rsid w:val="00036CE4"/>
    <w:rsid w:val="0003703F"/>
    <w:rsid w:val="000372B2"/>
    <w:rsid w:val="00037F1B"/>
    <w:rsid w:val="00037FD3"/>
    <w:rsid w:val="000401F8"/>
    <w:rsid w:val="000405B1"/>
    <w:rsid w:val="0004095E"/>
    <w:rsid w:val="00040BCE"/>
    <w:rsid w:val="00040FD3"/>
    <w:rsid w:val="000410AE"/>
    <w:rsid w:val="000410BE"/>
    <w:rsid w:val="000413D4"/>
    <w:rsid w:val="00041679"/>
    <w:rsid w:val="000418DE"/>
    <w:rsid w:val="00041992"/>
    <w:rsid w:val="00041B05"/>
    <w:rsid w:val="00042337"/>
    <w:rsid w:val="00042448"/>
    <w:rsid w:val="000425C4"/>
    <w:rsid w:val="000427F4"/>
    <w:rsid w:val="000427F8"/>
    <w:rsid w:val="00042BFA"/>
    <w:rsid w:val="0004314F"/>
    <w:rsid w:val="000435BB"/>
    <w:rsid w:val="000437AB"/>
    <w:rsid w:val="00043A5F"/>
    <w:rsid w:val="00043CBD"/>
    <w:rsid w:val="000445FD"/>
    <w:rsid w:val="00044BDF"/>
    <w:rsid w:val="00044BED"/>
    <w:rsid w:val="00044CB4"/>
    <w:rsid w:val="000450EA"/>
    <w:rsid w:val="000453DF"/>
    <w:rsid w:val="0004546E"/>
    <w:rsid w:val="00045683"/>
    <w:rsid w:val="0004596E"/>
    <w:rsid w:val="00045EA9"/>
    <w:rsid w:val="00045EAD"/>
    <w:rsid w:val="0004613A"/>
    <w:rsid w:val="00046187"/>
    <w:rsid w:val="000465A1"/>
    <w:rsid w:val="00046A95"/>
    <w:rsid w:val="00046B58"/>
    <w:rsid w:val="00046FB2"/>
    <w:rsid w:val="0004707B"/>
    <w:rsid w:val="000472F6"/>
    <w:rsid w:val="000474A0"/>
    <w:rsid w:val="000475C0"/>
    <w:rsid w:val="00047797"/>
    <w:rsid w:val="00047855"/>
    <w:rsid w:val="00047971"/>
    <w:rsid w:val="00047975"/>
    <w:rsid w:val="00047C30"/>
    <w:rsid w:val="00047F5E"/>
    <w:rsid w:val="00050102"/>
    <w:rsid w:val="00050441"/>
    <w:rsid w:val="00050486"/>
    <w:rsid w:val="00050688"/>
    <w:rsid w:val="000508E8"/>
    <w:rsid w:val="00050D0A"/>
    <w:rsid w:val="00050D67"/>
    <w:rsid w:val="00050E79"/>
    <w:rsid w:val="00050F2B"/>
    <w:rsid w:val="00051043"/>
    <w:rsid w:val="00051109"/>
    <w:rsid w:val="00051134"/>
    <w:rsid w:val="00051267"/>
    <w:rsid w:val="000515CA"/>
    <w:rsid w:val="00051615"/>
    <w:rsid w:val="00051850"/>
    <w:rsid w:val="00051A76"/>
    <w:rsid w:val="00051B75"/>
    <w:rsid w:val="00051CCD"/>
    <w:rsid w:val="00051E85"/>
    <w:rsid w:val="00052B6A"/>
    <w:rsid w:val="00052F2B"/>
    <w:rsid w:val="000531FE"/>
    <w:rsid w:val="0005332C"/>
    <w:rsid w:val="00053435"/>
    <w:rsid w:val="00053768"/>
    <w:rsid w:val="00053810"/>
    <w:rsid w:val="0005400B"/>
    <w:rsid w:val="000541F4"/>
    <w:rsid w:val="0005465E"/>
    <w:rsid w:val="0005497E"/>
    <w:rsid w:val="00054CAF"/>
    <w:rsid w:val="00054DE1"/>
    <w:rsid w:val="00054E96"/>
    <w:rsid w:val="00054F37"/>
    <w:rsid w:val="000550B5"/>
    <w:rsid w:val="00055ADF"/>
    <w:rsid w:val="00055BCF"/>
    <w:rsid w:val="00056007"/>
    <w:rsid w:val="00056185"/>
    <w:rsid w:val="00056263"/>
    <w:rsid w:val="00056718"/>
    <w:rsid w:val="000568E7"/>
    <w:rsid w:val="00056900"/>
    <w:rsid w:val="000569F1"/>
    <w:rsid w:val="00056A35"/>
    <w:rsid w:val="00056BFE"/>
    <w:rsid w:val="00057375"/>
    <w:rsid w:val="00057422"/>
    <w:rsid w:val="00057571"/>
    <w:rsid w:val="00057B34"/>
    <w:rsid w:val="00057C3A"/>
    <w:rsid w:val="00057D42"/>
    <w:rsid w:val="00057F21"/>
    <w:rsid w:val="00060097"/>
    <w:rsid w:val="000602E8"/>
    <w:rsid w:val="00060581"/>
    <w:rsid w:val="00060622"/>
    <w:rsid w:val="0006089E"/>
    <w:rsid w:val="00060E8A"/>
    <w:rsid w:val="000611C0"/>
    <w:rsid w:val="0006157D"/>
    <w:rsid w:val="00061764"/>
    <w:rsid w:val="000619A5"/>
    <w:rsid w:val="00061DE5"/>
    <w:rsid w:val="00061E50"/>
    <w:rsid w:val="0006202A"/>
    <w:rsid w:val="0006211C"/>
    <w:rsid w:val="0006225B"/>
    <w:rsid w:val="0006229F"/>
    <w:rsid w:val="00062531"/>
    <w:rsid w:val="0006282A"/>
    <w:rsid w:val="00062857"/>
    <w:rsid w:val="00062925"/>
    <w:rsid w:val="00062B90"/>
    <w:rsid w:val="00062BFC"/>
    <w:rsid w:val="00062CB6"/>
    <w:rsid w:val="00062E00"/>
    <w:rsid w:val="00062F4A"/>
    <w:rsid w:val="000632F2"/>
    <w:rsid w:val="00063A3F"/>
    <w:rsid w:val="00063ECA"/>
    <w:rsid w:val="00063F08"/>
    <w:rsid w:val="000640DC"/>
    <w:rsid w:val="00064409"/>
    <w:rsid w:val="000646CE"/>
    <w:rsid w:val="000654F0"/>
    <w:rsid w:val="000655A7"/>
    <w:rsid w:val="00065653"/>
    <w:rsid w:val="00065690"/>
    <w:rsid w:val="000656E5"/>
    <w:rsid w:val="0006599F"/>
    <w:rsid w:val="00065E74"/>
    <w:rsid w:val="00065F41"/>
    <w:rsid w:val="000661AE"/>
    <w:rsid w:val="00066459"/>
    <w:rsid w:val="0006686D"/>
    <w:rsid w:val="0006693C"/>
    <w:rsid w:val="00066AA7"/>
    <w:rsid w:val="00066E17"/>
    <w:rsid w:val="00067065"/>
    <w:rsid w:val="000674FC"/>
    <w:rsid w:val="00067DA1"/>
    <w:rsid w:val="00067DF7"/>
    <w:rsid w:val="0007020B"/>
    <w:rsid w:val="00070451"/>
    <w:rsid w:val="0007046D"/>
    <w:rsid w:val="000708CF"/>
    <w:rsid w:val="00070AB7"/>
    <w:rsid w:val="000713F5"/>
    <w:rsid w:val="000716C3"/>
    <w:rsid w:val="000719EF"/>
    <w:rsid w:val="00071C47"/>
    <w:rsid w:val="00071CF9"/>
    <w:rsid w:val="0007200C"/>
    <w:rsid w:val="000722EE"/>
    <w:rsid w:val="000724ED"/>
    <w:rsid w:val="00072691"/>
    <w:rsid w:val="000727EF"/>
    <w:rsid w:val="000729C9"/>
    <w:rsid w:val="00072BDE"/>
    <w:rsid w:val="00072BFE"/>
    <w:rsid w:val="00072D90"/>
    <w:rsid w:val="00072DD6"/>
    <w:rsid w:val="00073034"/>
    <w:rsid w:val="00073C2F"/>
    <w:rsid w:val="00073EFC"/>
    <w:rsid w:val="000740F5"/>
    <w:rsid w:val="000749E6"/>
    <w:rsid w:val="00075193"/>
    <w:rsid w:val="00075A2A"/>
    <w:rsid w:val="00075EA0"/>
    <w:rsid w:val="00075F99"/>
    <w:rsid w:val="00076053"/>
    <w:rsid w:val="0007616C"/>
    <w:rsid w:val="00076189"/>
    <w:rsid w:val="00076743"/>
    <w:rsid w:val="00076785"/>
    <w:rsid w:val="00076C85"/>
    <w:rsid w:val="000770C8"/>
    <w:rsid w:val="00077516"/>
    <w:rsid w:val="000778AF"/>
    <w:rsid w:val="00077E0F"/>
    <w:rsid w:val="000800E9"/>
    <w:rsid w:val="00080709"/>
    <w:rsid w:val="00080808"/>
    <w:rsid w:val="00080D33"/>
    <w:rsid w:val="00081748"/>
    <w:rsid w:val="00081B49"/>
    <w:rsid w:val="00081B84"/>
    <w:rsid w:val="00081CF6"/>
    <w:rsid w:val="00082A8D"/>
    <w:rsid w:val="00082FDD"/>
    <w:rsid w:val="00082FE6"/>
    <w:rsid w:val="0008310A"/>
    <w:rsid w:val="00083210"/>
    <w:rsid w:val="00083932"/>
    <w:rsid w:val="000839C6"/>
    <w:rsid w:val="00083FEA"/>
    <w:rsid w:val="0008423E"/>
    <w:rsid w:val="000842CA"/>
    <w:rsid w:val="000847D9"/>
    <w:rsid w:val="00084D80"/>
    <w:rsid w:val="000851EE"/>
    <w:rsid w:val="00085314"/>
    <w:rsid w:val="00085381"/>
    <w:rsid w:val="0008545A"/>
    <w:rsid w:val="000857C8"/>
    <w:rsid w:val="00085C64"/>
    <w:rsid w:val="00085CCE"/>
    <w:rsid w:val="00085CF8"/>
    <w:rsid w:val="00085EF2"/>
    <w:rsid w:val="00086259"/>
    <w:rsid w:val="0008656E"/>
    <w:rsid w:val="00086656"/>
    <w:rsid w:val="0008675F"/>
    <w:rsid w:val="000869D9"/>
    <w:rsid w:val="00086E7F"/>
    <w:rsid w:val="000871BF"/>
    <w:rsid w:val="0008722E"/>
    <w:rsid w:val="00087402"/>
    <w:rsid w:val="00087562"/>
    <w:rsid w:val="000878AD"/>
    <w:rsid w:val="00087BAE"/>
    <w:rsid w:val="00087CD2"/>
    <w:rsid w:val="00087D54"/>
    <w:rsid w:val="00087F53"/>
    <w:rsid w:val="00087F64"/>
    <w:rsid w:val="0009071D"/>
    <w:rsid w:val="000909F3"/>
    <w:rsid w:val="00090D03"/>
    <w:rsid w:val="00090D7E"/>
    <w:rsid w:val="00090F83"/>
    <w:rsid w:val="00090FA7"/>
    <w:rsid w:val="00091349"/>
    <w:rsid w:val="00091687"/>
    <w:rsid w:val="00091699"/>
    <w:rsid w:val="000917F7"/>
    <w:rsid w:val="000918DF"/>
    <w:rsid w:val="00091A0E"/>
    <w:rsid w:val="00091D93"/>
    <w:rsid w:val="00091FCD"/>
    <w:rsid w:val="00092090"/>
    <w:rsid w:val="000928E6"/>
    <w:rsid w:val="00092C56"/>
    <w:rsid w:val="00092E52"/>
    <w:rsid w:val="0009307A"/>
    <w:rsid w:val="0009366B"/>
    <w:rsid w:val="00093D1F"/>
    <w:rsid w:val="00093D5A"/>
    <w:rsid w:val="00094142"/>
    <w:rsid w:val="000942B4"/>
    <w:rsid w:val="000942BF"/>
    <w:rsid w:val="00094491"/>
    <w:rsid w:val="000946B7"/>
    <w:rsid w:val="000946DD"/>
    <w:rsid w:val="00094873"/>
    <w:rsid w:val="00094A96"/>
    <w:rsid w:val="00094BEB"/>
    <w:rsid w:val="00094C3A"/>
    <w:rsid w:val="00094C43"/>
    <w:rsid w:val="00094C97"/>
    <w:rsid w:val="00094FA0"/>
    <w:rsid w:val="00094FEC"/>
    <w:rsid w:val="0009509F"/>
    <w:rsid w:val="00095197"/>
    <w:rsid w:val="0009550B"/>
    <w:rsid w:val="000959AC"/>
    <w:rsid w:val="00095A1B"/>
    <w:rsid w:val="00095A44"/>
    <w:rsid w:val="00095DE2"/>
    <w:rsid w:val="0009610A"/>
    <w:rsid w:val="00096410"/>
    <w:rsid w:val="00096570"/>
    <w:rsid w:val="00096631"/>
    <w:rsid w:val="00097615"/>
    <w:rsid w:val="00097834"/>
    <w:rsid w:val="00097908"/>
    <w:rsid w:val="0009793A"/>
    <w:rsid w:val="00097AAA"/>
    <w:rsid w:val="00097B42"/>
    <w:rsid w:val="000A029B"/>
    <w:rsid w:val="000A03B2"/>
    <w:rsid w:val="000A062F"/>
    <w:rsid w:val="000A0835"/>
    <w:rsid w:val="000A1089"/>
    <w:rsid w:val="000A1309"/>
    <w:rsid w:val="000A14D4"/>
    <w:rsid w:val="000A1710"/>
    <w:rsid w:val="000A189C"/>
    <w:rsid w:val="000A19A5"/>
    <w:rsid w:val="000A1BB5"/>
    <w:rsid w:val="000A1BDE"/>
    <w:rsid w:val="000A1BF6"/>
    <w:rsid w:val="000A1E5D"/>
    <w:rsid w:val="000A222D"/>
    <w:rsid w:val="000A278D"/>
    <w:rsid w:val="000A2AFF"/>
    <w:rsid w:val="000A2CA2"/>
    <w:rsid w:val="000A2D46"/>
    <w:rsid w:val="000A2D83"/>
    <w:rsid w:val="000A2DE1"/>
    <w:rsid w:val="000A3051"/>
    <w:rsid w:val="000A309F"/>
    <w:rsid w:val="000A33E9"/>
    <w:rsid w:val="000A34AD"/>
    <w:rsid w:val="000A35FF"/>
    <w:rsid w:val="000A37F8"/>
    <w:rsid w:val="000A3982"/>
    <w:rsid w:val="000A3AE2"/>
    <w:rsid w:val="000A3B2E"/>
    <w:rsid w:val="000A4636"/>
    <w:rsid w:val="000A4669"/>
    <w:rsid w:val="000A4870"/>
    <w:rsid w:val="000A4CD7"/>
    <w:rsid w:val="000A5706"/>
    <w:rsid w:val="000A5CA9"/>
    <w:rsid w:val="000A5DCC"/>
    <w:rsid w:val="000A606B"/>
    <w:rsid w:val="000A61EC"/>
    <w:rsid w:val="000A62FE"/>
    <w:rsid w:val="000A6608"/>
    <w:rsid w:val="000A67B3"/>
    <w:rsid w:val="000A6976"/>
    <w:rsid w:val="000A699E"/>
    <w:rsid w:val="000A69F5"/>
    <w:rsid w:val="000A6DE9"/>
    <w:rsid w:val="000A74E9"/>
    <w:rsid w:val="000A7D1A"/>
    <w:rsid w:val="000B0096"/>
    <w:rsid w:val="000B0620"/>
    <w:rsid w:val="000B073F"/>
    <w:rsid w:val="000B0DEA"/>
    <w:rsid w:val="000B1030"/>
    <w:rsid w:val="000B11E2"/>
    <w:rsid w:val="000B120F"/>
    <w:rsid w:val="000B14AB"/>
    <w:rsid w:val="000B176B"/>
    <w:rsid w:val="000B1CEC"/>
    <w:rsid w:val="000B2091"/>
    <w:rsid w:val="000B21C8"/>
    <w:rsid w:val="000B22D1"/>
    <w:rsid w:val="000B2314"/>
    <w:rsid w:val="000B2BFF"/>
    <w:rsid w:val="000B303F"/>
    <w:rsid w:val="000B3065"/>
    <w:rsid w:val="000B3492"/>
    <w:rsid w:val="000B3783"/>
    <w:rsid w:val="000B378A"/>
    <w:rsid w:val="000B37CE"/>
    <w:rsid w:val="000B37DA"/>
    <w:rsid w:val="000B381D"/>
    <w:rsid w:val="000B3883"/>
    <w:rsid w:val="000B3DE5"/>
    <w:rsid w:val="000B4141"/>
    <w:rsid w:val="000B4236"/>
    <w:rsid w:val="000B4349"/>
    <w:rsid w:val="000B4731"/>
    <w:rsid w:val="000B4A18"/>
    <w:rsid w:val="000B4EB2"/>
    <w:rsid w:val="000B4FC2"/>
    <w:rsid w:val="000B51B9"/>
    <w:rsid w:val="000B51F9"/>
    <w:rsid w:val="000B524C"/>
    <w:rsid w:val="000B52A4"/>
    <w:rsid w:val="000B535E"/>
    <w:rsid w:val="000B53D6"/>
    <w:rsid w:val="000B56C3"/>
    <w:rsid w:val="000B56D2"/>
    <w:rsid w:val="000B573A"/>
    <w:rsid w:val="000B5A76"/>
    <w:rsid w:val="000B5F62"/>
    <w:rsid w:val="000B60B2"/>
    <w:rsid w:val="000B6B34"/>
    <w:rsid w:val="000B7364"/>
    <w:rsid w:val="000B73EB"/>
    <w:rsid w:val="000C01EE"/>
    <w:rsid w:val="000C1009"/>
    <w:rsid w:val="000C1053"/>
    <w:rsid w:val="000C13EB"/>
    <w:rsid w:val="000C146A"/>
    <w:rsid w:val="000C195C"/>
    <w:rsid w:val="000C1A3F"/>
    <w:rsid w:val="000C20C0"/>
    <w:rsid w:val="000C2626"/>
    <w:rsid w:val="000C271B"/>
    <w:rsid w:val="000C2907"/>
    <w:rsid w:val="000C2984"/>
    <w:rsid w:val="000C2BAB"/>
    <w:rsid w:val="000C30A0"/>
    <w:rsid w:val="000C3372"/>
    <w:rsid w:val="000C3468"/>
    <w:rsid w:val="000C34EB"/>
    <w:rsid w:val="000C39F7"/>
    <w:rsid w:val="000C4597"/>
    <w:rsid w:val="000C47E3"/>
    <w:rsid w:val="000C480C"/>
    <w:rsid w:val="000C4839"/>
    <w:rsid w:val="000C4911"/>
    <w:rsid w:val="000C4A13"/>
    <w:rsid w:val="000C4B81"/>
    <w:rsid w:val="000C4BE8"/>
    <w:rsid w:val="000C4E08"/>
    <w:rsid w:val="000C4FA3"/>
    <w:rsid w:val="000C5034"/>
    <w:rsid w:val="000C50A1"/>
    <w:rsid w:val="000C5392"/>
    <w:rsid w:val="000C5AD2"/>
    <w:rsid w:val="000C5D9A"/>
    <w:rsid w:val="000C5EBC"/>
    <w:rsid w:val="000C5F9D"/>
    <w:rsid w:val="000C60E3"/>
    <w:rsid w:val="000C622C"/>
    <w:rsid w:val="000C6E5B"/>
    <w:rsid w:val="000C6FC9"/>
    <w:rsid w:val="000C73B4"/>
    <w:rsid w:val="000C7533"/>
    <w:rsid w:val="000D0C2D"/>
    <w:rsid w:val="000D0D03"/>
    <w:rsid w:val="000D0DBD"/>
    <w:rsid w:val="000D101F"/>
    <w:rsid w:val="000D1165"/>
    <w:rsid w:val="000D155F"/>
    <w:rsid w:val="000D195A"/>
    <w:rsid w:val="000D1DD2"/>
    <w:rsid w:val="000D207E"/>
    <w:rsid w:val="000D225D"/>
    <w:rsid w:val="000D258A"/>
    <w:rsid w:val="000D277E"/>
    <w:rsid w:val="000D2A1B"/>
    <w:rsid w:val="000D2A4B"/>
    <w:rsid w:val="000D2AAB"/>
    <w:rsid w:val="000D2C39"/>
    <w:rsid w:val="000D2C5D"/>
    <w:rsid w:val="000D2E21"/>
    <w:rsid w:val="000D303F"/>
    <w:rsid w:val="000D308E"/>
    <w:rsid w:val="000D33D3"/>
    <w:rsid w:val="000D349A"/>
    <w:rsid w:val="000D3D27"/>
    <w:rsid w:val="000D4581"/>
    <w:rsid w:val="000D4945"/>
    <w:rsid w:val="000D4A34"/>
    <w:rsid w:val="000D50DD"/>
    <w:rsid w:val="000D5363"/>
    <w:rsid w:val="000D538E"/>
    <w:rsid w:val="000D54E5"/>
    <w:rsid w:val="000D60A6"/>
    <w:rsid w:val="000D6100"/>
    <w:rsid w:val="000D62CB"/>
    <w:rsid w:val="000D678C"/>
    <w:rsid w:val="000D68E5"/>
    <w:rsid w:val="000D6E6C"/>
    <w:rsid w:val="000D706B"/>
    <w:rsid w:val="000D70C8"/>
    <w:rsid w:val="000D713A"/>
    <w:rsid w:val="000D7375"/>
    <w:rsid w:val="000D7BBC"/>
    <w:rsid w:val="000D7D7C"/>
    <w:rsid w:val="000D7F42"/>
    <w:rsid w:val="000E0120"/>
    <w:rsid w:val="000E0731"/>
    <w:rsid w:val="000E07FE"/>
    <w:rsid w:val="000E0D3C"/>
    <w:rsid w:val="000E0ECD"/>
    <w:rsid w:val="000E108E"/>
    <w:rsid w:val="000E159E"/>
    <w:rsid w:val="000E179D"/>
    <w:rsid w:val="000E189A"/>
    <w:rsid w:val="000E1DEC"/>
    <w:rsid w:val="000E2447"/>
    <w:rsid w:val="000E2547"/>
    <w:rsid w:val="000E268B"/>
    <w:rsid w:val="000E2985"/>
    <w:rsid w:val="000E29EC"/>
    <w:rsid w:val="000E2C45"/>
    <w:rsid w:val="000E2C51"/>
    <w:rsid w:val="000E2C5D"/>
    <w:rsid w:val="000E2E97"/>
    <w:rsid w:val="000E3091"/>
    <w:rsid w:val="000E385E"/>
    <w:rsid w:val="000E3AEC"/>
    <w:rsid w:val="000E3E15"/>
    <w:rsid w:val="000E42DD"/>
    <w:rsid w:val="000E44E9"/>
    <w:rsid w:val="000E451C"/>
    <w:rsid w:val="000E4716"/>
    <w:rsid w:val="000E48D0"/>
    <w:rsid w:val="000E4976"/>
    <w:rsid w:val="000E4B02"/>
    <w:rsid w:val="000E4B09"/>
    <w:rsid w:val="000E5114"/>
    <w:rsid w:val="000E5350"/>
    <w:rsid w:val="000E5450"/>
    <w:rsid w:val="000E5463"/>
    <w:rsid w:val="000E5B2C"/>
    <w:rsid w:val="000E5E14"/>
    <w:rsid w:val="000E662D"/>
    <w:rsid w:val="000E677D"/>
    <w:rsid w:val="000E6A4D"/>
    <w:rsid w:val="000E6BA5"/>
    <w:rsid w:val="000E6E37"/>
    <w:rsid w:val="000E7171"/>
    <w:rsid w:val="000E72D4"/>
    <w:rsid w:val="000E74ED"/>
    <w:rsid w:val="000E754D"/>
    <w:rsid w:val="000E75BA"/>
    <w:rsid w:val="000F01CC"/>
    <w:rsid w:val="000F0325"/>
    <w:rsid w:val="000F041A"/>
    <w:rsid w:val="000F04D0"/>
    <w:rsid w:val="000F075E"/>
    <w:rsid w:val="000F096C"/>
    <w:rsid w:val="000F0A35"/>
    <w:rsid w:val="000F0ECB"/>
    <w:rsid w:val="000F0F6B"/>
    <w:rsid w:val="000F0FB8"/>
    <w:rsid w:val="000F128D"/>
    <w:rsid w:val="000F1A51"/>
    <w:rsid w:val="000F20AF"/>
    <w:rsid w:val="000F20E1"/>
    <w:rsid w:val="000F2199"/>
    <w:rsid w:val="000F21BF"/>
    <w:rsid w:val="000F2559"/>
    <w:rsid w:val="000F2671"/>
    <w:rsid w:val="000F27A1"/>
    <w:rsid w:val="000F2836"/>
    <w:rsid w:val="000F2AF2"/>
    <w:rsid w:val="000F31B2"/>
    <w:rsid w:val="000F3D22"/>
    <w:rsid w:val="000F3D81"/>
    <w:rsid w:val="000F3FC7"/>
    <w:rsid w:val="000F420B"/>
    <w:rsid w:val="000F4C6F"/>
    <w:rsid w:val="000F51E5"/>
    <w:rsid w:val="000F51EF"/>
    <w:rsid w:val="000F5216"/>
    <w:rsid w:val="000F5273"/>
    <w:rsid w:val="000F53B8"/>
    <w:rsid w:val="000F552B"/>
    <w:rsid w:val="000F553A"/>
    <w:rsid w:val="000F5DAE"/>
    <w:rsid w:val="000F5FC3"/>
    <w:rsid w:val="000F5FEB"/>
    <w:rsid w:val="000F64B5"/>
    <w:rsid w:val="000F6711"/>
    <w:rsid w:val="000F68C1"/>
    <w:rsid w:val="000F69F0"/>
    <w:rsid w:val="000F6A12"/>
    <w:rsid w:val="000F6A77"/>
    <w:rsid w:val="000F6E15"/>
    <w:rsid w:val="000F7141"/>
    <w:rsid w:val="000F77E3"/>
    <w:rsid w:val="000F7898"/>
    <w:rsid w:val="000F7A41"/>
    <w:rsid w:val="000F7E21"/>
    <w:rsid w:val="0010012D"/>
    <w:rsid w:val="001001B0"/>
    <w:rsid w:val="001009E2"/>
    <w:rsid w:val="00100A4B"/>
    <w:rsid w:val="00100EA1"/>
    <w:rsid w:val="00100F62"/>
    <w:rsid w:val="00101052"/>
    <w:rsid w:val="00101408"/>
    <w:rsid w:val="001016B2"/>
    <w:rsid w:val="001018DE"/>
    <w:rsid w:val="00101FAF"/>
    <w:rsid w:val="001020C3"/>
    <w:rsid w:val="0010281D"/>
    <w:rsid w:val="00102889"/>
    <w:rsid w:val="00102999"/>
    <w:rsid w:val="00102D5D"/>
    <w:rsid w:val="00102FD1"/>
    <w:rsid w:val="00103143"/>
    <w:rsid w:val="0010326E"/>
    <w:rsid w:val="001032C5"/>
    <w:rsid w:val="0010386D"/>
    <w:rsid w:val="001038A9"/>
    <w:rsid w:val="00103B0C"/>
    <w:rsid w:val="00103C3A"/>
    <w:rsid w:val="00103C62"/>
    <w:rsid w:val="00103F62"/>
    <w:rsid w:val="001040AE"/>
    <w:rsid w:val="00104282"/>
    <w:rsid w:val="00104640"/>
    <w:rsid w:val="00104966"/>
    <w:rsid w:val="00104A9B"/>
    <w:rsid w:val="00104AD6"/>
    <w:rsid w:val="00104C4E"/>
    <w:rsid w:val="00104D23"/>
    <w:rsid w:val="00105075"/>
    <w:rsid w:val="0010514B"/>
    <w:rsid w:val="001054F2"/>
    <w:rsid w:val="00105781"/>
    <w:rsid w:val="0010599C"/>
    <w:rsid w:val="00105B04"/>
    <w:rsid w:val="00105F05"/>
    <w:rsid w:val="0010646B"/>
    <w:rsid w:val="00106788"/>
    <w:rsid w:val="00106AD2"/>
    <w:rsid w:val="00106D77"/>
    <w:rsid w:val="00107086"/>
    <w:rsid w:val="001073AC"/>
    <w:rsid w:val="001073FA"/>
    <w:rsid w:val="00107C41"/>
    <w:rsid w:val="00107CFD"/>
    <w:rsid w:val="00110179"/>
    <w:rsid w:val="001105FB"/>
    <w:rsid w:val="001108EB"/>
    <w:rsid w:val="00110F31"/>
    <w:rsid w:val="00111025"/>
    <w:rsid w:val="00111197"/>
    <w:rsid w:val="0011149B"/>
    <w:rsid w:val="00111D69"/>
    <w:rsid w:val="00111F29"/>
    <w:rsid w:val="00111FF1"/>
    <w:rsid w:val="001123E9"/>
    <w:rsid w:val="00112811"/>
    <w:rsid w:val="001129D7"/>
    <w:rsid w:val="00112ACC"/>
    <w:rsid w:val="00112B2A"/>
    <w:rsid w:val="00112B93"/>
    <w:rsid w:val="00112BEA"/>
    <w:rsid w:val="00112C53"/>
    <w:rsid w:val="00112F9D"/>
    <w:rsid w:val="001133DD"/>
    <w:rsid w:val="0011340E"/>
    <w:rsid w:val="00113459"/>
    <w:rsid w:val="00113727"/>
    <w:rsid w:val="00113A8A"/>
    <w:rsid w:val="00113CBB"/>
    <w:rsid w:val="00113DA1"/>
    <w:rsid w:val="001144AB"/>
    <w:rsid w:val="001144C9"/>
    <w:rsid w:val="00114518"/>
    <w:rsid w:val="001147E1"/>
    <w:rsid w:val="00114A5A"/>
    <w:rsid w:val="0011570D"/>
    <w:rsid w:val="001159BF"/>
    <w:rsid w:val="00115FA7"/>
    <w:rsid w:val="00115FC3"/>
    <w:rsid w:val="001160FD"/>
    <w:rsid w:val="00116450"/>
    <w:rsid w:val="0011677D"/>
    <w:rsid w:val="0011679F"/>
    <w:rsid w:val="00116C61"/>
    <w:rsid w:val="00116D71"/>
    <w:rsid w:val="00116E0B"/>
    <w:rsid w:val="00116E4C"/>
    <w:rsid w:val="00117027"/>
    <w:rsid w:val="00117203"/>
    <w:rsid w:val="00117873"/>
    <w:rsid w:val="001178C7"/>
    <w:rsid w:val="00117CE0"/>
    <w:rsid w:val="001200D8"/>
    <w:rsid w:val="001203E0"/>
    <w:rsid w:val="00120716"/>
    <w:rsid w:val="00120A0D"/>
    <w:rsid w:val="00121318"/>
    <w:rsid w:val="00121381"/>
    <w:rsid w:val="0012148F"/>
    <w:rsid w:val="001216B3"/>
    <w:rsid w:val="00121AAE"/>
    <w:rsid w:val="00121C8A"/>
    <w:rsid w:val="00121F7D"/>
    <w:rsid w:val="0012213F"/>
    <w:rsid w:val="00122319"/>
    <w:rsid w:val="0012247B"/>
    <w:rsid w:val="001224CF"/>
    <w:rsid w:val="001224F4"/>
    <w:rsid w:val="0012287D"/>
    <w:rsid w:val="00122AC1"/>
    <w:rsid w:val="00122D6B"/>
    <w:rsid w:val="00122D7D"/>
    <w:rsid w:val="00122EB8"/>
    <w:rsid w:val="00122EC5"/>
    <w:rsid w:val="001230B4"/>
    <w:rsid w:val="001231AF"/>
    <w:rsid w:val="00123226"/>
    <w:rsid w:val="00123493"/>
    <w:rsid w:val="001235C4"/>
    <w:rsid w:val="00123C03"/>
    <w:rsid w:val="00124059"/>
    <w:rsid w:val="001244B4"/>
    <w:rsid w:val="001247F7"/>
    <w:rsid w:val="001248F4"/>
    <w:rsid w:val="00124A57"/>
    <w:rsid w:val="00124CC1"/>
    <w:rsid w:val="00124E3D"/>
    <w:rsid w:val="00125133"/>
    <w:rsid w:val="001252D4"/>
    <w:rsid w:val="001254DC"/>
    <w:rsid w:val="00125900"/>
    <w:rsid w:val="00125BDF"/>
    <w:rsid w:val="001261A0"/>
    <w:rsid w:val="0012634D"/>
    <w:rsid w:val="001264D2"/>
    <w:rsid w:val="0012662D"/>
    <w:rsid w:val="0012677E"/>
    <w:rsid w:val="00126906"/>
    <w:rsid w:val="00126ADD"/>
    <w:rsid w:val="00126AFA"/>
    <w:rsid w:val="00126F80"/>
    <w:rsid w:val="00127466"/>
    <w:rsid w:val="0012758A"/>
    <w:rsid w:val="001276F0"/>
    <w:rsid w:val="00127D2E"/>
    <w:rsid w:val="00130046"/>
    <w:rsid w:val="0013018E"/>
    <w:rsid w:val="0013060D"/>
    <w:rsid w:val="00130909"/>
    <w:rsid w:val="00130AB8"/>
    <w:rsid w:val="00130E03"/>
    <w:rsid w:val="00130F4C"/>
    <w:rsid w:val="001310C4"/>
    <w:rsid w:val="0013145F"/>
    <w:rsid w:val="00131D6B"/>
    <w:rsid w:val="00132392"/>
    <w:rsid w:val="001324D5"/>
    <w:rsid w:val="001324EA"/>
    <w:rsid w:val="001325F2"/>
    <w:rsid w:val="00132F96"/>
    <w:rsid w:val="00132FF7"/>
    <w:rsid w:val="001330B6"/>
    <w:rsid w:val="00133AC1"/>
    <w:rsid w:val="00133B2E"/>
    <w:rsid w:val="00133B39"/>
    <w:rsid w:val="00133D77"/>
    <w:rsid w:val="001347EA"/>
    <w:rsid w:val="00134B42"/>
    <w:rsid w:val="00135B97"/>
    <w:rsid w:val="00135FA0"/>
    <w:rsid w:val="00135FC1"/>
    <w:rsid w:val="001363AD"/>
    <w:rsid w:val="00136CB8"/>
    <w:rsid w:val="00136DD6"/>
    <w:rsid w:val="001377F9"/>
    <w:rsid w:val="00137CFE"/>
    <w:rsid w:val="001401BD"/>
    <w:rsid w:val="00140540"/>
    <w:rsid w:val="00140A16"/>
    <w:rsid w:val="00140D89"/>
    <w:rsid w:val="00140EE3"/>
    <w:rsid w:val="00140FE1"/>
    <w:rsid w:val="00141269"/>
    <w:rsid w:val="00141313"/>
    <w:rsid w:val="00141376"/>
    <w:rsid w:val="00141378"/>
    <w:rsid w:val="0014143A"/>
    <w:rsid w:val="00141609"/>
    <w:rsid w:val="00141A88"/>
    <w:rsid w:val="00142069"/>
    <w:rsid w:val="001420EE"/>
    <w:rsid w:val="001423FB"/>
    <w:rsid w:val="0014260C"/>
    <w:rsid w:val="001426AD"/>
    <w:rsid w:val="0014280E"/>
    <w:rsid w:val="00142C43"/>
    <w:rsid w:val="00142F45"/>
    <w:rsid w:val="00143140"/>
    <w:rsid w:val="001438F5"/>
    <w:rsid w:val="0014394B"/>
    <w:rsid w:val="0014395A"/>
    <w:rsid w:val="00144CE3"/>
    <w:rsid w:val="0014502D"/>
    <w:rsid w:val="0014537C"/>
    <w:rsid w:val="001453CC"/>
    <w:rsid w:val="0014583A"/>
    <w:rsid w:val="00146461"/>
    <w:rsid w:val="001469A4"/>
    <w:rsid w:val="00146A16"/>
    <w:rsid w:val="00146B22"/>
    <w:rsid w:val="00146B5D"/>
    <w:rsid w:val="00146BD9"/>
    <w:rsid w:val="00147047"/>
    <w:rsid w:val="00147400"/>
    <w:rsid w:val="0014776F"/>
    <w:rsid w:val="00147E17"/>
    <w:rsid w:val="00147E18"/>
    <w:rsid w:val="00147FB0"/>
    <w:rsid w:val="00150177"/>
    <w:rsid w:val="001506C8"/>
    <w:rsid w:val="0015070E"/>
    <w:rsid w:val="00151F5D"/>
    <w:rsid w:val="001520C7"/>
    <w:rsid w:val="001521F6"/>
    <w:rsid w:val="0015239B"/>
    <w:rsid w:val="001523BD"/>
    <w:rsid w:val="001524E2"/>
    <w:rsid w:val="001526F3"/>
    <w:rsid w:val="00152729"/>
    <w:rsid w:val="001528F5"/>
    <w:rsid w:val="00152D77"/>
    <w:rsid w:val="00152E04"/>
    <w:rsid w:val="00153525"/>
    <w:rsid w:val="001538C1"/>
    <w:rsid w:val="00153C3F"/>
    <w:rsid w:val="00153D07"/>
    <w:rsid w:val="00153DC3"/>
    <w:rsid w:val="00153E38"/>
    <w:rsid w:val="001543A8"/>
    <w:rsid w:val="001549BE"/>
    <w:rsid w:val="00154C14"/>
    <w:rsid w:val="00154C29"/>
    <w:rsid w:val="00155C71"/>
    <w:rsid w:val="00155F21"/>
    <w:rsid w:val="00155F29"/>
    <w:rsid w:val="00156186"/>
    <w:rsid w:val="001562B3"/>
    <w:rsid w:val="00156375"/>
    <w:rsid w:val="001567AF"/>
    <w:rsid w:val="00156AE4"/>
    <w:rsid w:val="00156DC6"/>
    <w:rsid w:val="00156EE4"/>
    <w:rsid w:val="001578FB"/>
    <w:rsid w:val="00157972"/>
    <w:rsid w:val="00157FB5"/>
    <w:rsid w:val="00160063"/>
    <w:rsid w:val="00160299"/>
    <w:rsid w:val="00160314"/>
    <w:rsid w:val="0016047D"/>
    <w:rsid w:val="001605F0"/>
    <w:rsid w:val="0016061B"/>
    <w:rsid w:val="0016069A"/>
    <w:rsid w:val="00160926"/>
    <w:rsid w:val="00160C61"/>
    <w:rsid w:val="00160CED"/>
    <w:rsid w:val="00160F92"/>
    <w:rsid w:val="0016122A"/>
    <w:rsid w:val="001615EC"/>
    <w:rsid w:val="00161757"/>
    <w:rsid w:val="00161B29"/>
    <w:rsid w:val="00161C5B"/>
    <w:rsid w:val="00161F29"/>
    <w:rsid w:val="0016204A"/>
    <w:rsid w:val="00162214"/>
    <w:rsid w:val="001625B7"/>
    <w:rsid w:val="001628B0"/>
    <w:rsid w:val="00162BD6"/>
    <w:rsid w:val="00162DB2"/>
    <w:rsid w:val="00162DBF"/>
    <w:rsid w:val="00162F0D"/>
    <w:rsid w:val="00163199"/>
    <w:rsid w:val="0016331B"/>
    <w:rsid w:val="00163372"/>
    <w:rsid w:val="0016344A"/>
    <w:rsid w:val="00163554"/>
    <w:rsid w:val="00163BA8"/>
    <w:rsid w:val="00163CB1"/>
    <w:rsid w:val="00163F5A"/>
    <w:rsid w:val="00164203"/>
    <w:rsid w:val="00164B96"/>
    <w:rsid w:val="00164E45"/>
    <w:rsid w:val="00164E93"/>
    <w:rsid w:val="001651EB"/>
    <w:rsid w:val="0016534C"/>
    <w:rsid w:val="001654FD"/>
    <w:rsid w:val="001655DA"/>
    <w:rsid w:val="00165814"/>
    <w:rsid w:val="0016591D"/>
    <w:rsid w:val="00165D3D"/>
    <w:rsid w:val="00166B4B"/>
    <w:rsid w:val="00166B96"/>
    <w:rsid w:val="00166ED5"/>
    <w:rsid w:val="0016701E"/>
    <w:rsid w:val="001672A1"/>
    <w:rsid w:val="00167E3F"/>
    <w:rsid w:val="001703E7"/>
    <w:rsid w:val="00170582"/>
    <w:rsid w:val="00170ED6"/>
    <w:rsid w:val="00170FDB"/>
    <w:rsid w:val="00171026"/>
    <w:rsid w:val="00171391"/>
    <w:rsid w:val="0017143D"/>
    <w:rsid w:val="00171CE9"/>
    <w:rsid w:val="00171DFD"/>
    <w:rsid w:val="00171FDE"/>
    <w:rsid w:val="001720B2"/>
    <w:rsid w:val="001722CA"/>
    <w:rsid w:val="0017259F"/>
    <w:rsid w:val="00172635"/>
    <w:rsid w:val="00172952"/>
    <w:rsid w:val="00172B4D"/>
    <w:rsid w:val="00172C19"/>
    <w:rsid w:val="00172E90"/>
    <w:rsid w:val="00173267"/>
    <w:rsid w:val="001735BE"/>
    <w:rsid w:val="001749DD"/>
    <w:rsid w:val="00174E67"/>
    <w:rsid w:val="00174F2B"/>
    <w:rsid w:val="00175097"/>
    <w:rsid w:val="001750B3"/>
    <w:rsid w:val="001752E9"/>
    <w:rsid w:val="00175F59"/>
    <w:rsid w:val="001760A3"/>
    <w:rsid w:val="00176739"/>
    <w:rsid w:val="0017673B"/>
    <w:rsid w:val="00176783"/>
    <w:rsid w:val="00176986"/>
    <w:rsid w:val="001769BB"/>
    <w:rsid w:val="00176F71"/>
    <w:rsid w:val="00176FE2"/>
    <w:rsid w:val="001772E1"/>
    <w:rsid w:val="00177438"/>
    <w:rsid w:val="00177448"/>
    <w:rsid w:val="00177656"/>
    <w:rsid w:val="0017772A"/>
    <w:rsid w:val="0017783A"/>
    <w:rsid w:val="00177952"/>
    <w:rsid w:val="001801A6"/>
    <w:rsid w:val="00180471"/>
    <w:rsid w:val="001806D9"/>
    <w:rsid w:val="00180A33"/>
    <w:rsid w:val="00180BA9"/>
    <w:rsid w:val="001810E7"/>
    <w:rsid w:val="0018110E"/>
    <w:rsid w:val="00181464"/>
    <w:rsid w:val="00181A43"/>
    <w:rsid w:val="00182BB6"/>
    <w:rsid w:val="00182E93"/>
    <w:rsid w:val="00183653"/>
    <w:rsid w:val="0018382B"/>
    <w:rsid w:val="001841D3"/>
    <w:rsid w:val="00184615"/>
    <w:rsid w:val="00184786"/>
    <w:rsid w:val="00184DC6"/>
    <w:rsid w:val="00185020"/>
    <w:rsid w:val="00185040"/>
    <w:rsid w:val="00185443"/>
    <w:rsid w:val="001858ED"/>
    <w:rsid w:val="00185AA1"/>
    <w:rsid w:val="00185DCE"/>
    <w:rsid w:val="00185E10"/>
    <w:rsid w:val="001860B6"/>
    <w:rsid w:val="001864B0"/>
    <w:rsid w:val="00186738"/>
    <w:rsid w:val="00186831"/>
    <w:rsid w:val="001871E5"/>
    <w:rsid w:val="00187B15"/>
    <w:rsid w:val="00187B63"/>
    <w:rsid w:val="00187BA6"/>
    <w:rsid w:val="00187BBC"/>
    <w:rsid w:val="00187DD8"/>
    <w:rsid w:val="001900AA"/>
    <w:rsid w:val="00190B8A"/>
    <w:rsid w:val="00190BC7"/>
    <w:rsid w:val="0019147C"/>
    <w:rsid w:val="001916E7"/>
    <w:rsid w:val="00191DF3"/>
    <w:rsid w:val="00191E54"/>
    <w:rsid w:val="00191F1F"/>
    <w:rsid w:val="00192154"/>
    <w:rsid w:val="001924AF"/>
    <w:rsid w:val="00192566"/>
    <w:rsid w:val="001925F2"/>
    <w:rsid w:val="00192D70"/>
    <w:rsid w:val="00192FAE"/>
    <w:rsid w:val="001932BA"/>
    <w:rsid w:val="001935EF"/>
    <w:rsid w:val="001937C5"/>
    <w:rsid w:val="001937F7"/>
    <w:rsid w:val="00193AC0"/>
    <w:rsid w:val="00193C1E"/>
    <w:rsid w:val="00193CA7"/>
    <w:rsid w:val="0019458D"/>
    <w:rsid w:val="00194A2E"/>
    <w:rsid w:val="00194C6B"/>
    <w:rsid w:val="00194DFE"/>
    <w:rsid w:val="00194E1A"/>
    <w:rsid w:val="00195028"/>
    <w:rsid w:val="00195053"/>
    <w:rsid w:val="00195223"/>
    <w:rsid w:val="00195232"/>
    <w:rsid w:val="00195239"/>
    <w:rsid w:val="001952CC"/>
    <w:rsid w:val="0019534D"/>
    <w:rsid w:val="00195757"/>
    <w:rsid w:val="0019588C"/>
    <w:rsid w:val="00195BB8"/>
    <w:rsid w:val="00195E46"/>
    <w:rsid w:val="001960AF"/>
    <w:rsid w:val="00196178"/>
    <w:rsid w:val="001963E7"/>
    <w:rsid w:val="00196552"/>
    <w:rsid w:val="00196775"/>
    <w:rsid w:val="00196D73"/>
    <w:rsid w:val="00196DB6"/>
    <w:rsid w:val="00196E59"/>
    <w:rsid w:val="001970F1"/>
    <w:rsid w:val="001974B0"/>
    <w:rsid w:val="00197542"/>
    <w:rsid w:val="00197579"/>
    <w:rsid w:val="00197771"/>
    <w:rsid w:val="00197DAF"/>
    <w:rsid w:val="00197EE4"/>
    <w:rsid w:val="001A01FF"/>
    <w:rsid w:val="001A0370"/>
    <w:rsid w:val="001A0415"/>
    <w:rsid w:val="001A087B"/>
    <w:rsid w:val="001A0BDB"/>
    <w:rsid w:val="001A0FDC"/>
    <w:rsid w:val="001A10D7"/>
    <w:rsid w:val="001A15D7"/>
    <w:rsid w:val="001A178A"/>
    <w:rsid w:val="001A17FB"/>
    <w:rsid w:val="001A1897"/>
    <w:rsid w:val="001A1A3C"/>
    <w:rsid w:val="001A1C19"/>
    <w:rsid w:val="001A1CE8"/>
    <w:rsid w:val="001A21C9"/>
    <w:rsid w:val="001A228D"/>
    <w:rsid w:val="001A22F8"/>
    <w:rsid w:val="001A2C93"/>
    <w:rsid w:val="001A2D4B"/>
    <w:rsid w:val="001A2E24"/>
    <w:rsid w:val="001A3B06"/>
    <w:rsid w:val="001A3B4D"/>
    <w:rsid w:val="001A3B5C"/>
    <w:rsid w:val="001A3C50"/>
    <w:rsid w:val="001A3E5C"/>
    <w:rsid w:val="001A405D"/>
    <w:rsid w:val="001A4069"/>
    <w:rsid w:val="001A41C9"/>
    <w:rsid w:val="001A43D4"/>
    <w:rsid w:val="001A4CA2"/>
    <w:rsid w:val="001A4CA3"/>
    <w:rsid w:val="001A4DE9"/>
    <w:rsid w:val="001A50C6"/>
    <w:rsid w:val="001A52D4"/>
    <w:rsid w:val="001A5351"/>
    <w:rsid w:val="001A5698"/>
    <w:rsid w:val="001A5C3A"/>
    <w:rsid w:val="001A5C57"/>
    <w:rsid w:val="001A5DE7"/>
    <w:rsid w:val="001A60F1"/>
    <w:rsid w:val="001A6852"/>
    <w:rsid w:val="001A6DEC"/>
    <w:rsid w:val="001A6E00"/>
    <w:rsid w:val="001A6EA6"/>
    <w:rsid w:val="001A7224"/>
    <w:rsid w:val="001A761C"/>
    <w:rsid w:val="001A77C6"/>
    <w:rsid w:val="001B0A7C"/>
    <w:rsid w:val="001B0F9D"/>
    <w:rsid w:val="001B0FFD"/>
    <w:rsid w:val="001B1512"/>
    <w:rsid w:val="001B198F"/>
    <w:rsid w:val="001B1CC5"/>
    <w:rsid w:val="001B1EC7"/>
    <w:rsid w:val="001B1EFB"/>
    <w:rsid w:val="001B2098"/>
    <w:rsid w:val="001B219F"/>
    <w:rsid w:val="001B23B3"/>
    <w:rsid w:val="001B2488"/>
    <w:rsid w:val="001B26C6"/>
    <w:rsid w:val="001B2A1A"/>
    <w:rsid w:val="001B3068"/>
    <w:rsid w:val="001B36FA"/>
    <w:rsid w:val="001B38FC"/>
    <w:rsid w:val="001B4087"/>
    <w:rsid w:val="001B49E4"/>
    <w:rsid w:val="001B49EA"/>
    <w:rsid w:val="001B4C00"/>
    <w:rsid w:val="001B4CB0"/>
    <w:rsid w:val="001B502E"/>
    <w:rsid w:val="001B503E"/>
    <w:rsid w:val="001B51C6"/>
    <w:rsid w:val="001B5853"/>
    <w:rsid w:val="001B5EA5"/>
    <w:rsid w:val="001B5EC2"/>
    <w:rsid w:val="001B610A"/>
    <w:rsid w:val="001B693A"/>
    <w:rsid w:val="001B6C1F"/>
    <w:rsid w:val="001B6CF1"/>
    <w:rsid w:val="001B6D33"/>
    <w:rsid w:val="001B6D64"/>
    <w:rsid w:val="001B6DA2"/>
    <w:rsid w:val="001B7132"/>
    <w:rsid w:val="001B74DE"/>
    <w:rsid w:val="001B77E4"/>
    <w:rsid w:val="001B7C70"/>
    <w:rsid w:val="001B7CAC"/>
    <w:rsid w:val="001C02DA"/>
    <w:rsid w:val="001C0C3D"/>
    <w:rsid w:val="001C0D0B"/>
    <w:rsid w:val="001C12BA"/>
    <w:rsid w:val="001C131F"/>
    <w:rsid w:val="001C1A8D"/>
    <w:rsid w:val="001C1C3A"/>
    <w:rsid w:val="001C222B"/>
    <w:rsid w:val="001C23FC"/>
    <w:rsid w:val="001C2627"/>
    <w:rsid w:val="001C2646"/>
    <w:rsid w:val="001C2A8F"/>
    <w:rsid w:val="001C2BA6"/>
    <w:rsid w:val="001C3230"/>
    <w:rsid w:val="001C33E5"/>
    <w:rsid w:val="001C3459"/>
    <w:rsid w:val="001C346C"/>
    <w:rsid w:val="001C35C3"/>
    <w:rsid w:val="001C3A22"/>
    <w:rsid w:val="001C3C16"/>
    <w:rsid w:val="001C4075"/>
    <w:rsid w:val="001C44C1"/>
    <w:rsid w:val="001C4B85"/>
    <w:rsid w:val="001C4C4B"/>
    <w:rsid w:val="001C4F74"/>
    <w:rsid w:val="001C52C0"/>
    <w:rsid w:val="001C5461"/>
    <w:rsid w:val="001C56FB"/>
    <w:rsid w:val="001C5A1A"/>
    <w:rsid w:val="001C5CAB"/>
    <w:rsid w:val="001C5E11"/>
    <w:rsid w:val="001C5EAA"/>
    <w:rsid w:val="001C5F83"/>
    <w:rsid w:val="001C6071"/>
    <w:rsid w:val="001C6525"/>
    <w:rsid w:val="001C6539"/>
    <w:rsid w:val="001C6602"/>
    <w:rsid w:val="001C67F2"/>
    <w:rsid w:val="001C6E01"/>
    <w:rsid w:val="001C744F"/>
    <w:rsid w:val="001C77E9"/>
    <w:rsid w:val="001C78E4"/>
    <w:rsid w:val="001C7C68"/>
    <w:rsid w:val="001C7D4C"/>
    <w:rsid w:val="001D0011"/>
    <w:rsid w:val="001D0B35"/>
    <w:rsid w:val="001D0C7B"/>
    <w:rsid w:val="001D0EBB"/>
    <w:rsid w:val="001D0FD4"/>
    <w:rsid w:val="001D0FE5"/>
    <w:rsid w:val="001D1116"/>
    <w:rsid w:val="001D12BF"/>
    <w:rsid w:val="001D1454"/>
    <w:rsid w:val="001D154F"/>
    <w:rsid w:val="001D1962"/>
    <w:rsid w:val="001D1A6D"/>
    <w:rsid w:val="001D1B9C"/>
    <w:rsid w:val="001D208E"/>
    <w:rsid w:val="001D22F5"/>
    <w:rsid w:val="001D2967"/>
    <w:rsid w:val="001D30EE"/>
    <w:rsid w:val="001D3508"/>
    <w:rsid w:val="001D3684"/>
    <w:rsid w:val="001D3BFC"/>
    <w:rsid w:val="001D3CD2"/>
    <w:rsid w:val="001D3DA5"/>
    <w:rsid w:val="001D3DF1"/>
    <w:rsid w:val="001D3F84"/>
    <w:rsid w:val="001D4A3E"/>
    <w:rsid w:val="001D4D11"/>
    <w:rsid w:val="001D4D3D"/>
    <w:rsid w:val="001D4E4F"/>
    <w:rsid w:val="001D5098"/>
    <w:rsid w:val="001D545B"/>
    <w:rsid w:val="001D5556"/>
    <w:rsid w:val="001D55CD"/>
    <w:rsid w:val="001D5776"/>
    <w:rsid w:val="001D58F5"/>
    <w:rsid w:val="001D591F"/>
    <w:rsid w:val="001D5A4B"/>
    <w:rsid w:val="001D60CA"/>
    <w:rsid w:val="001D6217"/>
    <w:rsid w:val="001D6265"/>
    <w:rsid w:val="001D62F2"/>
    <w:rsid w:val="001D63DA"/>
    <w:rsid w:val="001D6512"/>
    <w:rsid w:val="001D6796"/>
    <w:rsid w:val="001D6E49"/>
    <w:rsid w:val="001D7232"/>
    <w:rsid w:val="001D7570"/>
    <w:rsid w:val="001D7631"/>
    <w:rsid w:val="001D7722"/>
    <w:rsid w:val="001D7A84"/>
    <w:rsid w:val="001D7B48"/>
    <w:rsid w:val="001D7BA4"/>
    <w:rsid w:val="001D7D9D"/>
    <w:rsid w:val="001D7E77"/>
    <w:rsid w:val="001E0064"/>
    <w:rsid w:val="001E0749"/>
    <w:rsid w:val="001E0A0D"/>
    <w:rsid w:val="001E0A61"/>
    <w:rsid w:val="001E0ABF"/>
    <w:rsid w:val="001E0B5E"/>
    <w:rsid w:val="001E0D5F"/>
    <w:rsid w:val="001E1748"/>
    <w:rsid w:val="001E1BB0"/>
    <w:rsid w:val="001E1C49"/>
    <w:rsid w:val="001E2446"/>
    <w:rsid w:val="001E2D29"/>
    <w:rsid w:val="001E2E14"/>
    <w:rsid w:val="001E3129"/>
    <w:rsid w:val="001E32D6"/>
    <w:rsid w:val="001E33B4"/>
    <w:rsid w:val="001E3E60"/>
    <w:rsid w:val="001E419F"/>
    <w:rsid w:val="001E422F"/>
    <w:rsid w:val="001E4344"/>
    <w:rsid w:val="001E437B"/>
    <w:rsid w:val="001E453A"/>
    <w:rsid w:val="001E4D3F"/>
    <w:rsid w:val="001E4DF8"/>
    <w:rsid w:val="001E4E97"/>
    <w:rsid w:val="001E4F8D"/>
    <w:rsid w:val="001E563B"/>
    <w:rsid w:val="001E57A9"/>
    <w:rsid w:val="001E5B85"/>
    <w:rsid w:val="001E62E5"/>
    <w:rsid w:val="001E64F9"/>
    <w:rsid w:val="001E6962"/>
    <w:rsid w:val="001E6CF9"/>
    <w:rsid w:val="001E6F19"/>
    <w:rsid w:val="001E6F63"/>
    <w:rsid w:val="001E71E6"/>
    <w:rsid w:val="001E74C9"/>
    <w:rsid w:val="001E787D"/>
    <w:rsid w:val="001E791B"/>
    <w:rsid w:val="001E79BA"/>
    <w:rsid w:val="001E7E83"/>
    <w:rsid w:val="001F0006"/>
    <w:rsid w:val="001F0296"/>
    <w:rsid w:val="001F0DE8"/>
    <w:rsid w:val="001F0F65"/>
    <w:rsid w:val="001F1056"/>
    <w:rsid w:val="001F11FC"/>
    <w:rsid w:val="001F1207"/>
    <w:rsid w:val="001F12AE"/>
    <w:rsid w:val="001F186E"/>
    <w:rsid w:val="001F1DC7"/>
    <w:rsid w:val="001F1F09"/>
    <w:rsid w:val="001F2268"/>
    <w:rsid w:val="001F2764"/>
    <w:rsid w:val="001F27CB"/>
    <w:rsid w:val="001F27DC"/>
    <w:rsid w:val="001F2B12"/>
    <w:rsid w:val="001F2CE1"/>
    <w:rsid w:val="001F2FE2"/>
    <w:rsid w:val="001F3502"/>
    <w:rsid w:val="001F353A"/>
    <w:rsid w:val="001F36B8"/>
    <w:rsid w:val="001F3857"/>
    <w:rsid w:val="001F3A7C"/>
    <w:rsid w:val="001F3D28"/>
    <w:rsid w:val="001F3D80"/>
    <w:rsid w:val="001F45DE"/>
    <w:rsid w:val="001F4AE6"/>
    <w:rsid w:val="001F4E5E"/>
    <w:rsid w:val="001F552E"/>
    <w:rsid w:val="001F557E"/>
    <w:rsid w:val="001F5A30"/>
    <w:rsid w:val="001F5B31"/>
    <w:rsid w:val="001F5D07"/>
    <w:rsid w:val="001F60F8"/>
    <w:rsid w:val="001F62BD"/>
    <w:rsid w:val="001F6809"/>
    <w:rsid w:val="001F713B"/>
    <w:rsid w:val="001F768B"/>
    <w:rsid w:val="001F76DC"/>
    <w:rsid w:val="001F76EB"/>
    <w:rsid w:val="001F786D"/>
    <w:rsid w:val="001F7CCC"/>
    <w:rsid w:val="001F7D6F"/>
    <w:rsid w:val="001F7F83"/>
    <w:rsid w:val="00200042"/>
    <w:rsid w:val="0020074D"/>
    <w:rsid w:val="00200CD6"/>
    <w:rsid w:val="00200EB6"/>
    <w:rsid w:val="0020116D"/>
    <w:rsid w:val="002012AC"/>
    <w:rsid w:val="00201C3D"/>
    <w:rsid w:val="00201D85"/>
    <w:rsid w:val="002020FF"/>
    <w:rsid w:val="00202100"/>
    <w:rsid w:val="00202407"/>
    <w:rsid w:val="00202945"/>
    <w:rsid w:val="00202B38"/>
    <w:rsid w:val="00202CF6"/>
    <w:rsid w:val="0020364F"/>
    <w:rsid w:val="0020383C"/>
    <w:rsid w:val="00203B13"/>
    <w:rsid w:val="00203DA3"/>
    <w:rsid w:val="00203FA0"/>
    <w:rsid w:val="00203FB3"/>
    <w:rsid w:val="002043CA"/>
    <w:rsid w:val="00204574"/>
    <w:rsid w:val="0020476F"/>
    <w:rsid w:val="00204B11"/>
    <w:rsid w:val="00204CC8"/>
    <w:rsid w:val="00205953"/>
    <w:rsid w:val="00205BEB"/>
    <w:rsid w:val="00205BED"/>
    <w:rsid w:val="00206100"/>
    <w:rsid w:val="002061B8"/>
    <w:rsid w:val="00207021"/>
    <w:rsid w:val="0020710E"/>
    <w:rsid w:val="002074E7"/>
    <w:rsid w:val="00207717"/>
    <w:rsid w:val="00207723"/>
    <w:rsid w:val="00207CD1"/>
    <w:rsid w:val="00207F87"/>
    <w:rsid w:val="002102C4"/>
    <w:rsid w:val="002109ED"/>
    <w:rsid w:val="00210C28"/>
    <w:rsid w:val="0021111A"/>
    <w:rsid w:val="0021162E"/>
    <w:rsid w:val="0021171F"/>
    <w:rsid w:val="00211789"/>
    <w:rsid w:val="002119CE"/>
    <w:rsid w:val="00211AA6"/>
    <w:rsid w:val="00211B59"/>
    <w:rsid w:val="002122C8"/>
    <w:rsid w:val="00212335"/>
    <w:rsid w:val="0021236D"/>
    <w:rsid w:val="002123C1"/>
    <w:rsid w:val="00212423"/>
    <w:rsid w:val="002125A6"/>
    <w:rsid w:val="00212614"/>
    <w:rsid w:val="0021263A"/>
    <w:rsid w:val="002127A0"/>
    <w:rsid w:val="00212DF3"/>
    <w:rsid w:val="0021321F"/>
    <w:rsid w:val="0021326D"/>
    <w:rsid w:val="00213770"/>
    <w:rsid w:val="00213BDF"/>
    <w:rsid w:val="00213BF7"/>
    <w:rsid w:val="00213EDB"/>
    <w:rsid w:val="002140F3"/>
    <w:rsid w:val="0021414E"/>
    <w:rsid w:val="00214853"/>
    <w:rsid w:val="00214C1C"/>
    <w:rsid w:val="00214E4E"/>
    <w:rsid w:val="00215082"/>
    <w:rsid w:val="002151C7"/>
    <w:rsid w:val="002152BD"/>
    <w:rsid w:val="00215439"/>
    <w:rsid w:val="00215551"/>
    <w:rsid w:val="00215C7A"/>
    <w:rsid w:val="0021657A"/>
    <w:rsid w:val="00216951"/>
    <w:rsid w:val="00216AA0"/>
    <w:rsid w:val="00216B0A"/>
    <w:rsid w:val="00216C15"/>
    <w:rsid w:val="00216CC0"/>
    <w:rsid w:val="00216ED4"/>
    <w:rsid w:val="00216EF0"/>
    <w:rsid w:val="002172EC"/>
    <w:rsid w:val="0021730D"/>
    <w:rsid w:val="002175CC"/>
    <w:rsid w:val="00217776"/>
    <w:rsid w:val="002177C6"/>
    <w:rsid w:val="00217CD3"/>
    <w:rsid w:val="00217EF4"/>
    <w:rsid w:val="002200C0"/>
    <w:rsid w:val="0022056B"/>
    <w:rsid w:val="00220C50"/>
    <w:rsid w:val="00220C57"/>
    <w:rsid w:val="00220F02"/>
    <w:rsid w:val="0022146C"/>
    <w:rsid w:val="00221572"/>
    <w:rsid w:val="0022188C"/>
    <w:rsid w:val="002218C0"/>
    <w:rsid w:val="00221D24"/>
    <w:rsid w:val="00221F58"/>
    <w:rsid w:val="00221FDC"/>
    <w:rsid w:val="002221F1"/>
    <w:rsid w:val="002222AB"/>
    <w:rsid w:val="00222346"/>
    <w:rsid w:val="002225B1"/>
    <w:rsid w:val="00222609"/>
    <w:rsid w:val="00222797"/>
    <w:rsid w:val="00222871"/>
    <w:rsid w:val="00222B22"/>
    <w:rsid w:val="00222C91"/>
    <w:rsid w:val="00222E25"/>
    <w:rsid w:val="00222F81"/>
    <w:rsid w:val="0022338D"/>
    <w:rsid w:val="002235AD"/>
    <w:rsid w:val="0022365D"/>
    <w:rsid w:val="002236F2"/>
    <w:rsid w:val="00223B91"/>
    <w:rsid w:val="0022433A"/>
    <w:rsid w:val="002247FA"/>
    <w:rsid w:val="0022497D"/>
    <w:rsid w:val="00224ABF"/>
    <w:rsid w:val="00224D83"/>
    <w:rsid w:val="00225061"/>
    <w:rsid w:val="0022512A"/>
    <w:rsid w:val="00225344"/>
    <w:rsid w:val="00225748"/>
    <w:rsid w:val="00225F55"/>
    <w:rsid w:val="002261B1"/>
    <w:rsid w:val="002265AA"/>
    <w:rsid w:val="00226B3B"/>
    <w:rsid w:val="00226E9F"/>
    <w:rsid w:val="00226F7C"/>
    <w:rsid w:val="00227FBE"/>
    <w:rsid w:val="00230370"/>
    <w:rsid w:val="002304CF"/>
    <w:rsid w:val="00230531"/>
    <w:rsid w:val="00230894"/>
    <w:rsid w:val="00230BBB"/>
    <w:rsid w:val="00230DC6"/>
    <w:rsid w:val="00230E4E"/>
    <w:rsid w:val="00231078"/>
    <w:rsid w:val="0023117C"/>
    <w:rsid w:val="0023120C"/>
    <w:rsid w:val="002313A8"/>
    <w:rsid w:val="00231541"/>
    <w:rsid w:val="002315AC"/>
    <w:rsid w:val="00231B94"/>
    <w:rsid w:val="00232279"/>
    <w:rsid w:val="0023246F"/>
    <w:rsid w:val="00232772"/>
    <w:rsid w:val="00232DD9"/>
    <w:rsid w:val="00232EBB"/>
    <w:rsid w:val="00232F00"/>
    <w:rsid w:val="00233164"/>
    <w:rsid w:val="00233421"/>
    <w:rsid w:val="00233429"/>
    <w:rsid w:val="002334E2"/>
    <w:rsid w:val="002335D5"/>
    <w:rsid w:val="002335EE"/>
    <w:rsid w:val="00233967"/>
    <w:rsid w:val="00233B8E"/>
    <w:rsid w:val="00233D42"/>
    <w:rsid w:val="00233DCB"/>
    <w:rsid w:val="00233FFD"/>
    <w:rsid w:val="002343B7"/>
    <w:rsid w:val="0023447B"/>
    <w:rsid w:val="002346C1"/>
    <w:rsid w:val="0023491E"/>
    <w:rsid w:val="00234B1C"/>
    <w:rsid w:val="002352AF"/>
    <w:rsid w:val="00235448"/>
    <w:rsid w:val="002354F0"/>
    <w:rsid w:val="00236209"/>
    <w:rsid w:val="0023632A"/>
    <w:rsid w:val="002363FD"/>
    <w:rsid w:val="002365B6"/>
    <w:rsid w:val="00237038"/>
    <w:rsid w:val="00237404"/>
    <w:rsid w:val="002375B3"/>
    <w:rsid w:val="00237D91"/>
    <w:rsid w:val="00237ED9"/>
    <w:rsid w:val="00240048"/>
    <w:rsid w:val="00240240"/>
    <w:rsid w:val="00240261"/>
    <w:rsid w:val="00240376"/>
    <w:rsid w:val="00240936"/>
    <w:rsid w:val="00240E3E"/>
    <w:rsid w:val="00240EB3"/>
    <w:rsid w:val="00241091"/>
    <w:rsid w:val="00241184"/>
    <w:rsid w:val="002414BB"/>
    <w:rsid w:val="002415B2"/>
    <w:rsid w:val="002416D0"/>
    <w:rsid w:val="002419BA"/>
    <w:rsid w:val="00241C87"/>
    <w:rsid w:val="00241FC4"/>
    <w:rsid w:val="00241FF9"/>
    <w:rsid w:val="00242137"/>
    <w:rsid w:val="002426B5"/>
    <w:rsid w:val="00242950"/>
    <w:rsid w:val="00242EA6"/>
    <w:rsid w:val="00242F2A"/>
    <w:rsid w:val="002433BF"/>
    <w:rsid w:val="002433C5"/>
    <w:rsid w:val="00243531"/>
    <w:rsid w:val="0024395B"/>
    <w:rsid w:val="00243DBC"/>
    <w:rsid w:val="00243DBD"/>
    <w:rsid w:val="00243F7C"/>
    <w:rsid w:val="0024463D"/>
    <w:rsid w:val="0024474C"/>
    <w:rsid w:val="00244965"/>
    <w:rsid w:val="00244A72"/>
    <w:rsid w:val="00244DF5"/>
    <w:rsid w:val="00244F99"/>
    <w:rsid w:val="00245253"/>
    <w:rsid w:val="00245456"/>
    <w:rsid w:val="00245866"/>
    <w:rsid w:val="00246173"/>
    <w:rsid w:val="002465F1"/>
    <w:rsid w:val="002465FC"/>
    <w:rsid w:val="0024663C"/>
    <w:rsid w:val="00246AE6"/>
    <w:rsid w:val="00246C02"/>
    <w:rsid w:val="00246C99"/>
    <w:rsid w:val="0024703A"/>
    <w:rsid w:val="002474F9"/>
    <w:rsid w:val="002476B8"/>
    <w:rsid w:val="00247792"/>
    <w:rsid w:val="00250017"/>
    <w:rsid w:val="00250111"/>
    <w:rsid w:val="002508A5"/>
    <w:rsid w:val="00250939"/>
    <w:rsid w:val="00250E13"/>
    <w:rsid w:val="00251099"/>
    <w:rsid w:val="0025160B"/>
    <w:rsid w:val="00251DDC"/>
    <w:rsid w:val="00252620"/>
    <w:rsid w:val="002527CA"/>
    <w:rsid w:val="0025284E"/>
    <w:rsid w:val="00252B28"/>
    <w:rsid w:val="00252FF6"/>
    <w:rsid w:val="00253291"/>
    <w:rsid w:val="002535FA"/>
    <w:rsid w:val="002536FC"/>
    <w:rsid w:val="002538B5"/>
    <w:rsid w:val="00253AE4"/>
    <w:rsid w:val="0025409F"/>
    <w:rsid w:val="002547B7"/>
    <w:rsid w:val="00254C6B"/>
    <w:rsid w:val="00254C84"/>
    <w:rsid w:val="0025501D"/>
    <w:rsid w:val="00255323"/>
    <w:rsid w:val="0025574D"/>
    <w:rsid w:val="00255926"/>
    <w:rsid w:val="002559CD"/>
    <w:rsid w:val="00255CA5"/>
    <w:rsid w:val="00256031"/>
    <w:rsid w:val="0025613F"/>
    <w:rsid w:val="00256258"/>
    <w:rsid w:val="00256728"/>
    <w:rsid w:val="002568B8"/>
    <w:rsid w:val="00256B28"/>
    <w:rsid w:val="00256BC8"/>
    <w:rsid w:val="00256F4F"/>
    <w:rsid w:val="0025782B"/>
    <w:rsid w:val="00257905"/>
    <w:rsid w:val="0026031E"/>
    <w:rsid w:val="002603E3"/>
    <w:rsid w:val="0026041A"/>
    <w:rsid w:val="0026043C"/>
    <w:rsid w:val="002607BE"/>
    <w:rsid w:val="002607E0"/>
    <w:rsid w:val="00260DAB"/>
    <w:rsid w:val="00261123"/>
    <w:rsid w:val="00261492"/>
    <w:rsid w:val="00261596"/>
    <w:rsid w:val="0026260D"/>
    <w:rsid w:val="0026296F"/>
    <w:rsid w:val="00262A9E"/>
    <w:rsid w:val="00262E53"/>
    <w:rsid w:val="00262F3E"/>
    <w:rsid w:val="00262FC6"/>
    <w:rsid w:val="00262FE6"/>
    <w:rsid w:val="00262FF9"/>
    <w:rsid w:val="0026328D"/>
    <w:rsid w:val="002633C0"/>
    <w:rsid w:val="00263400"/>
    <w:rsid w:val="0026380C"/>
    <w:rsid w:val="002638EB"/>
    <w:rsid w:val="00263F25"/>
    <w:rsid w:val="002640DD"/>
    <w:rsid w:val="002647A5"/>
    <w:rsid w:val="00264841"/>
    <w:rsid w:val="002648D6"/>
    <w:rsid w:val="00264931"/>
    <w:rsid w:val="00264B37"/>
    <w:rsid w:val="00264F6A"/>
    <w:rsid w:val="00265061"/>
    <w:rsid w:val="00265155"/>
    <w:rsid w:val="00265FD2"/>
    <w:rsid w:val="0026661F"/>
    <w:rsid w:val="002669CB"/>
    <w:rsid w:val="0026708C"/>
    <w:rsid w:val="00267147"/>
    <w:rsid w:val="00267165"/>
    <w:rsid w:val="002672A4"/>
    <w:rsid w:val="002672B0"/>
    <w:rsid w:val="002672EF"/>
    <w:rsid w:val="00267700"/>
    <w:rsid w:val="002679B1"/>
    <w:rsid w:val="00267A95"/>
    <w:rsid w:val="0027004A"/>
    <w:rsid w:val="0027019F"/>
    <w:rsid w:val="002701DA"/>
    <w:rsid w:val="00270365"/>
    <w:rsid w:val="0027063E"/>
    <w:rsid w:val="002709BA"/>
    <w:rsid w:val="00270B17"/>
    <w:rsid w:val="00270CC1"/>
    <w:rsid w:val="00270FF1"/>
    <w:rsid w:val="00271032"/>
    <w:rsid w:val="002710EC"/>
    <w:rsid w:val="002710FB"/>
    <w:rsid w:val="002715CD"/>
    <w:rsid w:val="002717E1"/>
    <w:rsid w:val="002719DB"/>
    <w:rsid w:val="00271A28"/>
    <w:rsid w:val="00271B73"/>
    <w:rsid w:val="00271BC4"/>
    <w:rsid w:val="00271DD7"/>
    <w:rsid w:val="00272009"/>
    <w:rsid w:val="00272158"/>
    <w:rsid w:val="002722C9"/>
    <w:rsid w:val="002725D3"/>
    <w:rsid w:val="0027275F"/>
    <w:rsid w:val="00272A58"/>
    <w:rsid w:val="00272DFE"/>
    <w:rsid w:val="00272E16"/>
    <w:rsid w:val="00272F75"/>
    <w:rsid w:val="00272FDB"/>
    <w:rsid w:val="002733B0"/>
    <w:rsid w:val="00273775"/>
    <w:rsid w:val="002737C1"/>
    <w:rsid w:val="00273802"/>
    <w:rsid w:val="00273CE6"/>
    <w:rsid w:val="00273ECF"/>
    <w:rsid w:val="002741DF"/>
    <w:rsid w:val="002743AB"/>
    <w:rsid w:val="0027444A"/>
    <w:rsid w:val="002744E3"/>
    <w:rsid w:val="00274713"/>
    <w:rsid w:val="00274781"/>
    <w:rsid w:val="00274CD9"/>
    <w:rsid w:val="00275301"/>
    <w:rsid w:val="00275A1B"/>
    <w:rsid w:val="00275C3B"/>
    <w:rsid w:val="00275D8E"/>
    <w:rsid w:val="00275D95"/>
    <w:rsid w:val="00275F16"/>
    <w:rsid w:val="00275FA9"/>
    <w:rsid w:val="002760B4"/>
    <w:rsid w:val="0027610E"/>
    <w:rsid w:val="002763A2"/>
    <w:rsid w:val="00276C09"/>
    <w:rsid w:val="00276E68"/>
    <w:rsid w:val="00277134"/>
    <w:rsid w:val="002774D2"/>
    <w:rsid w:val="002776C2"/>
    <w:rsid w:val="002778F9"/>
    <w:rsid w:val="0028040C"/>
    <w:rsid w:val="002804BD"/>
    <w:rsid w:val="002804E7"/>
    <w:rsid w:val="00280A39"/>
    <w:rsid w:val="00280B46"/>
    <w:rsid w:val="00280F1A"/>
    <w:rsid w:val="00280F28"/>
    <w:rsid w:val="00280F53"/>
    <w:rsid w:val="002810F6"/>
    <w:rsid w:val="0028127D"/>
    <w:rsid w:val="002813E0"/>
    <w:rsid w:val="002813ED"/>
    <w:rsid w:val="00281697"/>
    <w:rsid w:val="00281811"/>
    <w:rsid w:val="00281879"/>
    <w:rsid w:val="00282143"/>
    <w:rsid w:val="00282717"/>
    <w:rsid w:val="002832DE"/>
    <w:rsid w:val="00283424"/>
    <w:rsid w:val="002835E3"/>
    <w:rsid w:val="00283709"/>
    <w:rsid w:val="00283869"/>
    <w:rsid w:val="0028389A"/>
    <w:rsid w:val="00283A48"/>
    <w:rsid w:val="00283B7C"/>
    <w:rsid w:val="00283CE1"/>
    <w:rsid w:val="002844C7"/>
    <w:rsid w:val="0028450F"/>
    <w:rsid w:val="0028452D"/>
    <w:rsid w:val="00284AB3"/>
    <w:rsid w:val="00284B66"/>
    <w:rsid w:val="00284D17"/>
    <w:rsid w:val="00284D6E"/>
    <w:rsid w:val="00284F8A"/>
    <w:rsid w:val="0028506B"/>
    <w:rsid w:val="00285369"/>
    <w:rsid w:val="002855C5"/>
    <w:rsid w:val="00285C6B"/>
    <w:rsid w:val="00285D40"/>
    <w:rsid w:val="00285DB2"/>
    <w:rsid w:val="00285F95"/>
    <w:rsid w:val="002860D7"/>
    <w:rsid w:val="002864C1"/>
    <w:rsid w:val="002865B9"/>
    <w:rsid w:val="00286779"/>
    <w:rsid w:val="00286B6E"/>
    <w:rsid w:val="00286C41"/>
    <w:rsid w:val="00286D0F"/>
    <w:rsid w:val="00286DBE"/>
    <w:rsid w:val="002871D2"/>
    <w:rsid w:val="00287604"/>
    <w:rsid w:val="00287848"/>
    <w:rsid w:val="00287A35"/>
    <w:rsid w:val="00287A71"/>
    <w:rsid w:val="00287BFF"/>
    <w:rsid w:val="00287CCA"/>
    <w:rsid w:val="00287FAB"/>
    <w:rsid w:val="00287FD8"/>
    <w:rsid w:val="002913B7"/>
    <w:rsid w:val="0029195F"/>
    <w:rsid w:val="00291FCC"/>
    <w:rsid w:val="002926E7"/>
    <w:rsid w:val="00292A3B"/>
    <w:rsid w:val="00293160"/>
    <w:rsid w:val="00293177"/>
    <w:rsid w:val="00293228"/>
    <w:rsid w:val="00293326"/>
    <w:rsid w:val="00293770"/>
    <w:rsid w:val="00293ABC"/>
    <w:rsid w:val="00293AC9"/>
    <w:rsid w:val="00293C61"/>
    <w:rsid w:val="00293DB7"/>
    <w:rsid w:val="00293F99"/>
    <w:rsid w:val="0029465A"/>
    <w:rsid w:val="00294670"/>
    <w:rsid w:val="002948C2"/>
    <w:rsid w:val="00294B1A"/>
    <w:rsid w:val="00294FEE"/>
    <w:rsid w:val="002951F9"/>
    <w:rsid w:val="00295C0E"/>
    <w:rsid w:val="00295C41"/>
    <w:rsid w:val="00295DE6"/>
    <w:rsid w:val="00295E2B"/>
    <w:rsid w:val="00296290"/>
    <w:rsid w:val="002964B6"/>
    <w:rsid w:val="002972CD"/>
    <w:rsid w:val="002977DA"/>
    <w:rsid w:val="00297A8D"/>
    <w:rsid w:val="00297B78"/>
    <w:rsid w:val="00297C12"/>
    <w:rsid w:val="00297D82"/>
    <w:rsid w:val="002A044C"/>
    <w:rsid w:val="002A04BC"/>
    <w:rsid w:val="002A0BFD"/>
    <w:rsid w:val="002A0D23"/>
    <w:rsid w:val="002A1017"/>
    <w:rsid w:val="002A111C"/>
    <w:rsid w:val="002A11B4"/>
    <w:rsid w:val="002A1642"/>
    <w:rsid w:val="002A17A3"/>
    <w:rsid w:val="002A18D0"/>
    <w:rsid w:val="002A1908"/>
    <w:rsid w:val="002A2780"/>
    <w:rsid w:val="002A2916"/>
    <w:rsid w:val="002A2936"/>
    <w:rsid w:val="002A295C"/>
    <w:rsid w:val="002A298A"/>
    <w:rsid w:val="002A2F6E"/>
    <w:rsid w:val="002A3058"/>
    <w:rsid w:val="002A31DC"/>
    <w:rsid w:val="002A375B"/>
    <w:rsid w:val="002A38C1"/>
    <w:rsid w:val="002A3AA7"/>
    <w:rsid w:val="002A3E4A"/>
    <w:rsid w:val="002A3F49"/>
    <w:rsid w:val="002A4146"/>
    <w:rsid w:val="002A4526"/>
    <w:rsid w:val="002A4556"/>
    <w:rsid w:val="002A488E"/>
    <w:rsid w:val="002A4C58"/>
    <w:rsid w:val="002A50DA"/>
    <w:rsid w:val="002A5780"/>
    <w:rsid w:val="002A58A9"/>
    <w:rsid w:val="002A5F20"/>
    <w:rsid w:val="002A602A"/>
    <w:rsid w:val="002A60D7"/>
    <w:rsid w:val="002A6221"/>
    <w:rsid w:val="002A649E"/>
    <w:rsid w:val="002A65C9"/>
    <w:rsid w:val="002A685B"/>
    <w:rsid w:val="002A692B"/>
    <w:rsid w:val="002A7090"/>
    <w:rsid w:val="002A71C9"/>
    <w:rsid w:val="002A73AF"/>
    <w:rsid w:val="002A7A67"/>
    <w:rsid w:val="002A7A87"/>
    <w:rsid w:val="002A7DEB"/>
    <w:rsid w:val="002B04C0"/>
    <w:rsid w:val="002B0B54"/>
    <w:rsid w:val="002B1420"/>
    <w:rsid w:val="002B1503"/>
    <w:rsid w:val="002B15CA"/>
    <w:rsid w:val="002B15F5"/>
    <w:rsid w:val="002B16F0"/>
    <w:rsid w:val="002B1832"/>
    <w:rsid w:val="002B196D"/>
    <w:rsid w:val="002B1B27"/>
    <w:rsid w:val="002B2B21"/>
    <w:rsid w:val="002B2BA9"/>
    <w:rsid w:val="002B2C17"/>
    <w:rsid w:val="002B3511"/>
    <w:rsid w:val="002B35F7"/>
    <w:rsid w:val="002B3837"/>
    <w:rsid w:val="002B3950"/>
    <w:rsid w:val="002B3A63"/>
    <w:rsid w:val="002B3B00"/>
    <w:rsid w:val="002B404B"/>
    <w:rsid w:val="002B43AD"/>
    <w:rsid w:val="002B4962"/>
    <w:rsid w:val="002B4B85"/>
    <w:rsid w:val="002B4CDB"/>
    <w:rsid w:val="002B4D72"/>
    <w:rsid w:val="002B4E49"/>
    <w:rsid w:val="002B51AA"/>
    <w:rsid w:val="002B5272"/>
    <w:rsid w:val="002B5703"/>
    <w:rsid w:val="002B58FA"/>
    <w:rsid w:val="002B5935"/>
    <w:rsid w:val="002B5DD6"/>
    <w:rsid w:val="002B6198"/>
    <w:rsid w:val="002B61E7"/>
    <w:rsid w:val="002B6330"/>
    <w:rsid w:val="002B6495"/>
    <w:rsid w:val="002B65EB"/>
    <w:rsid w:val="002B6855"/>
    <w:rsid w:val="002B68E0"/>
    <w:rsid w:val="002B6B76"/>
    <w:rsid w:val="002B6E37"/>
    <w:rsid w:val="002B6EA9"/>
    <w:rsid w:val="002B72EF"/>
    <w:rsid w:val="002B78DC"/>
    <w:rsid w:val="002B7C68"/>
    <w:rsid w:val="002B7D91"/>
    <w:rsid w:val="002C0286"/>
    <w:rsid w:val="002C0313"/>
    <w:rsid w:val="002C0384"/>
    <w:rsid w:val="002C0552"/>
    <w:rsid w:val="002C0871"/>
    <w:rsid w:val="002C11C0"/>
    <w:rsid w:val="002C123C"/>
    <w:rsid w:val="002C165B"/>
    <w:rsid w:val="002C1862"/>
    <w:rsid w:val="002C1B9C"/>
    <w:rsid w:val="002C2386"/>
    <w:rsid w:val="002C25EF"/>
    <w:rsid w:val="002C277E"/>
    <w:rsid w:val="002C31AA"/>
    <w:rsid w:val="002C3740"/>
    <w:rsid w:val="002C3A6C"/>
    <w:rsid w:val="002C3EDC"/>
    <w:rsid w:val="002C40E1"/>
    <w:rsid w:val="002C42F0"/>
    <w:rsid w:val="002C4A04"/>
    <w:rsid w:val="002C51E6"/>
    <w:rsid w:val="002C5730"/>
    <w:rsid w:val="002C58E3"/>
    <w:rsid w:val="002C5934"/>
    <w:rsid w:val="002C5969"/>
    <w:rsid w:val="002C5F68"/>
    <w:rsid w:val="002C6412"/>
    <w:rsid w:val="002C64EE"/>
    <w:rsid w:val="002C6860"/>
    <w:rsid w:val="002C69FA"/>
    <w:rsid w:val="002C6A05"/>
    <w:rsid w:val="002C6B58"/>
    <w:rsid w:val="002C6ED6"/>
    <w:rsid w:val="002C71ED"/>
    <w:rsid w:val="002C72AC"/>
    <w:rsid w:val="002C752A"/>
    <w:rsid w:val="002C7C5C"/>
    <w:rsid w:val="002C7E5A"/>
    <w:rsid w:val="002C7EF3"/>
    <w:rsid w:val="002D0369"/>
    <w:rsid w:val="002D0503"/>
    <w:rsid w:val="002D0611"/>
    <w:rsid w:val="002D0A2A"/>
    <w:rsid w:val="002D0F36"/>
    <w:rsid w:val="002D1FB0"/>
    <w:rsid w:val="002D217E"/>
    <w:rsid w:val="002D240F"/>
    <w:rsid w:val="002D25D6"/>
    <w:rsid w:val="002D2711"/>
    <w:rsid w:val="002D298A"/>
    <w:rsid w:val="002D2A0D"/>
    <w:rsid w:val="002D2DEA"/>
    <w:rsid w:val="002D3024"/>
    <w:rsid w:val="002D319E"/>
    <w:rsid w:val="002D34A2"/>
    <w:rsid w:val="002D3552"/>
    <w:rsid w:val="002D39D0"/>
    <w:rsid w:val="002D3AC8"/>
    <w:rsid w:val="002D3B54"/>
    <w:rsid w:val="002D3CC4"/>
    <w:rsid w:val="002D3FE6"/>
    <w:rsid w:val="002D50E3"/>
    <w:rsid w:val="002D515E"/>
    <w:rsid w:val="002D51CB"/>
    <w:rsid w:val="002D526A"/>
    <w:rsid w:val="002D5735"/>
    <w:rsid w:val="002D5929"/>
    <w:rsid w:val="002D5B5B"/>
    <w:rsid w:val="002D5E95"/>
    <w:rsid w:val="002D5F75"/>
    <w:rsid w:val="002D6192"/>
    <w:rsid w:val="002D6245"/>
    <w:rsid w:val="002D64B0"/>
    <w:rsid w:val="002D6889"/>
    <w:rsid w:val="002D692E"/>
    <w:rsid w:val="002D69D9"/>
    <w:rsid w:val="002D6A28"/>
    <w:rsid w:val="002D6AD4"/>
    <w:rsid w:val="002D6B8D"/>
    <w:rsid w:val="002D6F7B"/>
    <w:rsid w:val="002D7435"/>
    <w:rsid w:val="002D763F"/>
    <w:rsid w:val="002D7C41"/>
    <w:rsid w:val="002E038A"/>
    <w:rsid w:val="002E0893"/>
    <w:rsid w:val="002E0D8F"/>
    <w:rsid w:val="002E1140"/>
    <w:rsid w:val="002E15CF"/>
    <w:rsid w:val="002E1C59"/>
    <w:rsid w:val="002E1CE4"/>
    <w:rsid w:val="002E1CEA"/>
    <w:rsid w:val="002E22F9"/>
    <w:rsid w:val="002E2324"/>
    <w:rsid w:val="002E2490"/>
    <w:rsid w:val="002E260F"/>
    <w:rsid w:val="002E267F"/>
    <w:rsid w:val="002E2B41"/>
    <w:rsid w:val="002E2CFA"/>
    <w:rsid w:val="002E2D7E"/>
    <w:rsid w:val="002E2E6E"/>
    <w:rsid w:val="002E2F00"/>
    <w:rsid w:val="002E3037"/>
    <w:rsid w:val="002E361C"/>
    <w:rsid w:val="002E3918"/>
    <w:rsid w:val="002E3EAB"/>
    <w:rsid w:val="002E40B1"/>
    <w:rsid w:val="002E4276"/>
    <w:rsid w:val="002E4977"/>
    <w:rsid w:val="002E49EF"/>
    <w:rsid w:val="002E4D57"/>
    <w:rsid w:val="002E57BC"/>
    <w:rsid w:val="002E5B32"/>
    <w:rsid w:val="002E5BB7"/>
    <w:rsid w:val="002E5D28"/>
    <w:rsid w:val="002E5E35"/>
    <w:rsid w:val="002E6393"/>
    <w:rsid w:val="002E6CA6"/>
    <w:rsid w:val="002E6FD5"/>
    <w:rsid w:val="002E7294"/>
    <w:rsid w:val="002E74BE"/>
    <w:rsid w:val="002E78F1"/>
    <w:rsid w:val="002E7B9A"/>
    <w:rsid w:val="002E7C05"/>
    <w:rsid w:val="002E7D6B"/>
    <w:rsid w:val="002E7D81"/>
    <w:rsid w:val="002E7DDC"/>
    <w:rsid w:val="002F0819"/>
    <w:rsid w:val="002F093F"/>
    <w:rsid w:val="002F0CB5"/>
    <w:rsid w:val="002F0F89"/>
    <w:rsid w:val="002F1432"/>
    <w:rsid w:val="002F1ADB"/>
    <w:rsid w:val="002F1E82"/>
    <w:rsid w:val="002F1E9A"/>
    <w:rsid w:val="002F20C6"/>
    <w:rsid w:val="002F21E6"/>
    <w:rsid w:val="002F229F"/>
    <w:rsid w:val="002F25FB"/>
    <w:rsid w:val="002F27AA"/>
    <w:rsid w:val="002F290A"/>
    <w:rsid w:val="002F29E0"/>
    <w:rsid w:val="002F2C76"/>
    <w:rsid w:val="002F2D05"/>
    <w:rsid w:val="002F329E"/>
    <w:rsid w:val="002F3500"/>
    <w:rsid w:val="002F3833"/>
    <w:rsid w:val="002F3893"/>
    <w:rsid w:val="002F38DE"/>
    <w:rsid w:val="002F3C07"/>
    <w:rsid w:val="002F3E3E"/>
    <w:rsid w:val="002F402D"/>
    <w:rsid w:val="002F40AA"/>
    <w:rsid w:val="002F41F2"/>
    <w:rsid w:val="002F4BA6"/>
    <w:rsid w:val="002F4CCD"/>
    <w:rsid w:val="002F4DD8"/>
    <w:rsid w:val="002F5083"/>
    <w:rsid w:val="002F5912"/>
    <w:rsid w:val="002F5AEF"/>
    <w:rsid w:val="002F5AFE"/>
    <w:rsid w:val="002F5BF4"/>
    <w:rsid w:val="002F5E87"/>
    <w:rsid w:val="002F5F95"/>
    <w:rsid w:val="002F6132"/>
    <w:rsid w:val="002F68AC"/>
    <w:rsid w:val="002F6918"/>
    <w:rsid w:val="002F6A38"/>
    <w:rsid w:val="002F6A83"/>
    <w:rsid w:val="002F6AB6"/>
    <w:rsid w:val="002F6EF8"/>
    <w:rsid w:val="002F7275"/>
    <w:rsid w:val="002F72A8"/>
    <w:rsid w:val="002F75E9"/>
    <w:rsid w:val="002F7877"/>
    <w:rsid w:val="002F7891"/>
    <w:rsid w:val="002F7C98"/>
    <w:rsid w:val="0030001F"/>
    <w:rsid w:val="0030012B"/>
    <w:rsid w:val="003004FD"/>
    <w:rsid w:val="00300993"/>
    <w:rsid w:val="00300AF5"/>
    <w:rsid w:val="00300ED8"/>
    <w:rsid w:val="00300F02"/>
    <w:rsid w:val="00300F6D"/>
    <w:rsid w:val="0030101B"/>
    <w:rsid w:val="00301319"/>
    <w:rsid w:val="0030176B"/>
    <w:rsid w:val="003018CE"/>
    <w:rsid w:val="00301A6B"/>
    <w:rsid w:val="00301B31"/>
    <w:rsid w:val="00301CCE"/>
    <w:rsid w:val="003021FC"/>
    <w:rsid w:val="003025A8"/>
    <w:rsid w:val="003027D7"/>
    <w:rsid w:val="0030289A"/>
    <w:rsid w:val="003028BC"/>
    <w:rsid w:val="003029D0"/>
    <w:rsid w:val="00302BE2"/>
    <w:rsid w:val="00302E18"/>
    <w:rsid w:val="00303009"/>
    <w:rsid w:val="0030312D"/>
    <w:rsid w:val="003033B3"/>
    <w:rsid w:val="0030341C"/>
    <w:rsid w:val="00303985"/>
    <w:rsid w:val="00303A35"/>
    <w:rsid w:val="00303A90"/>
    <w:rsid w:val="00303B9D"/>
    <w:rsid w:val="00304100"/>
    <w:rsid w:val="0030415E"/>
    <w:rsid w:val="0030423F"/>
    <w:rsid w:val="00304751"/>
    <w:rsid w:val="00304946"/>
    <w:rsid w:val="0030494B"/>
    <w:rsid w:val="00304FE6"/>
    <w:rsid w:val="003055A0"/>
    <w:rsid w:val="003058F9"/>
    <w:rsid w:val="003061DA"/>
    <w:rsid w:val="0030630A"/>
    <w:rsid w:val="00306854"/>
    <w:rsid w:val="00306DD2"/>
    <w:rsid w:val="00306EB5"/>
    <w:rsid w:val="0030796E"/>
    <w:rsid w:val="00307B57"/>
    <w:rsid w:val="00307CDA"/>
    <w:rsid w:val="003107C9"/>
    <w:rsid w:val="00310B3B"/>
    <w:rsid w:val="00310B67"/>
    <w:rsid w:val="00310BDE"/>
    <w:rsid w:val="00310C7C"/>
    <w:rsid w:val="0031106C"/>
    <w:rsid w:val="00311079"/>
    <w:rsid w:val="00311165"/>
    <w:rsid w:val="00311180"/>
    <w:rsid w:val="00311295"/>
    <w:rsid w:val="003115B3"/>
    <w:rsid w:val="0031192A"/>
    <w:rsid w:val="00311DB4"/>
    <w:rsid w:val="00311DED"/>
    <w:rsid w:val="003127B9"/>
    <w:rsid w:val="003127E8"/>
    <w:rsid w:val="00312865"/>
    <w:rsid w:val="00313235"/>
    <w:rsid w:val="00313654"/>
    <w:rsid w:val="003137D2"/>
    <w:rsid w:val="0031405E"/>
    <w:rsid w:val="003142A1"/>
    <w:rsid w:val="00314441"/>
    <w:rsid w:val="00314509"/>
    <w:rsid w:val="00314705"/>
    <w:rsid w:val="00314835"/>
    <w:rsid w:val="00314931"/>
    <w:rsid w:val="00314A1D"/>
    <w:rsid w:val="00314E5A"/>
    <w:rsid w:val="00314F0B"/>
    <w:rsid w:val="0031529D"/>
    <w:rsid w:val="0031535D"/>
    <w:rsid w:val="003153FA"/>
    <w:rsid w:val="003154D9"/>
    <w:rsid w:val="00315A27"/>
    <w:rsid w:val="00315B90"/>
    <w:rsid w:val="00315CB8"/>
    <w:rsid w:val="00315ED7"/>
    <w:rsid w:val="00315F81"/>
    <w:rsid w:val="00315F8A"/>
    <w:rsid w:val="003165C5"/>
    <w:rsid w:val="003165C6"/>
    <w:rsid w:val="00316848"/>
    <w:rsid w:val="003168CB"/>
    <w:rsid w:val="00316F3A"/>
    <w:rsid w:val="003174D4"/>
    <w:rsid w:val="0031782C"/>
    <w:rsid w:val="00317FE8"/>
    <w:rsid w:val="00320268"/>
    <w:rsid w:val="003202B7"/>
    <w:rsid w:val="003205AE"/>
    <w:rsid w:val="00320A8B"/>
    <w:rsid w:val="00320B79"/>
    <w:rsid w:val="00320CB1"/>
    <w:rsid w:val="00320D03"/>
    <w:rsid w:val="00320D22"/>
    <w:rsid w:val="00320DE8"/>
    <w:rsid w:val="00320F7D"/>
    <w:rsid w:val="003212B2"/>
    <w:rsid w:val="003214FC"/>
    <w:rsid w:val="00321507"/>
    <w:rsid w:val="00321529"/>
    <w:rsid w:val="00321B50"/>
    <w:rsid w:val="0032253A"/>
    <w:rsid w:val="003225AA"/>
    <w:rsid w:val="00322CB1"/>
    <w:rsid w:val="00322DAE"/>
    <w:rsid w:val="00322F7E"/>
    <w:rsid w:val="003235DC"/>
    <w:rsid w:val="00323644"/>
    <w:rsid w:val="00323749"/>
    <w:rsid w:val="00323758"/>
    <w:rsid w:val="003238D9"/>
    <w:rsid w:val="003239A2"/>
    <w:rsid w:val="00323A7A"/>
    <w:rsid w:val="00324160"/>
    <w:rsid w:val="003245E6"/>
    <w:rsid w:val="003247CC"/>
    <w:rsid w:val="00324AC5"/>
    <w:rsid w:val="00324B90"/>
    <w:rsid w:val="0032510E"/>
    <w:rsid w:val="0032524D"/>
    <w:rsid w:val="003255BB"/>
    <w:rsid w:val="00325A1E"/>
    <w:rsid w:val="00325AE1"/>
    <w:rsid w:val="00325E7E"/>
    <w:rsid w:val="00326142"/>
    <w:rsid w:val="0032670B"/>
    <w:rsid w:val="003269FF"/>
    <w:rsid w:val="00326B2F"/>
    <w:rsid w:val="00326DB6"/>
    <w:rsid w:val="00326E35"/>
    <w:rsid w:val="00326EE9"/>
    <w:rsid w:val="00326F76"/>
    <w:rsid w:val="00327119"/>
    <w:rsid w:val="003271D2"/>
    <w:rsid w:val="00327936"/>
    <w:rsid w:val="00327B2D"/>
    <w:rsid w:val="00327B7B"/>
    <w:rsid w:val="00327D45"/>
    <w:rsid w:val="00327DB0"/>
    <w:rsid w:val="0033021F"/>
    <w:rsid w:val="00330376"/>
    <w:rsid w:val="0033056C"/>
    <w:rsid w:val="003306C8"/>
    <w:rsid w:val="0033071A"/>
    <w:rsid w:val="00330828"/>
    <w:rsid w:val="00330B42"/>
    <w:rsid w:val="00330BEF"/>
    <w:rsid w:val="00330E30"/>
    <w:rsid w:val="0033100D"/>
    <w:rsid w:val="003310C7"/>
    <w:rsid w:val="003314E4"/>
    <w:rsid w:val="0033169D"/>
    <w:rsid w:val="00331F08"/>
    <w:rsid w:val="003324DA"/>
    <w:rsid w:val="003326A6"/>
    <w:rsid w:val="00332710"/>
    <w:rsid w:val="00332AFC"/>
    <w:rsid w:val="00332D8D"/>
    <w:rsid w:val="00333927"/>
    <w:rsid w:val="003339CE"/>
    <w:rsid w:val="0033469D"/>
    <w:rsid w:val="003348EF"/>
    <w:rsid w:val="003350FD"/>
    <w:rsid w:val="0033533F"/>
    <w:rsid w:val="0033537C"/>
    <w:rsid w:val="00335490"/>
    <w:rsid w:val="003357F4"/>
    <w:rsid w:val="003358B9"/>
    <w:rsid w:val="003358F7"/>
    <w:rsid w:val="0033592B"/>
    <w:rsid w:val="00335BA0"/>
    <w:rsid w:val="00335E55"/>
    <w:rsid w:val="00335E6F"/>
    <w:rsid w:val="003362DF"/>
    <w:rsid w:val="0033667D"/>
    <w:rsid w:val="00336B9C"/>
    <w:rsid w:val="00336CF4"/>
    <w:rsid w:val="0033707E"/>
    <w:rsid w:val="0033766F"/>
    <w:rsid w:val="0033772A"/>
    <w:rsid w:val="00337AD1"/>
    <w:rsid w:val="00337E32"/>
    <w:rsid w:val="00337E8F"/>
    <w:rsid w:val="003400E0"/>
    <w:rsid w:val="00340325"/>
    <w:rsid w:val="003403E0"/>
    <w:rsid w:val="003405BC"/>
    <w:rsid w:val="00340D9B"/>
    <w:rsid w:val="00341778"/>
    <w:rsid w:val="00341865"/>
    <w:rsid w:val="00341DE0"/>
    <w:rsid w:val="00342182"/>
    <w:rsid w:val="00342325"/>
    <w:rsid w:val="00342571"/>
    <w:rsid w:val="00342618"/>
    <w:rsid w:val="003427B8"/>
    <w:rsid w:val="003428F3"/>
    <w:rsid w:val="003429DD"/>
    <w:rsid w:val="00342D06"/>
    <w:rsid w:val="00342EA5"/>
    <w:rsid w:val="00342FCB"/>
    <w:rsid w:val="00343287"/>
    <w:rsid w:val="003434A0"/>
    <w:rsid w:val="00343C0A"/>
    <w:rsid w:val="00343DA1"/>
    <w:rsid w:val="00344771"/>
    <w:rsid w:val="003448D9"/>
    <w:rsid w:val="0034515C"/>
    <w:rsid w:val="00345286"/>
    <w:rsid w:val="0034535F"/>
    <w:rsid w:val="00345634"/>
    <w:rsid w:val="00345BCC"/>
    <w:rsid w:val="00345EBD"/>
    <w:rsid w:val="00345F26"/>
    <w:rsid w:val="00346152"/>
    <w:rsid w:val="003462C8"/>
    <w:rsid w:val="003465A0"/>
    <w:rsid w:val="0034666F"/>
    <w:rsid w:val="0034670B"/>
    <w:rsid w:val="003469BE"/>
    <w:rsid w:val="00346FB8"/>
    <w:rsid w:val="0034710B"/>
    <w:rsid w:val="003475FA"/>
    <w:rsid w:val="00347935"/>
    <w:rsid w:val="00350062"/>
    <w:rsid w:val="00350384"/>
    <w:rsid w:val="0035039B"/>
    <w:rsid w:val="00350716"/>
    <w:rsid w:val="0035073E"/>
    <w:rsid w:val="00350985"/>
    <w:rsid w:val="00350B35"/>
    <w:rsid w:val="00350C18"/>
    <w:rsid w:val="00350FE2"/>
    <w:rsid w:val="0035181C"/>
    <w:rsid w:val="00351872"/>
    <w:rsid w:val="00351A14"/>
    <w:rsid w:val="00351DCE"/>
    <w:rsid w:val="0035209F"/>
    <w:rsid w:val="003521B1"/>
    <w:rsid w:val="003522D6"/>
    <w:rsid w:val="00352348"/>
    <w:rsid w:val="0035263B"/>
    <w:rsid w:val="003526E3"/>
    <w:rsid w:val="00352FB3"/>
    <w:rsid w:val="00352FEE"/>
    <w:rsid w:val="003536E9"/>
    <w:rsid w:val="003538AA"/>
    <w:rsid w:val="00353A33"/>
    <w:rsid w:val="00354272"/>
    <w:rsid w:val="003542BC"/>
    <w:rsid w:val="003546B7"/>
    <w:rsid w:val="003549AA"/>
    <w:rsid w:val="003549D2"/>
    <w:rsid w:val="00354B09"/>
    <w:rsid w:val="003551BD"/>
    <w:rsid w:val="003555D0"/>
    <w:rsid w:val="00355F4A"/>
    <w:rsid w:val="00355F74"/>
    <w:rsid w:val="0035604C"/>
    <w:rsid w:val="003560EF"/>
    <w:rsid w:val="00356385"/>
    <w:rsid w:val="00356501"/>
    <w:rsid w:val="0035662F"/>
    <w:rsid w:val="00356708"/>
    <w:rsid w:val="0035677C"/>
    <w:rsid w:val="003569CE"/>
    <w:rsid w:val="00356D63"/>
    <w:rsid w:val="00356DAD"/>
    <w:rsid w:val="00357190"/>
    <w:rsid w:val="003574B5"/>
    <w:rsid w:val="003574E8"/>
    <w:rsid w:val="00357510"/>
    <w:rsid w:val="00357744"/>
    <w:rsid w:val="0035786A"/>
    <w:rsid w:val="00357A44"/>
    <w:rsid w:val="00357A6C"/>
    <w:rsid w:val="00357FA6"/>
    <w:rsid w:val="0036009C"/>
    <w:rsid w:val="00360320"/>
    <w:rsid w:val="003606E5"/>
    <w:rsid w:val="0036087C"/>
    <w:rsid w:val="00360BE0"/>
    <w:rsid w:val="00360C40"/>
    <w:rsid w:val="00360D67"/>
    <w:rsid w:val="00360EBA"/>
    <w:rsid w:val="0036115C"/>
    <w:rsid w:val="0036121B"/>
    <w:rsid w:val="00361264"/>
    <w:rsid w:val="003612DD"/>
    <w:rsid w:val="003617AF"/>
    <w:rsid w:val="003618CF"/>
    <w:rsid w:val="00361D22"/>
    <w:rsid w:val="00361DC1"/>
    <w:rsid w:val="00362191"/>
    <w:rsid w:val="00362198"/>
    <w:rsid w:val="003624B3"/>
    <w:rsid w:val="003625A5"/>
    <w:rsid w:val="00362EF1"/>
    <w:rsid w:val="003634ED"/>
    <w:rsid w:val="00363537"/>
    <w:rsid w:val="003635ED"/>
    <w:rsid w:val="0036382B"/>
    <w:rsid w:val="00363BB2"/>
    <w:rsid w:val="00363C55"/>
    <w:rsid w:val="00363D00"/>
    <w:rsid w:val="00363E14"/>
    <w:rsid w:val="003642E5"/>
    <w:rsid w:val="003646FD"/>
    <w:rsid w:val="003647AA"/>
    <w:rsid w:val="00364A13"/>
    <w:rsid w:val="00364A3E"/>
    <w:rsid w:val="00364B02"/>
    <w:rsid w:val="00365051"/>
    <w:rsid w:val="003650BC"/>
    <w:rsid w:val="003651E6"/>
    <w:rsid w:val="00365661"/>
    <w:rsid w:val="003658A2"/>
    <w:rsid w:val="00365955"/>
    <w:rsid w:val="0036596C"/>
    <w:rsid w:val="00365C65"/>
    <w:rsid w:val="00365C8B"/>
    <w:rsid w:val="00365D5E"/>
    <w:rsid w:val="00365E1D"/>
    <w:rsid w:val="00365ED8"/>
    <w:rsid w:val="0036606D"/>
    <w:rsid w:val="003661F7"/>
    <w:rsid w:val="003662E2"/>
    <w:rsid w:val="003663ED"/>
    <w:rsid w:val="00366656"/>
    <w:rsid w:val="00366771"/>
    <w:rsid w:val="003667F8"/>
    <w:rsid w:val="00366893"/>
    <w:rsid w:val="00366AA1"/>
    <w:rsid w:val="00366AB5"/>
    <w:rsid w:val="00366B55"/>
    <w:rsid w:val="00366C14"/>
    <w:rsid w:val="0036720C"/>
    <w:rsid w:val="00367750"/>
    <w:rsid w:val="00367875"/>
    <w:rsid w:val="00367928"/>
    <w:rsid w:val="00367B78"/>
    <w:rsid w:val="00367BEE"/>
    <w:rsid w:val="003702A3"/>
    <w:rsid w:val="00370832"/>
    <w:rsid w:val="00370A1F"/>
    <w:rsid w:val="00370B15"/>
    <w:rsid w:val="00370E09"/>
    <w:rsid w:val="00371450"/>
    <w:rsid w:val="00371554"/>
    <w:rsid w:val="0037157E"/>
    <w:rsid w:val="003719EF"/>
    <w:rsid w:val="00371BD9"/>
    <w:rsid w:val="00371C64"/>
    <w:rsid w:val="003721D0"/>
    <w:rsid w:val="0037241E"/>
    <w:rsid w:val="00372442"/>
    <w:rsid w:val="0037261F"/>
    <w:rsid w:val="00372AB6"/>
    <w:rsid w:val="00372C0C"/>
    <w:rsid w:val="00372DBB"/>
    <w:rsid w:val="0037300E"/>
    <w:rsid w:val="003731A4"/>
    <w:rsid w:val="003731AE"/>
    <w:rsid w:val="003736EB"/>
    <w:rsid w:val="00373723"/>
    <w:rsid w:val="003738F4"/>
    <w:rsid w:val="00374153"/>
    <w:rsid w:val="00374299"/>
    <w:rsid w:val="003745BA"/>
    <w:rsid w:val="00374732"/>
    <w:rsid w:val="00374C7B"/>
    <w:rsid w:val="00374D53"/>
    <w:rsid w:val="003753CF"/>
    <w:rsid w:val="003757E8"/>
    <w:rsid w:val="003761B8"/>
    <w:rsid w:val="0037654F"/>
    <w:rsid w:val="00376EBB"/>
    <w:rsid w:val="0037754C"/>
    <w:rsid w:val="00377603"/>
    <w:rsid w:val="003777C5"/>
    <w:rsid w:val="003778AF"/>
    <w:rsid w:val="00377A4B"/>
    <w:rsid w:val="00377A66"/>
    <w:rsid w:val="00377B9A"/>
    <w:rsid w:val="003807BB"/>
    <w:rsid w:val="003808D7"/>
    <w:rsid w:val="003809FA"/>
    <w:rsid w:val="00380B79"/>
    <w:rsid w:val="00380BEF"/>
    <w:rsid w:val="00380DC7"/>
    <w:rsid w:val="00381572"/>
    <w:rsid w:val="00381575"/>
    <w:rsid w:val="003817E3"/>
    <w:rsid w:val="00381A5A"/>
    <w:rsid w:val="00381A77"/>
    <w:rsid w:val="00381BD2"/>
    <w:rsid w:val="00381DCA"/>
    <w:rsid w:val="00381F40"/>
    <w:rsid w:val="00381FDE"/>
    <w:rsid w:val="003825CF"/>
    <w:rsid w:val="00382FA8"/>
    <w:rsid w:val="0038309F"/>
    <w:rsid w:val="0038361B"/>
    <w:rsid w:val="0038381F"/>
    <w:rsid w:val="00383910"/>
    <w:rsid w:val="00383CE6"/>
    <w:rsid w:val="003848E2"/>
    <w:rsid w:val="00384A7A"/>
    <w:rsid w:val="00384B94"/>
    <w:rsid w:val="00384C23"/>
    <w:rsid w:val="00384D96"/>
    <w:rsid w:val="00384E29"/>
    <w:rsid w:val="00384E3B"/>
    <w:rsid w:val="00385016"/>
    <w:rsid w:val="0038554F"/>
    <w:rsid w:val="003855C4"/>
    <w:rsid w:val="00385680"/>
    <w:rsid w:val="00385862"/>
    <w:rsid w:val="0038592D"/>
    <w:rsid w:val="003859CB"/>
    <w:rsid w:val="003859F9"/>
    <w:rsid w:val="00386414"/>
    <w:rsid w:val="003865E8"/>
    <w:rsid w:val="003866CC"/>
    <w:rsid w:val="0038675E"/>
    <w:rsid w:val="0038679A"/>
    <w:rsid w:val="00386AE4"/>
    <w:rsid w:val="00386D0F"/>
    <w:rsid w:val="00386D22"/>
    <w:rsid w:val="003870F6"/>
    <w:rsid w:val="00387242"/>
    <w:rsid w:val="0038757C"/>
    <w:rsid w:val="0038758B"/>
    <w:rsid w:val="0038773D"/>
    <w:rsid w:val="003877C0"/>
    <w:rsid w:val="00387B35"/>
    <w:rsid w:val="00387B53"/>
    <w:rsid w:val="00387CD0"/>
    <w:rsid w:val="00387FDD"/>
    <w:rsid w:val="00390295"/>
    <w:rsid w:val="003902D5"/>
    <w:rsid w:val="003903B6"/>
    <w:rsid w:val="003906B2"/>
    <w:rsid w:val="0039076C"/>
    <w:rsid w:val="00390DE8"/>
    <w:rsid w:val="00390F05"/>
    <w:rsid w:val="003914A5"/>
    <w:rsid w:val="00391546"/>
    <w:rsid w:val="003916B0"/>
    <w:rsid w:val="00391A37"/>
    <w:rsid w:val="00391B88"/>
    <w:rsid w:val="00391C00"/>
    <w:rsid w:val="003921B7"/>
    <w:rsid w:val="00392403"/>
    <w:rsid w:val="0039245B"/>
    <w:rsid w:val="0039246B"/>
    <w:rsid w:val="0039277D"/>
    <w:rsid w:val="003927D8"/>
    <w:rsid w:val="00392882"/>
    <w:rsid w:val="00392BA6"/>
    <w:rsid w:val="00392C0E"/>
    <w:rsid w:val="00392F37"/>
    <w:rsid w:val="00392F85"/>
    <w:rsid w:val="0039300D"/>
    <w:rsid w:val="003930F5"/>
    <w:rsid w:val="00393D99"/>
    <w:rsid w:val="00393F2A"/>
    <w:rsid w:val="00394111"/>
    <w:rsid w:val="003941C3"/>
    <w:rsid w:val="003941D2"/>
    <w:rsid w:val="00394239"/>
    <w:rsid w:val="0039438F"/>
    <w:rsid w:val="003947B5"/>
    <w:rsid w:val="003949A7"/>
    <w:rsid w:val="003949F7"/>
    <w:rsid w:val="00394B0E"/>
    <w:rsid w:val="0039537D"/>
    <w:rsid w:val="00395487"/>
    <w:rsid w:val="003955E3"/>
    <w:rsid w:val="00395699"/>
    <w:rsid w:val="0039582A"/>
    <w:rsid w:val="003959E9"/>
    <w:rsid w:val="00395C1B"/>
    <w:rsid w:val="00395D7B"/>
    <w:rsid w:val="00396318"/>
    <w:rsid w:val="003963FD"/>
    <w:rsid w:val="00396709"/>
    <w:rsid w:val="00396732"/>
    <w:rsid w:val="00396C04"/>
    <w:rsid w:val="00396F2E"/>
    <w:rsid w:val="00397647"/>
    <w:rsid w:val="003A030B"/>
    <w:rsid w:val="003A0352"/>
    <w:rsid w:val="003A099D"/>
    <w:rsid w:val="003A0AD4"/>
    <w:rsid w:val="003A0D66"/>
    <w:rsid w:val="003A0FE6"/>
    <w:rsid w:val="003A106C"/>
    <w:rsid w:val="003A1480"/>
    <w:rsid w:val="003A15E8"/>
    <w:rsid w:val="003A16BB"/>
    <w:rsid w:val="003A1968"/>
    <w:rsid w:val="003A19B7"/>
    <w:rsid w:val="003A1A74"/>
    <w:rsid w:val="003A202E"/>
    <w:rsid w:val="003A2094"/>
    <w:rsid w:val="003A2177"/>
    <w:rsid w:val="003A228D"/>
    <w:rsid w:val="003A2813"/>
    <w:rsid w:val="003A306F"/>
    <w:rsid w:val="003A335E"/>
    <w:rsid w:val="003A37C0"/>
    <w:rsid w:val="003A3BFF"/>
    <w:rsid w:val="003A3FBB"/>
    <w:rsid w:val="003A428F"/>
    <w:rsid w:val="003A4CA5"/>
    <w:rsid w:val="003A4CE1"/>
    <w:rsid w:val="003A5152"/>
    <w:rsid w:val="003A57BA"/>
    <w:rsid w:val="003A57DB"/>
    <w:rsid w:val="003A58BC"/>
    <w:rsid w:val="003A5AEB"/>
    <w:rsid w:val="003A5F63"/>
    <w:rsid w:val="003A5FE1"/>
    <w:rsid w:val="003A693D"/>
    <w:rsid w:val="003A6BAC"/>
    <w:rsid w:val="003A6E5B"/>
    <w:rsid w:val="003A6EA1"/>
    <w:rsid w:val="003A70C8"/>
    <w:rsid w:val="003A78A9"/>
    <w:rsid w:val="003A793E"/>
    <w:rsid w:val="003A7A1A"/>
    <w:rsid w:val="003B01CE"/>
    <w:rsid w:val="003B07E1"/>
    <w:rsid w:val="003B1148"/>
    <w:rsid w:val="003B1310"/>
    <w:rsid w:val="003B1620"/>
    <w:rsid w:val="003B1918"/>
    <w:rsid w:val="003B199D"/>
    <w:rsid w:val="003B22DE"/>
    <w:rsid w:val="003B238A"/>
    <w:rsid w:val="003B239A"/>
    <w:rsid w:val="003B24CC"/>
    <w:rsid w:val="003B255E"/>
    <w:rsid w:val="003B268C"/>
    <w:rsid w:val="003B2D3B"/>
    <w:rsid w:val="003B30A0"/>
    <w:rsid w:val="003B30FD"/>
    <w:rsid w:val="003B3144"/>
    <w:rsid w:val="003B3208"/>
    <w:rsid w:val="003B3389"/>
    <w:rsid w:val="003B3C09"/>
    <w:rsid w:val="003B3F10"/>
    <w:rsid w:val="003B452F"/>
    <w:rsid w:val="003B475A"/>
    <w:rsid w:val="003B4764"/>
    <w:rsid w:val="003B487A"/>
    <w:rsid w:val="003B4E80"/>
    <w:rsid w:val="003B52FA"/>
    <w:rsid w:val="003B558A"/>
    <w:rsid w:val="003B558D"/>
    <w:rsid w:val="003B5A8C"/>
    <w:rsid w:val="003B5CE1"/>
    <w:rsid w:val="003B5F90"/>
    <w:rsid w:val="003B66B8"/>
    <w:rsid w:val="003B6914"/>
    <w:rsid w:val="003B6915"/>
    <w:rsid w:val="003B6C31"/>
    <w:rsid w:val="003B6C8A"/>
    <w:rsid w:val="003B6EC1"/>
    <w:rsid w:val="003B71B8"/>
    <w:rsid w:val="003B7209"/>
    <w:rsid w:val="003B73B4"/>
    <w:rsid w:val="003B75BA"/>
    <w:rsid w:val="003B7970"/>
    <w:rsid w:val="003B7EBF"/>
    <w:rsid w:val="003C02FE"/>
    <w:rsid w:val="003C0388"/>
    <w:rsid w:val="003C0390"/>
    <w:rsid w:val="003C05CB"/>
    <w:rsid w:val="003C09DC"/>
    <w:rsid w:val="003C0ED1"/>
    <w:rsid w:val="003C0F6B"/>
    <w:rsid w:val="003C10D7"/>
    <w:rsid w:val="003C13DC"/>
    <w:rsid w:val="003C162D"/>
    <w:rsid w:val="003C191A"/>
    <w:rsid w:val="003C1BA2"/>
    <w:rsid w:val="003C1D64"/>
    <w:rsid w:val="003C2248"/>
    <w:rsid w:val="003C2480"/>
    <w:rsid w:val="003C248A"/>
    <w:rsid w:val="003C2CD6"/>
    <w:rsid w:val="003C2D2C"/>
    <w:rsid w:val="003C3565"/>
    <w:rsid w:val="003C37C1"/>
    <w:rsid w:val="003C37DB"/>
    <w:rsid w:val="003C3841"/>
    <w:rsid w:val="003C3B93"/>
    <w:rsid w:val="003C3BF2"/>
    <w:rsid w:val="003C3C94"/>
    <w:rsid w:val="003C40AC"/>
    <w:rsid w:val="003C419D"/>
    <w:rsid w:val="003C4B56"/>
    <w:rsid w:val="003C4D84"/>
    <w:rsid w:val="003C4E23"/>
    <w:rsid w:val="003C5020"/>
    <w:rsid w:val="003C5125"/>
    <w:rsid w:val="003C5248"/>
    <w:rsid w:val="003C5C74"/>
    <w:rsid w:val="003C5F99"/>
    <w:rsid w:val="003C618F"/>
    <w:rsid w:val="003C61C9"/>
    <w:rsid w:val="003C61E7"/>
    <w:rsid w:val="003C6452"/>
    <w:rsid w:val="003C6E84"/>
    <w:rsid w:val="003C744A"/>
    <w:rsid w:val="003C7887"/>
    <w:rsid w:val="003C7DEA"/>
    <w:rsid w:val="003C7E38"/>
    <w:rsid w:val="003D001E"/>
    <w:rsid w:val="003D041D"/>
    <w:rsid w:val="003D0871"/>
    <w:rsid w:val="003D0B97"/>
    <w:rsid w:val="003D0DDE"/>
    <w:rsid w:val="003D1107"/>
    <w:rsid w:val="003D13B0"/>
    <w:rsid w:val="003D13BF"/>
    <w:rsid w:val="003D15F9"/>
    <w:rsid w:val="003D1830"/>
    <w:rsid w:val="003D1ECC"/>
    <w:rsid w:val="003D2016"/>
    <w:rsid w:val="003D299D"/>
    <w:rsid w:val="003D2ACE"/>
    <w:rsid w:val="003D2AD6"/>
    <w:rsid w:val="003D2CC9"/>
    <w:rsid w:val="003D35C3"/>
    <w:rsid w:val="003D3F41"/>
    <w:rsid w:val="003D40BA"/>
    <w:rsid w:val="003D4112"/>
    <w:rsid w:val="003D4218"/>
    <w:rsid w:val="003D4437"/>
    <w:rsid w:val="003D453C"/>
    <w:rsid w:val="003D45B4"/>
    <w:rsid w:val="003D4996"/>
    <w:rsid w:val="003D4C30"/>
    <w:rsid w:val="003D4D4A"/>
    <w:rsid w:val="003D4F94"/>
    <w:rsid w:val="003D5062"/>
    <w:rsid w:val="003D5086"/>
    <w:rsid w:val="003D5407"/>
    <w:rsid w:val="003D5463"/>
    <w:rsid w:val="003D5706"/>
    <w:rsid w:val="003D5973"/>
    <w:rsid w:val="003D5AE8"/>
    <w:rsid w:val="003D5BA4"/>
    <w:rsid w:val="003D61EC"/>
    <w:rsid w:val="003D637D"/>
    <w:rsid w:val="003D6387"/>
    <w:rsid w:val="003D645D"/>
    <w:rsid w:val="003D6623"/>
    <w:rsid w:val="003D6C9B"/>
    <w:rsid w:val="003D6F78"/>
    <w:rsid w:val="003D7258"/>
    <w:rsid w:val="003D76C8"/>
    <w:rsid w:val="003D7EA4"/>
    <w:rsid w:val="003E0121"/>
    <w:rsid w:val="003E01A7"/>
    <w:rsid w:val="003E02B8"/>
    <w:rsid w:val="003E05A2"/>
    <w:rsid w:val="003E0991"/>
    <w:rsid w:val="003E09D9"/>
    <w:rsid w:val="003E0A80"/>
    <w:rsid w:val="003E0CD4"/>
    <w:rsid w:val="003E1736"/>
    <w:rsid w:val="003E1807"/>
    <w:rsid w:val="003E1869"/>
    <w:rsid w:val="003E1895"/>
    <w:rsid w:val="003E189A"/>
    <w:rsid w:val="003E1D8D"/>
    <w:rsid w:val="003E1F16"/>
    <w:rsid w:val="003E21F2"/>
    <w:rsid w:val="003E23A8"/>
    <w:rsid w:val="003E2DFD"/>
    <w:rsid w:val="003E305E"/>
    <w:rsid w:val="003E3069"/>
    <w:rsid w:val="003E3209"/>
    <w:rsid w:val="003E3225"/>
    <w:rsid w:val="003E38F9"/>
    <w:rsid w:val="003E39F2"/>
    <w:rsid w:val="003E4135"/>
    <w:rsid w:val="003E48CF"/>
    <w:rsid w:val="003E4CEE"/>
    <w:rsid w:val="003E4ED1"/>
    <w:rsid w:val="003E58B4"/>
    <w:rsid w:val="003E58FB"/>
    <w:rsid w:val="003E5FB6"/>
    <w:rsid w:val="003E60CC"/>
    <w:rsid w:val="003E614A"/>
    <w:rsid w:val="003E61FC"/>
    <w:rsid w:val="003E653E"/>
    <w:rsid w:val="003E67C4"/>
    <w:rsid w:val="003E69E5"/>
    <w:rsid w:val="003E6A63"/>
    <w:rsid w:val="003E6D34"/>
    <w:rsid w:val="003E6E2D"/>
    <w:rsid w:val="003E6EE0"/>
    <w:rsid w:val="003E7261"/>
    <w:rsid w:val="003E74F8"/>
    <w:rsid w:val="003E7825"/>
    <w:rsid w:val="003E78A0"/>
    <w:rsid w:val="003E78BA"/>
    <w:rsid w:val="003E7A47"/>
    <w:rsid w:val="003E7B67"/>
    <w:rsid w:val="003E7B98"/>
    <w:rsid w:val="003E7CEB"/>
    <w:rsid w:val="003F0332"/>
    <w:rsid w:val="003F04AF"/>
    <w:rsid w:val="003F0530"/>
    <w:rsid w:val="003F0695"/>
    <w:rsid w:val="003F0922"/>
    <w:rsid w:val="003F0951"/>
    <w:rsid w:val="003F09F4"/>
    <w:rsid w:val="003F0D49"/>
    <w:rsid w:val="003F1059"/>
    <w:rsid w:val="003F1135"/>
    <w:rsid w:val="003F12CF"/>
    <w:rsid w:val="003F12DE"/>
    <w:rsid w:val="003F12E1"/>
    <w:rsid w:val="003F1338"/>
    <w:rsid w:val="003F14E4"/>
    <w:rsid w:val="003F155D"/>
    <w:rsid w:val="003F15C6"/>
    <w:rsid w:val="003F166B"/>
    <w:rsid w:val="003F17BB"/>
    <w:rsid w:val="003F182E"/>
    <w:rsid w:val="003F18D6"/>
    <w:rsid w:val="003F1AEC"/>
    <w:rsid w:val="003F2820"/>
    <w:rsid w:val="003F2BCF"/>
    <w:rsid w:val="003F2DB9"/>
    <w:rsid w:val="003F2E6D"/>
    <w:rsid w:val="003F3087"/>
    <w:rsid w:val="003F3156"/>
    <w:rsid w:val="003F3289"/>
    <w:rsid w:val="003F3609"/>
    <w:rsid w:val="003F397C"/>
    <w:rsid w:val="003F3B19"/>
    <w:rsid w:val="003F3EC5"/>
    <w:rsid w:val="003F3EE5"/>
    <w:rsid w:val="003F4529"/>
    <w:rsid w:val="003F49D0"/>
    <w:rsid w:val="003F50AE"/>
    <w:rsid w:val="003F5182"/>
    <w:rsid w:val="003F53DE"/>
    <w:rsid w:val="003F54AA"/>
    <w:rsid w:val="003F551C"/>
    <w:rsid w:val="003F552C"/>
    <w:rsid w:val="003F5775"/>
    <w:rsid w:val="003F5E9C"/>
    <w:rsid w:val="003F6235"/>
    <w:rsid w:val="003F62C0"/>
    <w:rsid w:val="003F63FE"/>
    <w:rsid w:val="003F6472"/>
    <w:rsid w:val="003F6C71"/>
    <w:rsid w:val="003F6C84"/>
    <w:rsid w:val="003F6DEA"/>
    <w:rsid w:val="003F7524"/>
    <w:rsid w:val="003F7650"/>
    <w:rsid w:val="003F7B81"/>
    <w:rsid w:val="003F7BCD"/>
    <w:rsid w:val="00400118"/>
    <w:rsid w:val="004003B1"/>
    <w:rsid w:val="0040054A"/>
    <w:rsid w:val="00400804"/>
    <w:rsid w:val="00400D2A"/>
    <w:rsid w:val="004011E0"/>
    <w:rsid w:val="004015F3"/>
    <w:rsid w:val="004016E7"/>
    <w:rsid w:val="00401F50"/>
    <w:rsid w:val="00402048"/>
    <w:rsid w:val="004020F0"/>
    <w:rsid w:val="0040248A"/>
    <w:rsid w:val="00402515"/>
    <w:rsid w:val="00402939"/>
    <w:rsid w:val="00402C3D"/>
    <w:rsid w:val="00402DE4"/>
    <w:rsid w:val="00403126"/>
    <w:rsid w:val="004038C1"/>
    <w:rsid w:val="00403C07"/>
    <w:rsid w:val="004040EC"/>
    <w:rsid w:val="0040457A"/>
    <w:rsid w:val="00404816"/>
    <w:rsid w:val="00404B09"/>
    <w:rsid w:val="004051AB"/>
    <w:rsid w:val="004054F9"/>
    <w:rsid w:val="00405AD7"/>
    <w:rsid w:val="00405C88"/>
    <w:rsid w:val="00405FE3"/>
    <w:rsid w:val="00406053"/>
    <w:rsid w:val="0040615D"/>
    <w:rsid w:val="00406531"/>
    <w:rsid w:val="004069DE"/>
    <w:rsid w:val="00406A91"/>
    <w:rsid w:val="00406E4B"/>
    <w:rsid w:val="004071BD"/>
    <w:rsid w:val="004074B8"/>
    <w:rsid w:val="00407689"/>
    <w:rsid w:val="00407831"/>
    <w:rsid w:val="00407A63"/>
    <w:rsid w:val="00407AFB"/>
    <w:rsid w:val="00407D7E"/>
    <w:rsid w:val="004105BE"/>
    <w:rsid w:val="004109EA"/>
    <w:rsid w:val="00410B08"/>
    <w:rsid w:val="004111AD"/>
    <w:rsid w:val="004112B3"/>
    <w:rsid w:val="004115A8"/>
    <w:rsid w:val="00411954"/>
    <w:rsid w:val="0041198A"/>
    <w:rsid w:val="00411A43"/>
    <w:rsid w:val="00411A90"/>
    <w:rsid w:val="004121DB"/>
    <w:rsid w:val="00412440"/>
    <w:rsid w:val="004131B5"/>
    <w:rsid w:val="004135F2"/>
    <w:rsid w:val="004137E9"/>
    <w:rsid w:val="00413A33"/>
    <w:rsid w:val="00413E6B"/>
    <w:rsid w:val="00413EC1"/>
    <w:rsid w:val="004140AC"/>
    <w:rsid w:val="0041410B"/>
    <w:rsid w:val="00414204"/>
    <w:rsid w:val="00414252"/>
    <w:rsid w:val="004143E8"/>
    <w:rsid w:val="00414B4E"/>
    <w:rsid w:val="00414E65"/>
    <w:rsid w:val="00414EAE"/>
    <w:rsid w:val="00415130"/>
    <w:rsid w:val="00415385"/>
    <w:rsid w:val="004153D2"/>
    <w:rsid w:val="00415A0A"/>
    <w:rsid w:val="00415B9A"/>
    <w:rsid w:val="00415D18"/>
    <w:rsid w:val="00415E13"/>
    <w:rsid w:val="004164D9"/>
    <w:rsid w:val="0041652D"/>
    <w:rsid w:val="004168B4"/>
    <w:rsid w:val="004178AA"/>
    <w:rsid w:val="00417AAE"/>
    <w:rsid w:val="00417B64"/>
    <w:rsid w:val="00420195"/>
    <w:rsid w:val="00420270"/>
    <w:rsid w:val="00420286"/>
    <w:rsid w:val="004204A0"/>
    <w:rsid w:val="004206A3"/>
    <w:rsid w:val="00420BCE"/>
    <w:rsid w:val="0042123C"/>
    <w:rsid w:val="004212D2"/>
    <w:rsid w:val="004214E1"/>
    <w:rsid w:val="00421CE0"/>
    <w:rsid w:val="00422631"/>
    <w:rsid w:val="00422A9E"/>
    <w:rsid w:val="00422AC7"/>
    <w:rsid w:val="00422BC0"/>
    <w:rsid w:val="00422BF2"/>
    <w:rsid w:val="004230F7"/>
    <w:rsid w:val="00423317"/>
    <w:rsid w:val="00423745"/>
    <w:rsid w:val="004237FB"/>
    <w:rsid w:val="00423A29"/>
    <w:rsid w:val="00423A6A"/>
    <w:rsid w:val="00424463"/>
    <w:rsid w:val="004245F3"/>
    <w:rsid w:val="00424EA8"/>
    <w:rsid w:val="00425251"/>
    <w:rsid w:val="00425320"/>
    <w:rsid w:val="00425328"/>
    <w:rsid w:val="00425C03"/>
    <w:rsid w:val="00425E12"/>
    <w:rsid w:val="00425E3D"/>
    <w:rsid w:val="00425E54"/>
    <w:rsid w:val="0042600A"/>
    <w:rsid w:val="004279C7"/>
    <w:rsid w:val="00427CF2"/>
    <w:rsid w:val="0043024B"/>
    <w:rsid w:val="00430BE9"/>
    <w:rsid w:val="00430D2B"/>
    <w:rsid w:val="0043108A"/>
    <w:rsid w:val="0043132C"/>
    <w:rsid w:val="00431446"/>
    <w:rsid w:val="00431785"/>
    <w:rsid w:val="004317FD"/>
    <w:rsid w:val="00431DA5"/>
    <w:rsid w:val="00431F8E"/>
    <w:rsid w:val="004322AA"/>
    <w:rsid w:val="00432367"/>
    <w:rsid w:val="004323FF"/>
    <w:rsid w:val="004324DD"/>
    <w:rsid w:val="00432761"/>
    <w:rsid w:val="004328E8"/>
    <w:rsid w:val="0043294D"/>
    <w:rsid w:val="00432BBE"/>
    <w:rsid w:val="00432C28"/>
    <w:rsid w:val="00432D94"/>
    <w:rsid w:val="0043339F"/>
    <w:rsid w:val="004334CE"/>
    <w:rsid w:val="004334E7"/>
    <w:rsid w:val="00433785"/>
    <w:rsid w:val="00433C0A"/>
    <w:rsid w:val="00433E7C"/>
    <w:rsid w:val="004340A9"/>
    <w:rsid w:val="004344BB"/>
    <w:rsid w:val="00434EB6"/>
    <w:rsid w:val="004350EA"/>
    <w:rsid w:val="0043576F"/>
    <w:rsid w:val="00435F16"/>
    <w:rsid w:val="004363A4"/>
    <w:rsid w:val="004368D0"/>
    <w:rsid w:val="00436AD6"/>
    <w:rsid w:val="00436AFD"/>
    <w:rsid w:val="00436B67"/>
    <w:rsid w:val="00436DEE"/>
    <w:rsid w:val="00437245"/>
    <w:rsid w:val="004372BD"/>
    <w:rsid w:val="00437550"/>
    <w:rsid w:val="00437B8B"/>
    <w:rsid w:val="004403F1"/>
    <w:rsid w:val="004407E1"/>
    <w:rsid w:val="004414B4"/>
    <w:rsid w:val="004414BB"/>
    <w:rsid w:val="00441766"/>
    <w:rsid w:val="0044187F"/>
    <w:rsid w:val="00441883"/>
    <w:rsid w:val="00441B8B"/>
    <w:rsid w:val="00441C65"/>
    <w:rsid w:val="00441D3E"/>
    <w:rsid w:val="00441FB6"/>
    <w:rsid w:val="00442090"/>
    <w:rsid w:val="004421BC"/>
    <w:rsid w:val="0044279F"/>
    <w:rsid w:val="004428DB"/>
    <w:rsid w:val="004428E1"/>
    <w:rsid w:val="0044299E"/>
    <w:rsid w:val="00442A77"/>
    <w:rsid w:val="00442B2A"/>
    <w:rsid w:val="00442BFB"/>
    <w:rsid w:val="00442CA7"/>
    <w:rsid w:val="00442CB4"/>
    <w:rsid w:val="00442DAA"/>
    <w:rsid w:val="00443E95"/>
    <w:rsid w:val="00444108"/>
    <w:rsid w:val="00444BFD"/>
    <w:rsid w:val="00444E87"/>
    <w:rsid w:val="00444FA9"/>
    <w:rsid w:val="00445216"/>
    <w:rsid w:val="00445299"/>
    <w:rsid w:val="004453EF"/>
    <w:rsid w:val="004455F7"/>
    <w:rsid w:val="00445787"/>
    <w:rsid w:val="00445925"/>
    <w:rsid w:val="00445A3F"/>
    <w:rsid w:val="00445E54"/>
    <w:rsid w:val="0044651C"/>
    <w:rsid w:val="004466A0"/>
    <w:rsid w:val="00446917"/>
    <w:rsid w:val="004469F5"/>
    <w:rsid w:val="00446C17"/>
    <w:rsid w:val="00446CEB"/>
    <w:rsid w:val="00446D89"/>
    <w:rsid w:val="0044706E"/>
    <w:rsid w:val="004473E0"/>
    <w:rsid w:val="0044789F"/>
    <w:rsid w:val="00447A4F"/>
    <w:rsid w:val="00447A9B"/>
    <w:rsid w:val="00447BC6"/>
    <w:rsid w:val="00447C83"/>
    <w:rsid w:val="00447CED"/>
    <w:rsid w:val="00450089"/>
    <w:rsid w:val="004503D2"/>
    <w:rsid w:val="0045081D"/>
    <w:rsid w:val="00450A63"/>
    <w:rsid w:val="00450BFF"/>
    <w:rsid w:val="00451931"/>
    <w:rsid w:val="00451B7B"/>
    <w:rsid w:val="00451C29"/>
    <w:rsid w:val="00451CA4"/>
    <w:rsid w:val="00451F6A"/>
    <w:rsid w:val="0045219A"/>
    <w:rsid w:val="00452298"/>
    <w:rsid w:val="004522B0"/>
    <w:rsid w:val="00452397"/>
    <w:rsid w:val="00452A9A"/>
    <w:rsid w:val="00453020"/>
    <w:rsid w:val="004531EB"/>
    <w:rsid w:val="004536B8"/>
    <w:rsid w:val="004539EC"/>
    <w:rsid w:val="00453A46"/>
    <w:rsid w:val="00453FC4"/>
    <w:rsid w:val="00454836"/>
    <w:rsid w:val="004548EE"/>
    <w:rsid w:val="00454C4C"/>
    <w:rsid w:val="00454F1D"/>
    <w:rsid w:val="00454FFE"/>
    <w:rsid w:val="0045502E"/>
    <w:rsid w:val="00455069"/>
    <w:rsid w:val="00455112"/>
    <w:rsid w:val="0045513E"/>
    <w:rsid w:val="004556D9"/>
    <w:rsid w:val="0045572C"/>
    <w:rsid w:val="004557A8"/>
    <w:rsid w:val="00455ABD"/>
    <w:rsid w:val="00455CBB"/>
    <w:rsid w:val="00455E94"/>
    <w:rsid w:val="00455F4E"/>
    <w:rsid w:val="00456350"/>
    <w:rsid w:val="00456841"/>
    <w:rsid w:val="004568C1"/>
    <w:rsid w:val="004576D5"/>
    <w:rsid w:val="00457922"/>
    <w:rsid w:val="00457B38"/>
    <w:rsid w:val="00457E6D"/>
    <w:rsid w:val="00457EFA"/>
    <w:rsid w:val="00460012"/>
    <w:rsid w:val="00460497"/>
    <w:rsid w:val="00460912"/>
    <w:rsid w:val="00461297"/>
    <w:rsid w:val="00461522"/>
    <w:rsid w:val="00461727"/>
    <w:rsid w:val="00461A74"/>
    <w:rsid w:val="00461A75"/>
    <w:rsid w:val="00461B50"/>
    <w:rsid w:val="00462224"/>
    <w:rsid w:val="0046232D"/>
    <w:rsid w:val="00462421"/>
    <w:rsid w:val="004624B8"/>
    <w:rsid w:val="00462547"/>
    <w:rsid w:val="004626BD"/>
    <w:rsid w:val="00462A3C"/>
    <w:rsid w:val="00462FFF"/>
    <w:rsid w:val="00463162"/>
    <w:rsid w:val="004631B1"/>
    <w:rsid w:val="00463969"/>
    <w:rsid w:val="00463993"/>
    <w:rsid w:val="00463AF5"/>
    <w:rsid w:val="00463B71"/>
    <w:rsid w:val="00463FD8"/>
    <w:rsid w:val="00463FE5"/>
    <w:rsid w:val="00464208"/>
    <w:rsid w:val="0046489D"/>
    <w:rsid w:val="00464B46"/>
    <w:rsid w:val="00464D6C"/>
    <w:rsid w:val="00464E6C"/>
    <w:rsid w:val="004650C7"/>
    <w:rsid w:val="0046567F"/>
    <w:rsid w:val="00465933"/>
    <w:rsid w:val="00465AC7"/>
    <w:rsid w:val="00465C57"/>
    <w:rsid w:val="00465D6B"/>
    <w:rsid w:val="00465EE1"/>
    <w:rsid w:val="00466B3D"/>
    <w:rsid w:val="00466E9D"/>
    <w:rsid w:val="00467017"/>
    <w:rsid w:val="0046714B"/>
    <w:rsid w:val="004675D4"/>
    <w:rsid w:val="004676DD"/>
    <w:rsid w:val="004679BA"/>
    <w:rsid w:val="00467C39"/>
    <w:rsid w:val="004702EF"/>
    <w:rsid w:val="00470658"/>
    <w:rsid w:val="0047150E"/>
    <w:rsid w:val="00471871"/>
    <w:rsid w:val="00471D61"/>
    <w:rsid w:val="00471F2C"/>
    <w:rsid w:val="00472325"/>
    <w:rsid w:val="004726F6"/>
    <w:rsid w:val="00472714"/>
    <w:rsid w:val="00472A58"/>
    <w:rsid w:val="00472EAD"/>
    <w:rsid w:val="0047302B"/>
    <w:rsid w:val="0047316F"/>
    <w:rsid w:val="004733B1"/>
    <w:rsid w:val="004733E4"/>
    <w:rsid w:val="00473572"/>
    <w:rsid w:val="004736A7"/>
    <w:rsid w:val="00473981"/>
    <w:rsid w:val="00474105"/>
    <w:rsid w:val="00474138"/>
    <w:rsid w:val="00474148"/>
    <w:rsid w:val="00474286"/>
    <w:rsid w:val="0047494C"/>
    <w:rsid w:val="00474CB0"/>
    <w:rsid w:val="00474D10"/>
    <w:rsid w:val="00474E8F"/>
    <w:rsid w:val="004752F4"/>
    <w:rsid w:val="0047551B"/>
    <w:rsid w:val="00475A10"/>
    <w:rsid w:val="00475A80"/>
    <w:rsid w:val="00475E0D"/>
    <w:rsid w:val="00476215"/>
    <w:rsid w:val="00476245"/>
    <w:rsid w:val="004763A2"/>
    <w:rsid w:val="00476505"/>
    <w:rsid w:val="0047653F"/>
    <w:rsid w:val="00476671"/>
    <w:rsid w:val="00476E51"/>
    <w:rsid w:val="00476EC3"/>
    <w:rsid w:val="00476F4F"/>
    <w:rsid w:val="00477259"/>
    <w:rsid w:val="004772DF"/>
    <w:rsid w:val="004772E0"/>
    <w:rsid w:val="00477571"/>
    <w:rsid w:val="004776C7"/>
    <w:rsid w:val="00477828"/>
    <w:rsid w:val="00477936"/>
    <w:rsid w:val="00477BE7"/>
    <w:rsid w:val="00477D6F"/>
    <w:rsid w:val="00477DBB"/>
    <w:rsid w:val="004800E3"/>
    <w:rsid w:val="00480326"/>
    <w:rsid w:val="00480962"/>
    <w:rsid w:val="00480B09"/>
    <w:rsid w:val="00480C5A"/>
    <w:rsid w:val="00480FE4"/>
    <w:rsid w:val="00480FEB"/>
    <w:rsid w:val="004813F2"/>
    <w:rsid w:val="00481444"/>
    <w:rsid w:val="00481AA3"/>
    <w:rsid w:val="00481BCD"/>
    <w:rsid w:val="0048216E"/>
    <w:rsid w:val="004821BD"/>
    <w:rsid w:val="0048279B"/>
    <w:rsid w:val="00482C79"/>
    <w:rsid w:val="00483530"/>
    <w:rsid w:val="00483969"/>
    <w:rsid w:val="00483A59"/>
    <w:rsid w:val="00483BB1"/>
    <w:rsid w:val="00483E00"/>
    <w:rsid w:val="00483FBA"/>
    <w:rsid w:val="00483FFD"/>
    <w:rsid w:val="0048413B"/>
    <w:rsid w:val="004842C4"/>
    <w:rsid w:val="00484324"/>
    <w:rsid w:val="0048474D"/>
    <w:rsid w:val="0048475B"/>
    <w:rsid w:val="004848FE"/>
    <w:rsid w:val="00484961"/>
    <w:rsid w:val="0048498A"/>
    <w:rsid w:val="00484ACA"/>
    <w:rsid w:val="00484C99"/>
    <w:rsid w:val="00484D2F"/>
    <w:rsid w:val="00484DF4"/>
    <w:rsid w:val="0048504B"/>
    <w:rsid w:val="004851DC"/>
    <w:rsid w:val="00485439"/>
    <w:rsid w:val="004854F7"/>
    <w:rsid w:val="00485A23"/>
    <w:rsid w:val="00485B2E"/>
    <w:rsid w:val="00485BD4"/>
    <w:rsid w:val="00485D6D"/>
    <w:rsid w:val="00485E18"/>
    <w:rsid w:val="00486063"/>
    <w:rsid w:val="00486070"/>
    <w:rsid w:val="0048671B"/>
    <w:rsid w:val="0048672F"/>
    <w:rsid w:val="00486B84"/>
    <w:rsid w:val="00486E1E"/>
    <w:rsid w:val="00486FD8"/>
    <w:rsid w:val="004873C9"/>
    <w:rsid w:val="004873EA"/>
    <w:rsid w:val="004875EB"/>
    <w:rsid w:val="00487767"/>
    <w:rsid w:val="00487AC2"/>
    <w:rsid w:val="00487C51"/>
    <w:rsid w:val="00487D37"/>
    <w:rsid w:val="0049016D"/>
    <w:rsid w:val="00490263"/>
    <w:rsid w:val="00490264"/>
    <w:rsid w:val="00490C78"/>
    <w:rsid w:val="00490E37"/>
    <w:rsid w:val="0049100E"/>
    <w:rsid w:val="004910AB"/>
    <w:rsid w:val="00491109"/>
    <w:rsid w:val="004911AC"/>
    <w:rsid w:val="004911CA"/>
    <w:rsid w:val="00491299"/>
    <w:rsid w:val="0049135D"/>
    <w:rsid w:val="00491452"/>
    <w:rsid w:val="004916DA"/>
    <w:rsid w:val="0049189C"/>
    <w:rsid w:val="0049200A"/>
    <w:rsid w:val="004923D8"/>
    <w:rsid w:val="004925EC"/>
    <w:rsid w:val="00492724"/>
    <w:rsid w:val="00492881"/>
    <w:rsid w:val="00492B58"/>
    <w:rsid w:val="00492B99"/>
    <w:rsid w:val="004930BF"/>
    <w:rsid w:val="004935AF"/>
    <w:rsid w:val="004937D0"/>
    <w:rsid w:val="004937FE"/>
    <w:rsid w:val="00493F1C"/>
    <w:rsid w:val="004942C7"/>
    <w:rsid w:val="0049451D"/>
    <w:rsid w:val="00494B12"/>
    <w:rsid w:val="004957AA"/>
    <w:rsid w:val="00495A42"/>
    <w:rsid w:val="00495BDC"/>
    <w:rsid w:val="00495BF2"/>
    <w:rsid w:val="00495CD3"/>
    <w:rsid w:val="00495E4C"/>
    <w:rsid w:val="00495F94"/>
    <w:rsid w:val="0049604D"/>
    <w:rsid w:val="00496230"/>
    <w:rsid w:val="00496D2A"/>
    <w:rsid w:val="0049722E"/>
    <w:rsid w:val="004975A9"/>
    <w:rsid w:val="00497A39"/>
    <w:rsid w:val="004A00D0"/>
    <w:rsid w:val="004A0420"/>
    <w:rsid w:val="004A0679"/>
    <w:rsid w:val="004A0E26"/>
    <w:rsid w:val="004A0F54"/>
    <w:rsid w:val="004A0FF6"/>
    <w:rsid w:val="004A1249"/>
    <w:rsid w:val="004A12AD"/>
    <w:rsid w:val="004A1600"/>
    <w:rsid w:val="004A1881"/>
    <w:rsid w:val="004A1A4C"/>
    <w:rsid w:val="004A1F37"/>
    <w:rsid w:val="004A1FF2"/>
    <w:rsid w:val="004A2384"/>
    <w:rsid w:val="004A259F"/>
    <w:rsid w:val="004A2779"/>
    <w:rsid w:val="004A2B38"/>
    <w:rsid w:val="004A2D35"/>
    <w:rsid w:val="004A2DE6"/>
    <w:rsid w:val="004A2DF9"/>
    <w:rsid w:val="004A2F45"/>
    <w:rsid w:val="004A317B"/>
    <w:rsid w:val="004A38CD"/>
    <w:rsid w:val="004A3C4B"/>
    <w:rsid w:val="004A3DC3"/>
    <w:rsid w:val="004A4458"/>
    <w:rsid w:val="004A4A3E"/>
    <w:rsid w:val="004A4B69"/>
    <w:rsid w:val="004A4E8E"/>
    <w:rsid w:val="004A5242"/>
    <w:rsid w:val="004A526E"/>
    <w:rsid w:val="004A5430"/>
    <w:rsid w:val="004A54D2"/>
    <w:rsid w:val="004A55BE"/>
    <w:rsid w:val="004A6291"/>
    <w:rsid w:val="004A64D3"/>
    <w:rsid w:val="004A66B0"/>
    <w:rsid w:val="004A6F7E"/>
    <w:rsid w:val="004A701E"/>
    <w:rsid w:val="004A7182"/>
    <w:rsid w:val="004A71B2"/>
    <w:rsid w:val="004A7297"/>
    <w:rsid w:val="004A7653"/>
    <w:rsid w:val="004A776C"/>
    <w:rsid w:val="004A789D"/>
    <w:rsid w:val="004A7B30"/>
    <w:rsid w:val="004A7FBA"/>
    <w:rsid w:val="004B0108"/>
    <w:rsid w:val="004B012D"/>
    <w:rsid w:val="004B024E"/>
    <w:rsid w:val="004B0452"/>
    <w:rsid w:val="004B0466"/>
    <w:rsid w:val="004B05AE"/>
    <w:rsid w:val="004B09E9"/>
    <w:rsid w:val="004B1463"/>
    <w:rsid w:val="004B1FFF"/>
    <w:rsid w:val="004B2088"/>
    <w:rsid w:val="004B21BA"/>
    <w:rsid w:val="004B2265"/>
    <w:rsid w:val="004B23E5"/>
    <w:rsid w:val="004B2527"/>
    <w:rsid w:val="004B3096"/>
    <w:rsid w:val="004B30C4"/>
    <w:rsid w:val="004B31D0"/>
    <w:rsid w:val="004B321C"/>
    <w:rsid w:val="004B36EF"/>
    <w:rsid w:val="004B3E3B"/>
    <w:rsid w:val="004B3F3C"/>
    <w:rsid w:val="004B3FB7"/>
    <w:rsid w:val="004B470E"/>
    <w:rsid w:val="004B4BD8"/>
    <w:rsid w:val="004B4CCD"/>
    <w:rsid w:val="004B4E11"/>
    <w:rsid w:val="004B512C"/>
    <w:rsid w:val="004B5A2E"/>
    <w:rsid w:val="004B5E6C"/>
    <w:rsid w:val="004B60FA"/>
    <w:rsid w:val="004B6226"/>
    <w:rsid w:val="004B641C"/>
    <w:rsid w:val="004B6785"/>
    <w:rsid w:val="004B68FE"/>
    <w:rsid w:val="004B6BAC"/>
    <w:rsid w:val="004B6BD5"/>
    <w:rsid w:val="004B7131"/>
    <w:rsid w:val="004B7430"/>
    <w:rsid w:val="004B75EE"/>
    <w:rsid w:val="004B764E"/>
    <w:rsid w:val="004B7690"/>
    <w:rsid w:val="004B76B8"/>
    <w:rsid w:val="004B7D5C"/>
    <w:rsid w:val="004C01A2"/>
    <w:rsid w:val="004C09F2"/>
    <w:rsid w:val="004C0D83"/>
    <w:rsid w:val="004C0E40"/>
    <w:rsid w:val="004C0E88"/>
    <w:rsid w:val="004C0EAD"/>
    <w:rsid w:val="004C14FE"/>
    <w:rsid w:val="004C15E9"/>
    <w:rsid w:val="004C2253"/>
    <w:rsid w:val="004C22EC"/>
    <w:rsid w:val="004C2F24"/>
    <w:rsid w:val="004C3BF7"/>
    <w:rsid w:val="004C3C41"/>
    <w:rsid w:val="004C3D33"/>
    <w:rsid w:val="004C3FEF"/>
    <w:rsid w:val="004C42E4"/>
    <w:rsid w:val="004C431A"/>
    <w:rsid w:val="004C440E"/>
    <w:rsid w:val="004C46B4"/>
    <w:rsid w:val="004C47BA"/>
    <w:rsid w:val="004C49B9"/>
    <w:rsid w:val="004C4CCA"/>
    <w:rsid w:val="004C514C"/>
    <w:rsid w:val="004C5244"/>
    <w:rsid w:val="004C52D3"/>
    <w:rsid w:val="004C5DA1"/>
    <w:rsid w:val="004C5E58"/>
    <w:rsid w:val="004C5ECB"/>
    <w:rsid w:val="004C602E"/>
    <w:rsid w:val="004C68CD"/>
    <w:rsid w:val="004C68E5"/>
    <w:rsid w:val="004C6994"/>
    <w:rsid w:val="004C6BF9"/>
    <w:rsid w:val="004C7039"/>
    <w:rsid w:val="004C704C"/>
    <w:rsid w:val="004C71AD"/>
    <w:rsid w:val="004C74EE"/>
    <w:rsid w:val="004C7911"/>
    <w:rsid w:val="004C7DD0"/>
    <w:rsid w:val="004C7EF6"/>
    <w:rsid w:val="004C7F08"/>
    <w:rsid w:val="004D0873"/>
    <w:rsid w:val="004D0A23"/>
    <w:rsid w:val="004D0AE6"/>
    <w:rsid w:val="004D17AD"/>
    <w:rsid w:val="004D18A2"/>
    <w:rsid w:val="004D20EA"/>
    <w:rsid w:val="004D2462"/>
    <w:rsid w:val="004D28F8"/>
    <w:rsid w:val="004D2975"/>
    <w:rsid w:val="004D2DE3"/>
    <w:rsid w:val="004D30EC"/>
    <w:rsid w:val="004D33A7"/>
    <w:rsid w:val="004D3666"/>
    <w:rsid w:val="004D38A7"/>
    <w:rsid w:val="004D3A0B"/>
    <w:rsid w:val="004D3C90"/>
    <w:rsid w:val="004D3E34"/>
    <w:rsid w:val="004D3ED4"/>
    <w:rsid w:val="004D4021"/>
    <w:rsid w:val="004D4316"/>
    <w:rsid w:val="004D4438"/>
    <w:rsid w:val="004D4547"/>
    <w:rsid w:val="004D4935"/>
    <w:rsid w:val="004D4B72"/>
    <w:rsid w:val="004D4B79"/>
    <w:rsid w:val="004D4FB0"/>
    <w:rsid w:val="004D50C6"/>
    <w:rsid w:val="004D515A"/>
    <w:rsid w:val="004D577C"/>
    <w:rsid w:val="004D6101"/>
    <w:rsid w:val="004D620E"/>
    <w:rsid w:val="004D6365"/>
    <w:rsid w:val="004D6A07"/>
    <w:rsid w:val="004D6AC2"/>
    <w:rsid w:val="004D6B05"/>
    <w:rsid w:val="004D6B97"/>
    <w:rsid w:val="004D6DA6"/>
    <w:rsid w:val="004D6E58"/>
    <w:rsid w:val="004D76F9"/>
    <w:rsid w:val="004D7D54"/>
    <w:rsid w:val="004D7E11"/>
    <w:rsid w:val="004D7ECF"/>
    <w:rsid w:val="004D7F66"/>
    <w:rsid w:val="004D7FF7"/>
    <w:rsid w:val="004E007E"/>
    <w:rsid w:val="004E008A"/>
    <w:rsid w:val="004E05AE"/>
    <w:rsid w:val="004E07C3"/>
    <w:rsid w:val="004E07CD"/>
    <w:rsid w:val="004E099D"/>
    <w:rsid w:val="004E0C20"/>
    <w:rsid w:val="004E1311"/>
    <w:rsid w:val="004E1414"/>
    <w:rsid w:val="004E1422"/>
    <w:rsid w:val="004E162E"/>
    <w:rsid w:val="004E1716"/>
    <w:rsid w:val="004E25F6"/>
    <w:rsid w:val="004E2ED4"/>
    <w:rsid w:val="004E314E"/>
    <w:rsid w:val="004E3537"/>
    <w:rsid w:val="004E371E"/>
    <w:rsid w:val="004E3D30"/>
    <w:rsid w:val="004E3E0B"/>
    <w:rsid w:val="004E3E31"/>
    <w:rsid w:val="004E4166"/>
    <w:rsid w:val="004E4263"/>
    <w:rsid w:val="004E4513"/>
    <w:rsid w:val="004E45C8"/>
    <w:rsid w:val="004E49A7"/>
    <w:rsid w:val="004E4A08"/>
    <w:rsid w:val="004E4AD8"/>
    <w:rsid w:val="004E4C00"/>
    <w:rsid w:val="004E4F74"/>
    <w:rsid w:val="004E4FCA"/>
    <w:rsid w:val="004E51BC"/>
    <w:rsid w:val="004E5915"/>
    <w:rsid w:val="004E5918"/>
    <w:rsid w:val="004E5B4F"/>
    <w:rsid w:val="004E5D9D"/>
    <w:rsid w:val="004E5E24"/>
    <w:rsid w:val="004E5EAB"/>
    <w:rsid w:val="004E6557"/>
    <w:rsid w:val="004E666A"/>
    <w:rsid w:val="004E6764"/>
    <w:rsid w:val="004E682D"/>
    <w:rsid w:val="004E6E33"/>
    <w:rsid w:val="004E6F9C"/>
    <w:rsid w:val="004E702D"/>
    <w:rsid w:val="004E75C1"/>
    <w:rsid w:val="004E769A"/>
    <w:rsid w:val="004E79A8"/>
    <w:rsid w:val="004E7DAA"/>
    <w:rsid w:val="004F00DE"/>
    <w:rsid w:val="004F05F1"/>
    <w:rsid w:val="004F07AD"/>
    <w:rsid w:val="004F0921"/>
    <w:rsid w:val="004F098F"/>
    <w:rsid w:val="004F0B4D"/>
    <w:rsid w:val="004F0E5C"/>
    <w:rsid w:val="004F0EF2"/>
    <w:rsid w:val="004F10F4"/>
    <w:rsid w:val="004F1284"/>
    <w:rsid w:val="004F17A3"/>
    <w:rsid w:val="004F185D"/>
    <w:rsid w:val="004F1F45"/>
    <w:rsid w:val="004F27BE"/>
    <w:rsid w:val="004F2C4C"/>
    <w:rsid w:val="004F2DA3"/>
    <w:rsid w:val="004F3003"/>
    <w:rsid w:val="004F314D"/>
    <w:rsid w:val="004F317C"/>
    <w:rsid w:val="004F36B3"/>
    <w:rsid w:val="004F36FE"/>
    <w:rsid w:val="004F3CAB"/>
    <w:rsid w:val="004F3F28"/>
    <w:rsid w:val="004F3F9F"/>
    <w:rsid w:val="004F45F5"/>
    <w:rsid w:val="004F465D"/>
    <w:rsid w:val="004F470B"/>
    <w:rsid w:val="004F4916"/>
    <w:rsid w:val="004F4A38"/>
    <w:rsid w:val="004F4F61"/>
    <w:rsid w:val="004F5493"/>
    <w:rsid w:val="004F5B81"/>
    <w:rsid w:val="004F5C5A"/>
    <w:rsid w:val="004F5C84"/>
    <w:rsid w:val="004F5E2B"/>
    <w:rsid w:val="004F658C"/>
    <w:rsid w:val="004F65D5"/>
    <w:rsid w:val="004F672D"/>
    <w:rsid w:val="004F67BD"/>
    <w:rsid w:val="004F7241"/>
    <w:rsid w:val="004F7A41"/>
    <w:rsid w:val="004F7E41"/>
    <w:rsid w:val="004F7F9B"/>
    <w:rsid w:val="005001DE"/>
    <w:rsid w:val="00500452"/>
    <w:rsid w:val="00500486"/>
    <w:rsid w:val="005006A4"/>
    <w:rsid w:val="00500C8C"/>
    <w:rsid w:val="00500CEE"/>
    <w:rsid w:val="00500DDE"/>
    <w:rsid w:val="00501332"/>
    <w:rsid w:val="005013EE"/>
    <w:rsid w:val="005013EF"/>
    <w:rsid w:val="005015E9"/>
    <w:rsid w:val="005019B4"/>
    <w:rsid w:val="00501C29"/>
    <w:rsid w:val="00501C48"/>
    <w:rsid w:val="00501C78"/>
    <w:rsid w:val="00501DC1"/>
    <w:rsid w:val="0050223E"/>
    <w:rsid w:val="005023E7"/>
    <w:rsid w:val="005026E3"/>
    <w:rsid w:val="005027E5"/>
    <w:rsid w:val="0050289F"/>
    <w:rsid w:val="00502A25"/>
    <w:rsid w:val="00502C44"/>
    <w:rsid w:val="00503547"/>
    <w:rsid w:val="00503744"/>
    <w:rsid w:val="00503820"/>
    <w:rsid w:val="005047F9"/>
    <w:rsid w:val="00504EFB"/>
    <w:rsid w:val="00504F54"/>
    <w:rsid w:val="0050500A"/>
    <w:rsid w:val="00505A18"/>
    <w:rsid w:val="00505D3B"/>
    <w:rsid w:val="005063A7"/>
    <w:rsid w:val="005064F5"/>
    <w:rsid w:val="005068C1"/>
    <w:rsid w:val="0050693C"/>
    <w:rsid w:val="005069CE"/>
    <w:rsid w:val="00506EE3"/>
    <w:rsid w:val="00506F4E"/>
    <w:rsid w:val="005072AA"/>
    <w:rsid w:val="00507311"/>
    <w:rsid w:val="0050737E"/>
    <w:rsid w:val="00507BA3"/>
    <w:rsid w:val="00507CFE"/>
    <w:rsid w:val="00507E3D"/>
    <w:rsid w:val="0051052A"/>
    <w:rsid w:val="005106A2"/>
    <w:rsid w:val="0051080D"/>
    <w:rsid w:val="00510AA7"/>
    <w:rsid w:val="00510CFB"/>
    <w:rsid w:val="00510EAB"/>
    <w:rsid w:val="00511131"/>
    <w:rsid w:val="00511771"/>
    <w:rsid w:val="00511A79"/>
    <w:rsid w:val="00511D9E"/>
    <w:rsid w:val="00512033"/>
    <w:rsid w:val="00512439"/>
    <w:rsid w:val="00512BB8"/>
    <w:rsid w:val="00512CBA"/>
    <w:rsid w:val="0051319F"/>
    <w:rsid w:val="005132F0"/>
    <w:rsid w:val="00513621"/>
    <w:rsid w:val="00513743"/>
    <w:rsid w:val="0051376B"/>
    <w:rsid w:val="00513F64"/>
    <w:rsid w:val="00514031"/>
    <w:rsid w:val="00514151"/>
    <w:rsid w:val="005141A5"/>
    <w:rsid w:val="005144CB"/>
    <w:rsid w:val="00514614"/>
    <w:rsid w:val="00514659"/>
    <w:rsid w:val="0051465E"/>
    <w:rsid w:val="00514C00"/>
    <w:rsid w:val="00514C3E"/>
    <w:rsid w:val="00514E47"/>
    <w:rsid w:val="00514FA7"/>
    <w:rsid w:val="00514FB2"/>
    <w:rsid w:val="005150EB"/>
    <w:rsid w:val="00515258"/>
    <w:rsid w:val="00515BD5"/>
    <w:rsid w:val="00515C89"/>
    <w:rsid w:val="0051612F"/>
    <w:rsid w:val="0051622B"/>
    <w:rsid w:val="00516E7F"/>
    <w:rsid w:val="00516FF5"/>
    <w:rsid w:val="005175D4"/>
    <w:rsid w:val="00517A00"/>
    <w:rsid w:val="00517A9A"/>
    <w:rsid w:val="00517CB4"/>
    <w:rsid w:val="005204C5"/>
    <w:rsid w:val="005204C7"/>
    <w:rsid w:val="0052065D"/>
    <w:rsid w:val="005207DC"/>
    <w:rsid w:val="00520D75"/>
    <w:rsid w:val="00520F9F"/>
    <w:rsid w:val="005211A7"/>
    <w:rsid w:val="00521789"/>
    <w:rsid w:val="00521AE3"/>
    <w:rsid w:val="00522100"/>
    <w:rsid w:val="0052247B"/>
    <w:rsid w:val="005224DE"/>
    <w:rsid w:val="0052299C"/>
    <w:rsid w:val="00522B47"/>
    <w:rsid w:val="00522C06"/>
    <w:rsid w:val="005233DD"/>
    <w:rsid w:val="0052340B"/>
    <w:rsid w:val="005234F0"/>
    <w:rsid w:val="005235E5"/>
    <w:rsid w:val="005236F4"/>
    <w:rsid w:val="0052374F"/>
    <w:rsid w:val="00523E39"/>
    <w:rsid w:val="00524331"/>
    <w:rsid w:val="0052490E"/>
    <w:rsid w:val="00524B23"/>
    <w:rsid w:val="00524C3A"/>
    <w:rsid w:val="00524F46"/>
    <w:rsid w:val="005253E2"/>
    <w:rsid w:val="00525C6C"/>
    <w:rsid w:val="00525DC1"/>
    <w:rsid w:val="00525FDD"/>
    <w:rsid w:val="0052646C"/>
    <w:rsid w:val="005268A4"/>
    <w:rsid w:val="005269DC"/>
    <w:rsid w:val="00526A0C"/>
    <w:rsid w:val="00526B89"/>
    <w:rsid w:val="00526E83"/>
    <w:rsid w:val="00526FD4"/>
    <w:rsid w:val="00527066"/>
    <w:rsid w:val="005272DB"/>
    <w:rsid w:val="0052761A"/>
    <w:rsid w:val="00527A9E"/>
    <w:rsid w:val="0053007A"/>
    <w:rsid w:val="005300B2"/>
    <w:rsid w:val="005301E2"/>
    <w:rsid w:val="00530292"/>
    <w:rsid w:val="00530751"/>
    <w:rsid w:val="0053077A"/>
    <w:rsid w:val="0053082C"/>
    <w:rsid w:val="005311AD"/>
    <w:rsid w:val="005311E7"/>
    <w:rsid w:val="0053139B"/>
    <w:rsid w:val="0053155D"/>
    <w:rsid w:val="00531581"/>
    <w:rsid w:val="0053172D"/>
    <w:rsid w:val="00531EF9"/>
    <w:rsid w:val="00532066"/>
    <w:rsid w:val="00532188"/>
    <w:rsid w:val="0053222D"/>
    <w:rsid w:val="00532AAC"/>
    <w:rsid w:val="00532FF8"/>
    <w:rsid w:val="00533296"/>
    <w:rsid w:val="005333D1"/>
    <w:rsid w:val="0053344E"/>
    <w:rsid w:val="00533956"/>
    <w:rsid w:val="0053417E"/>
    <w:rsid w:val="00534294"/>
    <w:rsid w:val="005343D3"/>
    <w:rsid w:val="005347A7"/>
    <w:rsid w:val="005347B9"/>
    <w:rsid w:val="005347EA"/>
    <w:rsid w:val="00534DDE"/>
    <w:rsid w:val="00534F63"/>
    <w:rsid w:val="00535413"/>
    <w:rsid w:val="005354F3"/>
    <w:rsid w:val="0053554A"/>
    <w:rsid w:val="0053567C"/>
    <w:rsid w:val="005356FE"/>
    <w:rsid w:val="00535AFD"/>
    <w:rsid w:val="005367F2"/>
    <w:rsid w:val="00536813"/>
    <w:rsid w:val="005368D3"/>
    <w:rsid w:val="00536A29"/>
    <w:rsid w:val="00536A85"/>
    <w:rsid w:val="00536DAE"/>
    <w:rsid w:val="00536F4F"/>
    <w:rsid w:val="00537435"/>
    <w:rsid w:val="00537A4A"/>
    <w:rsid w:val="00537C53"/>
    <w:rsid w:val="00537E2A"/>
    <w:rsid w:val="00540008"/>
    <w:rsid w:val="005403A5"/>
    <w:rsid w:val="005406D4"/>
    <w:rsid w:val="005407B2"/>
    <w:rsid w:val="005407B8"/>
    <w:rsid w:val="005407EC"/>
    <w:rsid w:val="0054080A"/>
    <w:rsid w:val="005411FB"/>
    <w:rsid w:val="0054155D"/>
    <w:rsid w:val="005418F4"/>
    <w:rsid w:val="00542556"/>
    <w:rsid w:val="00542659"/>
    <w:rsid w:val="005427F8"/>
    <w:rsid w:val="00542EDD"/>
    <w:rsid w:val="00542F01"/>
    <w:rsid w:val="0054346C"/>
    <w:rsid w:val="0054357D"/>
    <w:rsid w:val="00543AAF"/>
    <w:rsid w:val="00543F02"/>
    <w:rsid w:val="005440A7"/>
    <w:rsid w:val="0054455F"/>
    <w:rsid w:val="00544808"/>
    <w:rsid w:val="00544DF3"/>
    <w:rsid w:val="00545853"/>
    <w:rsid w:val="00545BC0"/>
    <w:rsid w:val="00545CDA"/>
    <w:rsid w:val="00545E14"/>
    <w:rsid w:val="00545E57"/>
    <w:rsid w:val="00545F5F"/>
    <w:rsid w:val="005460D0"/>
    <w:rsid w:val="0054631F"/>
    <w:rsid w:val="005463D4"/>
    <w:rsid w:val="00546844"/>
    <w:rsid w:val="00546F5A"/>
    <w:rsid w:val="00546FA3"/>
    <w:rsid w:val="005470E4"/>
    <w:rsid w:val="005470F8"/>
    <w:rsid w:val="00547166"/>
    <w:rsid w:val="005471DE"/>
    <w:rsid w:val="00547565"/>
    <w:rsid w:val="0054776A"/>
    <w:rsid w:val="005478E9"/>
    <w:rsid w:val="00547AC7"/>
    <w:rsid w:val="00547ACD"/>
    <w:rsid w:val="00547F8D"/>
    <w:rsid w:val="00550113"/>
    <w:rsid w:val="00550124"/>
    <w:rsid w:val="00550B7A"/>
    <w:rsid w:val="005512D2"/>
    <w:rsid w:val="005519F3"/>
    <w:rsid w:val="00551C85"/>
    <w:rsid w:val="005521B9"/>
    <w:rsid w:val="005522A6"/>
    <w:rsid w:val="00552554"/>
    <w:rsid w:val="00552663"/>
    <w:rsid w:val="0055273D"/>
    <w:rsid w:val="005528D1"/>
    <w:rsid w:val="00552AE7"/>
    <w:rsid w:val="00552BFA"/>
    <w:rsid w:val="00552E9D"/>
    <w:rsid w:val="00552F44"/>
    <w:rsid w:val="00553047"/>
    <w:rsid w:val="0055314C"/>
    <w:rsid w:val="005539B3"/>
    <w:rsid w:val="00553A08"/>
    <w:rsid w:val="00553B07"/>
    <w:rsid w:val="00554372"/>
    <w:rsid w:val="00554481"/>
    <w:rsid w:val="00554F93"/>
    <w:rsid w:val="00555045"/>
    <w:rsid w:val="00555424"/>
    <w:rsid w:val="00555445"/>
    <w:rsid w:val="00555579"/>
    <w:rsid w:val="005558C9"/>
    <w:rsid w:val="00555BA9"/>
    <w:rsid w:val="00555FCA"/>
    <w:rsid w:val="00556288"/>
    <w:rsid w:val="005562E1"/>
    <w:rsid w:val="00556516"/>
    <w:rsid w:val="00556854"/>
    <w:rsid w:val="0055687E"/>
    <w:rsid w:val="005568BA"/>
    <w:rsid w:val="005569CD"/>
    <w:rsid w:val="00557080"/>
    <w:rsid w:val="00557187"/>
    <w:rsid w:val="005571D6"/>
    <w:rsid w:val="0055737C"/>
    <w:rsid w:val="0055743A"/>
    <w:rsid w:val="00557641"/>
    <w:rsid w:val="00557817"/>
    <w:rsid w:val="00557CBA"/>
    <w:rsid w:val="00557FF4"/>
    <w:rsid w:val="00560530"/>
    <w:rsid w:val="0056093F"/>
    <w:rsid w:val="00560E2F"/>
    <w:rsid w:val="00560F69"/>
    <w:rsid w:val="00561047"/>
    <w:rsid w:val="005610D4"/>
    <w:rsid w:val="00561114"/>
    <w:rsid w:val="005612BC"/>
    <w:rsid w:val="00561552"/>
    <w:rsid w:val="005618B7"/>
    <w:rsid w:val="00561C99"/>
    <w:rsid w:val="005622E0"/>
    <w:rsid w:val="005625BD"/>
    <w:rsid w:val="0056265F"/>
    <w:rsid w:val="005626CE"/>
    <w:rsid w:val="0056281F"/>
    <w:rsid w:val="00562976"/>
    <w:rsid w:val="00562B1F"/>
    <w:rsid w:val="00562B7A"/>
    <w:rsid w:val="00562C82"/>
    <w:rsid w:val="00562EE0"/>
    <w:rsid w:val="005630DD"/>
    <w:rsid w:val="00563256"/>
    <w:rsid w:val="00563901"/>
    <w:rsid w:val="00563CC1"/>
    <w:rsid w:val="00563F29"/>
    <w:rsid w:val="00563F68"/>
    <w:rsid w:val="00563FEA"/>
    <w:rsid w:val="00564096"/>
    <w:rsid w:val="0056414E"/>
    <w:rsid w:val="005645F2"/>
    <w:rsid w:val="00564A75"/>
    <w:rsid w:val="00564C9F"/>
    <w:rsid w:val="00564D3D"/>
    <w:rsid w:val="00564F62"/>
    <w:rsid w:val="00565545"/>
    <w:rsid w:val="005656D3"/>
    <w:rsid w:val="00565991"/>
    <w:rsid w:val="00565BD7"/>
    <w:rsid w:val="00565F72"/>
    <w:rsid w:val="005665C5"/>
    <w:rsid w:val="00566787"/>
    <w:rsid w:val="005667C3"/>
    <w:rsid w:val="00566860"/>
    <w:rsid w:val="00566A56"/>
    <w:rsid w:val="00567397"/>
    <w:rsid w:val="0056789D"/>
    <w:rsid w:val="005678DC"/>
    <w:rsid w:val="005678DE"/>
    <w:rsid w:val="00567B6F"/>
    <w:rsid w:val="00567FBE"/>
    <w:rsid w:val="005702CE"/>
    <w:rsid w:val="00570313"/>
    <w:rsid w:val="00570452"/>
    <w:rsid w:val="0057059C"/>
    <w:rsid w:val="00570981"/>
    <w:rsid w:val="00570CF5"/>
    <w:rsid w:val="00570D08"/>
    <w:rsid w:val="00570FC5"/>
    <w:rsid w:val="00571581"/>
    <w:rsid w:val="00571594"/>
    <w:rsid w:val="00571B1D"/>
    <w:rsid w:val="00571CE2"/>
    <w:rsid w:val="00571D62"/>
    <w:rsid w:val="00571DD3"/>
    <w:rsid w:val="005720BD"/>
    <w:rsid w:val="00572202"/>
    <w:rsid w:val="005722B8"/>
    <w:rsid w:val="0057250C"/>
    <w:rsid w:val="00572541"/>
    <w:rsid w:val="00572775"/>
    <w:rsid w:val="005727B9"/>
    <w:rsid w:val="00572A54"/>
    <w:rsid w:val="00572E34"/>
    <w:rsid w:val="00572E7A"/>
    <w:rsid w:val="0057305A"/>
    <w:rsid w:val="005732A1"/>
    <w:rsid w:val="00573A7C"/>
    <w:rsid w:val="00573FF2"/>
    <w:rsid w:val="00574563"/>
    <w:rsid w:val="00574659"/>
    <w:rsid w:val="0057470D"/>
    <w:rsid w:val="00574801"/>
    <w:rsid w:val="00574D2D"/>
    <w:rsid w:val="00574DDC"/>
    <w:rsid w:val="00575056"/>
    <w:rsid w:val="0057518D"/>
    <w:rsid w:val="0057580F"/>
    <w:rsid w:val="0057588C"/>
    <w:rsid w:val="0057595B"/>
    <w:rsid w:val="005759FB"/>
    <w:rsid w:val="00575BF2"/>
    <w:rsid w:val="00575CAE"/>
    <w:rsid w:val="00575D43"/>
    <w:rsid w:val="00575EBF"/>
    <w:rsid w:val="00575F9E"/>
    <w:rsid w:val="005761F2"/>
    <w:rsid w:val="005766EA"/>
    <w:rsid w:val="00576934"/>
    <w:rsid w:val="00576D71"/>
    <w:rsid w:val="00576F84"/>
    <w:rsid w:val="00576F9F"/>
    <w:rsid w:val="0057759A"/>
    <w:rsid w:val="005778B4"/>
    <w:rsid w:val="005779A0"/>
    <w:rsid w:val="00577C3E"/>
    <w:rsid w:val="00577C56"/>
    <w:rsid w:val="00577EE2"/>
    <w:rsid w:val="005800AC"/>
    <w:rsid w:val="00580126"/>
    <w:rsid w:val="00580229"/>
    <w:rsid w:val="005804AF"/>
    <w:rsid w:val="005807C9"/>
    <w:rsid w:val="005807D6"/>
    <w:rsid w:val="005809D5"/>
    <w:rsid w:val="0058152B"/>
    <w:rsid w:val="00581682"/>
    <w:rsid w:val="005817B4"/>
    <w:rsid w:val="00581818"/>
    <w:rsid w:val="0058198E"/>
    <w:rsid w:val="00581A1D"/>
    <w:rsid w:val="00581A8F"/>
    <w:rsid w:val="00581E58"/>
    <w:rsid w:val="00581E96"/>
    <w:rsid w:val="00581FED"/>
    <w:rsid w:val="005825D7"/>
    <w:rsid w:val="0058281F"/>
    <w:rsid w:val="00582894"/>
    <w:rsid w:val="00582A76"/>
    <w:rsid w:val="00582FAB"/>
    <w:rsid w:val="0058330B"/>
    <w:rsid w:val="0058332E"/>
    <w:rsid w:val="00583A48"/>
    <w:rsid w:val="00583B99"/>
    <w:rsid w:val="00583DB2"/>
    <w:rsid w:val="005840B9"/>
    <w:rsid w:val="00584321"/>
    <w:rsid w:val="0058446A"/>
    <w:rsid w:val="005844BA"/>
    <w:rsid w:val="0058453D"/>
    <w:rsid w:val="00584A37"/>
    <w:rsid w:val="00584F66"/>
    <w:rsid w:val="005853BF"/>
    <w:rsid w:val="0058552D"/>
    <w:rsid w:val="00585531"/>
    <w:rsid w:val="005855FD"/>
    <w:rsid w:val="00585888"/>
    <w:rsid w:val="00585B1F"/>
    <w:rsid w:val="00585D5E"/>
    <w:rsid w:val="00585E9B"/>
    <w:rsid w:val="00585FE0"/>
    <w:rsid w:val="005861EC"/>
    <w:rsid w:val="00586499"/>
    <w:rsid w:val="005867CA"/>
    <w:rsid w:val="0058683D"/>
    <w:rsid w:val="005869BF"/>
    <w:rsid w:val="00586A9E"/>
    <w:rsid w:val="00586B8D"/>
    <w:rsid w:val="00586FE1"/>
    <w:rsid w:val="00587013"/>
    <w:rsid w:val="0058737B"/>
    <w:rsid w:val="00587DD0"/>
    <w:rsid w:val="00587FD7"/>
    <w:rsid w:val="00590AF1"/>
    <w:rsid w:val="00590E1A"/>
    <w:rsid w:val="005912C0"/>
    <w:rsid w:val="00591328"/>
    <w:rsid w:val="00591469"/>
    <w:rsid w:val="0059174C"/>
    <w:rsid w:val="00591DB5"/>
    <w:rsid w:val="00592578"/>
    <w:rsid w:val="00592705"/>
    <w:rsid w:val="00592BA7"/>
    <w:rsid w:val="00592C1E"/>
    <w:rsid w:val="00592C27"/>
    <w:rsid w:val="00593006"/>
    <w:rsid w:val="00593165"/>
    <w:rsid w:val="00593782"/>
    <w:rsid w:val="00593F68"/>
    <w:rsid w:val="00594155"/>
    <w:rsid w:val="00594287"/>
    <w:rsid w:val="005946F6"/>
    <w:rsid w:val="00594AC2"/>
    <w:rsid w:val="00595078"/>
    <w:rsid w:val="00595209"/>
    <w:rsid w:val="005952C7"/>
    <w:rsid w:val="0059552A"/>
    <w:rsid w:val="00595B2B"/>
    <w:rsid w:val="00595B48"/>
    <w:rsid w:val="00595FEE"/>
    <w:rsid w:val="00596033"/>
    <w:rsid w:val="005964B2"/>
    <w:rsid w:val="005965D4"/>
    <w:rsid w:val="00596945"/>
    <w:rsid w:val="00596B3C"/>
    <w:rsid w:val="00596EDF"/>
    <w:rsid w:val="00597152"/>
    <w:rsid w:val="005971D0"/>
    <w:rsid w:val="005972EC"/>
    <w:rsid w:val="0059742F"/>
    <w:rsid w:val="005975D0"/>
    <w:rsid w:val="005976B6"/>
    <w:rsid w:val="0059795F"/>
    <w:rsid w:val="0059799E"/>
    <w:rsid w:val="00597B90"/>
    <w:rsid w:val="00597DB1"/>
    <w:rsid w:val="00597EB9"/>
    <w:rsid w:val="00597FA2"/>
    <w:rsid w:val="005A010F"/>
    <w:rsid w:val="005A044F"/>
    <w:rsid w:val="005A0612"/>
    <w:rsid w:val="005A0861"/>
    <w:rsid w:val="005A09A2"/>
    <w:rsid w:val="005A0C98"/>
    <w:rsid w:val="005A0CFD"/>
    <w:rsid w:val="005A1105"/>
    <w:rsid w:val="005A181B"/>
    <w:rsid w:val="005A1903"/>
    <w:rsid w:val="005A19CD"/>
    <w:rsid w:val="005A1EA8"/>
    <w:rsid w:val="005A1FA3"/>
    <w:rsid w:val="005A2175"/>
    <w:rsid w:val="005A291B"/>
    <w:rsid w:val="005A2C2B"/>
    <w:rsid w:val="005A2D55"/>
    <w:rsid w:val="005A2E64"/>
    <w:rsid w:val="005A324E"/>
    <w:rsid w:val="005A328C"/>
    <w:rsid w:val="005A3758"/>
    <w:rsid w:val="005A3844"/>
    <w:rsid w:val="005A3929"/>
    <w:rsid w:val="005A397C"/>
    <w:rsid w:val="005A3AE2"/>
    <w:rsid w:val="005A4057"/>
    <w:rsid w:val="005A44B0"/>
    <w:rsid w:val="005A47D0"/>
    <w:rsid w:val="005A48A5"/>
    <w:rsid w:val="005A49A4"/>
    <w:rsid w:val="005A4A31"/>
    <w:rsid w:val="005A4D05"/>
    <w:rsid w:val="005A4D3B"/>
    <w:rsid w:val="005A4E12"/>
    <w:rsid w:val="005A5197"/>
    <w:rsid w:val="005A5B34"/>
    <w:rsid w:val="005A6305"/>
    <w:rsid w:val="005A6323"/>
    <w:rsid w:val="005A6467"/>
    <w:rsid w:val="005A6743"/>
    <w:rsid w:val="005A6D45"/>
    <w:rsid w:val="005A6E00"/>
    <w:rsid w:val="005A6EC3"/>
    <w:rsid w:val="005A6FF6"/>
    <w:rsid w:val="005A7117"/>
    <w:rsid w:val="005A71E9"/>
    <w:rsid w:val="005A7BC2"/>
    <w:rsid w:val="005B0C31"/>
    <w:rsid w:val="005B0F4C"/>
    <w:rsid w:val="005B15DD"/>
    <w:rsid w:val="005B191B"/>
    <w:rsid w:val="005B1AD5"/>
    <w:rsid w:val="005B2501"/>
    <w:rsid w:val="005B2705"/>
    <w:rsid w:val="005B2EAD"/>
    <w:rsid w:val="005B2EBA"/>
    <w:rsid w:val="005B2F38"/>
    <w:rsid w:val="005B2FF4"/>
    <w:rsid w:val="005B3D90"/>
    <w:rsid w:val="005B40AF"/>
    <w:rsid w:val="005B446D"/>
    <w:rsid w:val="005B4776"/>
    <w:rsid w:val="005B4ED3"/>
    <w:rsid w:val="005B508B"/>
    <w:rsid w:val="005B5293"/>
    <w:rsid w:val="005B596D"/>
    <w:rsid w:val="005B5D45"/>
    <w:rsid w:val="005B6245"/>
    <w:rsid w:val="005B6252"/>
    <w:rsid w:val="005B656F"/>
    <w:rsid w:val="005B6A97"/>
    <w:rsid w:val="005B6D47"/>
    <w:rsid w:val="005B7048"/>
    <w:rsid w:val="005B72C0"/>
    <w:rsid w:val="005B75B2"/>
    <w:rsid w:val="005B764F"/>
    <w:rsid w:val="005B7A11"/>
    <w:rsid w:val="005B7D42"/>
    <w:rsid w:val="005C000D"/>
    <w:rsid w:val="005C093C"/>
    <w:rsid w:val="005C0C7F"/>
    <w:rsid w:val="005C0C8A"/>
    <w:rsid w:val="005C1374"/>
    <w:rsid w:val="005C15A2"/>
    <w:rsid w:val="005C15D8"/>
    <w:rsid w:val="005C1762"/>
    <w:rsid w:val="005C1BD9"/>
    <w:rsid w:val="005C1BE8"/>
    <w:rsid w:val="005C239B"/>
    <w:rsid w:val="005C24A4"/>
    <w:rsid w:val="005C257A"/>
    <w:rsid w:val="005C2EA2"/>
    <w:rsid w:val="005C2FC0"/>
    <w:rsid w:val="005C320A"/>
    <w:rsid w:val="005C3212"/>
    <w:rsid w:val="005C38FA"/>
    <w:rsid w:val="005C3DE8"/>
    <w:rsid w:val="005C459E"/>
    <w:rsid w:val="005C4693"/>
    <w:rsid w:val="005C5065"/>
    <w:rsid w:val="005C51F0"/>
    <w:rsid w:val="005C53A8"/>
    <w:rsid w:val="005C569F"/>
    <w:rsid w:val="005C5ACC"/>
    <w:rsid w:val="005C5AD9"/>
    <w:rsid w:val="005C5AF6"/>
    <w:rsid w:val="005C5B2B"/>
    <w:rsid w:val="005C5C24"/>
    <w:rsid w:val="005C628B"/>
    <w:rsid w:val="005C67B2"/>
    <w:rsid w:val="005C6A1F"/>
    <w:rsid w:val="005C6A50"/>
    <w:rsid w:val="005C6B50"/>
    <w:rsid w:val="005C71FA"/>
    <w:rsid w:val="005C75BB"/>
    <w:rsid w:val="005D01CA"/>
    <w:rsid w:val="005D03F3"/>
    <w:rsid w:val="005D0683"/>
    <w:rsid w:val="005D07EE"/>
    <w:rsid w:val="005D0E67"/>
    <w:rsid w:val="005D171A"/>
    <w:rsid w:val="005D200E"/>
    <w:rsid w:val="005D2046"/>
    <w:rsid w:val="005D23ED"/>
    <w:rsid w:val="005D25CC"/>
    <w:rsid w:val="005D2C0F"/>
    <w:rsid w:val="005D2E74"/>
    <w:rsid w:val="005D330D"/>
    <w:rsid w:val="005D3437"/>
    <w:rsid w:val="005D36D2"/>
    <w:rsid w:val="005D389A"/>
    <w:rsid w:val="005D3D58"/>
    <w:rsid w:val="005D41BB"/>
    <w:rsid w:val="005D41C3"/>
    <w:rsid w:val="005D4C94"/>
    <w:rsid w:val="005D4EFA"/>
    <w:rsid w:val="005D4F13"/>
    <w:rsid w:val="005D56E1"/>
    <w:rsid w:val="005D5CA4"/>
    <w:rsid w:val="005D603F"/>
    <w:rsid w:val="005D60D0"/>
    <w:rsid w:val="005D639F"/>
    <w:rsid w:val="005D65DC"/>
    <w:rsid w:val="005D6A76"/>
    <w:rsid w:val="005D7216"/>
    <w:rsid w:val="005D73E9"/>
    <w:rsid w:val="005D755E"/>
    <w:rsid w:val="005D75B6"/>
    <w:rsid w:val="005D78A7"/>
    <w:rsid w:val="005D7FA5"/>
    <w:rsid w:val="005E0171"/>
    <w:rsid w:val="005E0278"/>
    <w:rsid w:val="005E030D"/>
    <w:rsid w:val="005E0393"/>
    <w:rsid w:val="005E05EF"/>
    <w:rsid w:val="005E0917"/>
    <w:rsid w:val="005E1029"/>
    <w:rsid w:val="005E127B"/>
    <w:rsid w:val="005E177D"/>
    <w:rsid w:val="005E17C4"/>
    <w:rsid w:val="005E1956"/>
    <w:rsid w:val="005E1BDF"/>
    <w:rsid w:val="005E1E4B"/>
    <w:rsid w:val="005E1F30"/>
    <w:rsid w:val="005E21CE"/>
    <w:rsid w:val="005E2663"/>
    <w:rsid w:val="005E26F9"/>
    <w:rsid w:val="005E2AAF"/>
    <w:rsid w:val="005E2BB1"/>
    <w:rsid w:val="005E3124"/>
    <w:rsid w:val="005E32C7"/>
    <w:rsid w:val="005E3A38"/>
    <w:rsid w:val="005E3BFA"/>
    <w:rsid w:val="005E3C84"/>
    <w:rsid w:val="005E3D32"/>
    <w:rsid w:val="005E3E61"/>
    <w:rsid w:val="005E3FC3"/>
    <w:rsid w:val="005E44E9"/>
    <w:rsid w:val="005E473E"/>
    <w:rsid w:val="005E4C5D"/>
    <w:rsid w:val="005E504A"/>
    <w:rsid w:val="005E51BD"/>
    <w:rsid w:val="005E574A"/>
    <w:rsid w:val="005E5801"/>
    <w:rsid w:val="005E5E10"/>
    <w:rsid w:val="005E5E50"/>
    <w:rsid w:val="005E5F4E"/>
    <w:rsid w:val="005E606B"/>
    <w:rsid w:val="005E64B3"/>
    <w:rsid w:val="005E66FF"/>
    <w:rsid w:val="005E685D"/>
    <w:rsid w:val="005E6945"/>
    <w:rsid w:val="005E6ADF"/>
    <w:rsid w:val="005E7172"/>
    <w:rsid w:val="005E74FA"/>
    <w:rsid w:val="005E780D"/>
    <w:rsid w:val="005E79FE"/>
    <w:rsid w:val="005E7BDE"/>
    <w:rsid w:val="005F0035"/>
    <w:rsid w:val="005F02D9"/>
    <w:rsid w:val="005F0416"/>
    <w:rsid w:val="005F0666"/>
    <w:rsid w:val="005F099D"/>
    <w:rsid w:val="005F09D7"/>
    <w:rsid w:val="005F1199"/>
    <w:rsid w:val="005F1CF6"/>
    <w:rsid w:val="005F1E64"/>
    <w:rsid w:val="005F1F9D"/>
    <w:rsid w:val="005F24FE"/>
    <w:rsid w:val="005F26F7"/>
    <w:rsid w:val="005F2731"/>
    <w:rsid w:val="005F2923"/>
    <w:rsid w:val="005F2FCB"/>
    <w:rsid w:val="005F2FD4"/>
    <w:rsid w:val="005F300D"/>
    <w:rsid w:val="005F3016"/>
    <w:rsid w:val="005F3125"/>
    <w:rsid w:val="005F3250"/>
    <w:rsid w:val="005F3732"/>
    <w:rsid w:val="005F3736"/>
    <w:rsid w:val="005F37B7"/>
    <w:rsid w:val="005F387A"/>
    <w:rsid w:val="005F3A1A"/>
    <w:rsid w:val="005F3D9C"/>
    <w:rsid w:val="005F426E"/>
    <w:rsid w:val="005F47C7"/>
    <w:rsid w:val="005F4BA4"/>
    <w:rsid w:val="005F4C3B"/>
    <w:rsid w:val="005F503D"/>
    <w:rsid w:val="005F5299"/>
    <w:rsid w:val="005F535C"/>
    <w:rsid w:val="005F536C"/>
    <w:rsid w:val="005F550C"/>
    <w:rsid w:val="005F5845"/>
    <w:rsid w:val="005F595B"/>
    <w:rsid w:val="005F5BD4"/>
    <w:rsid w:val="005F5C32"/>
    <w:rsid w:val="005F5E0A"/>
    <w:rsid w:val="005F5E1C"/>
    <w:rsid w:val="005F5E76"/>
    <w:rsid w:val="005F6183"/>
    <w:rsid w:val="005F6442"/>
    <w:rsid w:val="005F6799"/>
    <w:rsid w:val="005F6D1F"/>
    <w:rsid w:val="005F70E2"/>
    <w:rsid w:val="005F79CD"/>
    <w:rsid w:val="005F7A15"/>
    <w:rsid w:val="005F7B7D"/>
    <w:rsid w:val="00600B61"/>
    <w:rsid w:val="00600BB5"/>
    <w:rsid w:val="00600C2C"/>
    <w:rsid w:val="00600C4F"/>
    <w:rsid w:val="00600E0E"/>
    <w:rsid w:val="00600E97"/>
    <w:rsid w:val="006010C8"/>
    <w:rsid w:val="0060113E"/>
    <w:rsid w:val="006011A4"/>
    <w:rsid w:val="006012E4"/>
    <w:rsid w:val="00601839"/>
    <w:rsid w:val="00601E0F"/>
    <w:rsid w:val="0060258E"/>
    <w:rsid w:val="00602882"/>
    <w:rsid w:val="00602D03"/>
    <w:rsid w:val="006033B9"/>
    <w:rsid w:val="006036F6"/>
    <w:rsid w:val="006037DD"/>
    <w:rsid w:val="00603FE0"/>
    <w:rsid w:val="0060409C"/>
    <w:rsid w:val="0060497B"/>
    <w:rsid w:val="00604C0B"/>
    <w:rsid w:val="00604FC3"/>
    <w:rsid w:val="00605306"/>
    <w:rsid w:val="0060587A"/>
    <w:rsid w:val="00605AB5"/>
    <w:rsid w:val="00605CD0"/>
    <w:rsid w:val="00605F48"/>
    <w:rsid w:val="00606093"/>
    <w:rsid w:val="00606177"/>
    <w:rsid w:val="00606264"/>
    <w:rsid w:val="00606734"/>
    <w:rsid w:val="006068DD"/>
    <w:rsid w:val="00606DDC"/>
    <w:rsid w:val="00606F95"/>
    <w:rsid w:val="0060703C"/>
    <w:rsid w:val="00607373"/>
    <w:rsid w:val="0060756E"/>
    <w:rsid w:val="00607591"/>
    <w:rsid w:val="00607777"/>
    <w:rsid w:val="006078D9"/>
    <w:rsid w:val="00607A65"/>
    <w:rsid w:val="00607C0F"/>
    <w:rsid w:val="00607E85"/>
    <w:rsid w:val="006103C3"/>
    <w:rsid w:val="006106CB"/>
    <w:rsid w:val="00610A09"/>
    <w:rsid w:val="00610A3E"/>
    <w:rsid w:val="00610B54"/>
    <w:rsid w:val="00610D06"/>
    <w:rsid w:val="00610E56"/>
    <w:rsid w:val="00610E9A"/>
    <w:rsid w:val="00611391"/>
    <w:rsid w:val="0061154F"/>
    <w:rsid w:val="00611693"/>
    <w:rsid w:val="00611704"/>
    <w:rsid w:val="00611B77"/>
    <w:rsid w:val="00611BFB"/>
    <w:rsid w:val="00611C75"/>
    <w:rsid w:val="00612436"/>
    <w:rsid w:val="00612528"/>
    <w:rsid w:val="00612922"/>
    <w:rsid w:val="00612C98"/>
    <w:rsid w:val="00612D4C"/>
    <w:rsid w:val="00612EC3"/>
    <w:rsid w:val="00613029"/>
    <w:rsid w:val="00613206"/>
    <w:rsid w:val="0061361A"/>
    <w:rsid w:val="006137C1"/>
    <w:rsid w:val="006138D3"/>
    <w:rsid w:val="00613BC9"/>
    <w:rsid w:val="00613D92"/>
    <w:rsid w:val="00614125"/>
    <w:rsid w:val="0061437B"/>
    <w:rsid w:val="00614431"/>
    <w:rsid w:val="006144F1"/>
    <w:rsid w:val="006147D1"/>
    <w:rsid w:val="00614D18"/>
    <w:rsid w:val="00614DBD"/>
    <w:rsid w:val="006151F9"/>
    <w:rsid w:val="00615CC9"/>
    <w:rsid w:val="00615E1E"/>
    <w:rsid w:val="00615E8B"/>
    <w:rsid w:val="00615FD7"/>
    <w:rsid w:val="0061602C"/>
    <w:rsid w:val="00616585"/>
    <w:rsid w:val="0061666A"/>
    <w:rsid w:val="00616694"/>
    <w:rsid w:val="006168AE"/>
    <w:rsid w:val="006178D3"/>
    <w:rsid w:val="00617B08"/>
    <w:rsid w:val="00617B2D"/>
    <w:rsid w:val="00617FDA"/>
    <w:rsid w:val="006202C6"/>
    <w:rsid w:val="00620636"/>
    <w:rsid w:val="00620981"/>
    <w:rsid w:val="00620DDE"/>
    <w:rsid w:val="006213DE"/>
    <w:rsid w:val="00621710"/>
    <w:rsid w:val="00621A78"/>
    <w:rsid w:val="00621B77"/>
    <w:rsid w:val="00621EFC"/>
    <w:rsid w:val="00622070"/>
    <w:rsid w:val="00622C6C"/>
    <w:rsid w:val="00623071"/>
    <w:rsid w:val="006230A0"/>
    <w:rsid w:val="00623724"/>
    <w:rsid w:val="00623E93"/>
    <w:rsid w:val="00624006"/>
    <w:rsid w:val="0062438E"/>
    <w:rsid w:val="00624421"/>
    <w:rsid w:val="00624458"/>
    <w:rsid w:val="00624760"/>
    <w:rsid w:val="00625185"/>
    <w:rsid w:val="00625197"/>
    <w:rsid w:val="0062564E"/>
    <w:rsid w:val="00625676"/>
    <w:rsid w:val="006257EE"/>
    <w:rsid w:val="006258A6"/>
    <w:rsid w:val="006259D0"/>
    <w:rsid w:val="00625AA1"/>
    <w:rsid w:val="00625ADF"/>
    <w:rsid w:val="00625DB3"/>
    <w:rsid w:val="006263A0"/>
    <w:rsid w:val="00626770"/>
    <w:rsid w:val="006268B9"/>
    <w:rsid w:val="00626D43"/>
    <w:rsid w:val="00626EF6"/>
    <w:rsid w:val="006270BE"/>
    <w:rsid w:val="00627188"/>
    <w:rsid w:val="006271A4"/>
    <w:rsid w:val="00627254"/>
    <w:rsid w:val="0062725E"/>
    <w:rsid w:val="0062778B"/>
    <w:rsid w:val="0062786A"/>
    <w:rsid w:val="00627925"/>
    <w:rsid w:val="00627A38"/>
    <w:rsid w:val="00627C71"/>
    <w:rsid w:val="0063088E"/>
    <w:rsid w:val="00631082"/>
    <w:rsid w:val="00631D81"/>
    <w:rsid w:val="00631D8A"/>
    <w:rsid w:val="00631FD1"/>
    <w:rsid w:val="00632415"/>
    <w:rsid w:val="0063242A"/>
    <w:rsid w:val="0063247A"/>
    <w:rsid w:val="00632710"/>
    <w:rsid w:val="006327CB"/>
    <w:rsid w:val="00632948"/>
    <w:rsid w:val="00632A92"/>
    <w:rsid w:val="00632C3E"/>
    <w:rsid w:val="00632F4B"/>
    <w:rsid w:val="0063310A"/>
    <w:rsid w:val="00633139"/>
    <w:rsid w:val="006338BD"/>
    <w:rsid w:val="00633EA9"/>
    <w:rsid w:val="006341E0"/>
    <w:rsid w:val="006342AC"/>
    <w:rsid w:val="006343E6"/>
    <w:rsid w:val="00634607"/>
    <w:rsid w:val="00634971"/>
    <w:rsid w:val="00634DA9"/>
    <w:rsid w:val="00634E37"/>
    <w:rsid w:val="00634ECE"/>
    <w:rsid w:val="00635052"/>
    <w:rsid w:val="00635D1C"/>
    <w:rsid w:val="00635EA0"/>
    <w:rsid w:val="00636599"/>
    <w:rsid w:val="0063692C"/>
    <w:rsid w:val="006369F0"/>
    <w:rsid w:val="00636CE3"/>
    <w:rsid w:val="00636EBC"/>
    <w:rsid w:val="006370A8"/>
    <w:rsid w:val="006370DD"/>
    <w:rsid w:val="00637469"/>
    <w:rsid w:val="0063747C"/>
    <w:rsid w:val="00637662"/>
    <w:rsid w:val="00637765"/>
    <w:rsid w:val="00637A22"/>
    <w:rsid w:val="00637A5F"/>
    <w:rsid w:val="00637EA7"/>
    <w:rsid w:val="00640219"/>
    <w:rsid w:val="00640256"/>
    <w:rsid w:val="00640280"/>
    <w:rsid w:val="006411CF"/>
    <w:rsid w:val="0064183C"/>
    <w:rsid w:val="0064191B"/>
    <w:rsid w:val="006419A1"/>
    <w:rsid w:val="00642214"/>
    <w:rsid w:val="006423F9"/>
    <w:rsid w:val="00642617"/>
    <w:rsid w:val="0064290D"/>
    <w:rsid w:val="0064305C"/>
    <w:rsid w:val="00643148"/>
    <w:rsid w:val="006434D2"/>
    <w:rsid w:val="00643578"/>
    <w:rsid w:val="00643ADA"/>
    <w:rsid w:val="00644339"/>
    <w:rsid w:val="00644358"/>
    <w:rsid w:val="00644B2C"/>
    <w:rsid w:val="00644BA4"/>
    <w:rsid w:val="00644D06"/>
    <w:rsid w:val="00644E79"/>
    <w:rsid w:val="006453FC"/>
    <w:rsid w:val="006456D2"/>
    <w:rsid w:val="0064605A"/>
    <w:rsid w:val="006463FF"/>
    <w:rsid w:val="006464D1"/>
    <w:rsid w:val="00646714"/>
    <w:rsid w:val="00646A6B"/>
    <w:rsid w:val="00646BD3"/>
    <w:rsid w:val="006473C4"/>
    <w:rsid w:val="0065006C"/>
    <w:rsid w:val="00650452"/>
    <w:rsid w:val="006504B2"/>
    <w:rsid w:val="00650966"/>
    <w:rsid w:val="00650BA6"/>
    <w:rsid w:val="006511A6"/>
    <w:rsid w:val="0065128C"/>
    <w:rsid w:val="006512D6"/>
    <w:rsid w:val="0065153B"/>
    <w:rsid w:val="006519EB"/>
    <w:rsid w:val="00651A01"/>
    <w:rsid w:val="00651D4F"/>
    <w:rsid w:val="00651EF9"/>
    <w:rsid w:val="00652188"/>
    <w:rsid w:val="00652461"/>
    <w:rsid w:val="0065247D"/>
    <w:rsid w:val="00652534"/>
    <w:rsid w:val="006527E7"/>
    <w:rsid w:val="00652B3F"/>
    <w:rsid w:val="00652C85"/>
    <w:rsid w:val="006533D6"/>
    <w:rsid w:val="00653412"/>
    <w:rsid w:val="006536BF"/>
    <w:rsid w:val="0065385F"/>
    <w:rsid w:val="00653A6F"/>
    <w:rsid w:val="00653D17"/>
    <w:rsid w:val="00653DA8"/>
    <w:rsid w:val="0065401A"/>
    <w:rsid w:val="0065404B"/>
    <w:rsid w:val="006543CF"/>
    <w:rsid w:val="00654D31"/>
    <w:rsid w:val="00655288"/>
    <w:rsid w:val="0065560D"/>
    <w:rsid w:val="00655757"/>
    <w:rsid w:val="006557EB"/>
    <w:rsid w:val="00655B76"/>
    <w:rsid w:val="00655C2E"/>
    <w:rsid w:val="006563EC"/>
    <w:rsid w:val="00656600"/>
    <w:rsid w:val="00656C5E"/>
    <w:rsid w:val="00656C91"/>
    <w:rsid w:val="006570CF"/>
    <w:rsid w:val="006573C2"/>
    <w:rsid w:val="00657614"/>
    <w:rsid w:val="00657799"/>
    <w:rsid w:val="00657B77"/>
    <w:rsid w:val="00657C45"/>
    <w:rsid w:val="00657E64"/>
    <w:rsid w:val="00657EE6"/>
    <w:rsid w:val="00660CD3"/>
    <w:rsid w:val="00660EE4"/>
    <w:rsid w:val="0066108A"/>
    <w:rsid w:val="006612DB"/>
    <w:rsid w:val="00661363"/>
    <w:rsid w:val="006613D3"/>
    <w:rsid w:val="0066146D"/>
    <w:rsid w:val="00661E03"/>
    <w:rsid w:val="00661E90"/>
    <w:rsid w:val="00661F4F"/>
    <w:rsid w:val="00661F72"/>
    <w:rsid w:val="00662562"/>
    <w:rsid w:val="00662660"/>
    <w:rsid w:val="006629F7"/>
    <w:rsid w:val="00662AB4"/>
    <w:rsid w:val="006634EB"/>
    <w:rsid w:val="00663524"/>
    <w:rsid w:val="006636F2"/>
    <w:rsid w:val="006639F2"/>
    <w:rsid w:val="00663A6D"/>
    <w:rsid w:val="00663BD1"/>
    <w:rsid w:val="00663C69"/>
    <w:rsid w:val="00663D4B"/>
    <w:rsid w:val="00664387"/>
    <w:rsid w:val="006644A1"/>
    <w:rsid w:val="0066488D"/>
    <w:rsid w:val="00664CB1"/>
    <w:rsid w:val="00664D68"/>
    <w:rsid w:val="00664ED1"/>
    <w:rsid w:val="0066540B"/>
    <w:rsid w:val="006654C6"/>
    <w:rsid w:val="00665518"/>
    <w:rsid w:val="00665B36"/>
    <w:rsid w:val="00665D7E"/>
    <w:rsid w:val="006660E4"/>
    <w:rsid w:val="00666209"/>
    <w:rsid w:val="0066627C"/>
    <w:rsid w:val="00666C27"/>
    <w:rsid w:val="00666CE5"/>
    <w:rsid w:val="00666EBB"/>
    <w:rsid w:val="0066705E"/>
    <w:rsid w:val="00667493"/>
    <w:rsid w:val="00667515"/>
    <w:rsid w:val="00667FE5"/>
    <w:rsid w:val="00670036"/>
    <w:rsid w:val="00670338"/>
    <w:rsid w:val="00670924"/>
    <w:rsid w:val="00670A6B"/>
    <w:rsid w:val="00670BB9"/>
    <w:rsid w:val="00670C5E"/>
    <w:rsid w:val="00670DA7"/>
    <w:rsid w:val="006718C2"/>
    <w:rsid w:val="006718FA"/>
    <w:rsid w:val="00671D05"/>
    <w:rsid w:val="006720C9"/>
    <w:rsid w:val="00672357"/>
    <w:rsid w:val="006727CB"/>
    <w:rsid w:val="00672937"/>
    <w:rsid w:val="006730C1"/>
    <w:rsid w:val="00673435"/>
    <w:rsid w:val="00673A1A"/>
    <w:rsid w:val="00673AE2"/>
    <w:rsid w:val="00674038"/>
    <w:rsid w:val="00674191"/>
    <w:rsid w:val="006746BC"/>
    <w:rsid w:val="006746DD"/>
    <w:rsid w:val="00674976"/>
    <w:rsid w:val="00674D4F"/>
    <w:rsid w:val="00674E8D"/>
    <w:rsid w:val="00675213"/>
    <w:rsid w:val="0067530C"/>
    <w:rsid w:val="0067556B"/>
    <w:rsid w:val="006758E4"/>
    <w:rsid w:val="00675B35"/>
    <w:rsid w:val="00675FE3"/>
    <w:rsid w:val="00675FED"/>
    <w:rsid w:val="00675FFD"/>
    <w:rsid w:val="0067624F"/>
    <w:rsid w:val="006766A1"/>
    <w:rsid w:val="00676CA4"/>
    <w:rsid w:val="006772CE"/>
    <w:rsid w:val="006776A9"/>
    <w:rsid w:val="0067772B"/>
    <w:rsid w:val="006778FD"/>
    <w:rsid w:val="00677BAF"/>
    <w:rsid w:val="00677CC6"/>
    <w:rsid w:val="00677F52"/>
    <w:rsid w:val="00680055"/>
    <w:rsid w:val="006804BF"/>
    <w:rsid w:val="006805A5"/>
    <w:rsid w:val="00680755"/>
    <w:rsid w:val="00680855"/>
    <w:rsid w:val="00681182"/>
    <w:rsid w:val="00681537"/>
    <w:rsid w:val="006815E2"/>
    <w:rsid w:val="006819B2"/>
    <w:rsid w:val="00681A09"/>
    <w:rsid w:val="00681C0E"/>
    <w:rsid w:val="00681CCB"/>
    <w:rsid w:val="00681F00"/>
    <w:rsid w:val="00682CE0"/>
    <w:rsid w:val="006832C0"/>
    <w:rsid w:val="00683457"/>
    <w:rsid w:val="00683462"/>
    <w:rsid w:val="006835B9"/>
    <w:rsid w:val="00683A9E"/>
    <w:rsid w:val="00683D8C"/>
    <w:rsid w:val="0068413B"/>
    <w:rsid w:val="0068485C"/>
    <w:rsid w:val="00684C54"/>
    <w:rsid w:val="00684DCB"/>
    <w:rsid w:val="006853EF"/>
    <w:rsid w:val="0068565A"/>
    <w:rsid w:val="00685872"/>
    <w:rsid w:val="00685C2D"/>
    <w:rsid w:val="00686079"/>
    <w:rsid w:val="00686095"/>
    <w:rsid w:val="006869A6"/>
    <w:rsid w:val="00686E7A"/>
    <w:rsid w:val="00686E8E"/>
    <w:rsid w:val="00686F84"/>
    <w:rsid w:val="006870AB"/>
    <w:rsid w:val="006873EE"/>
    <w:rsid w:val="00687923"/>
    <w:rsid w:val="00687A58"/>
    <w:rsid w:val="00687E7F"/>
    <w:rsid w:val="00690020"/>
    <w:rsid w:val="006904E5"/>
    <w:rsid w:val="006904EB"/>
    <w:rsid w:val="00690A1C"/>
    <w:rsid w:val="00690BF8"/>
    <w:rsid w:val="00690F00"/>
    <w:rsid w:val="006911FB"/>
    <w:rsid w:val="00691771"/>
    <w:rsid w:val="00691C8A"/>
    <w:rsid w:val="00692024"/>
    <w:rsid w:val="0069270C"/>
    <w:rsid w:val="0069284B"/>
    <w:rsid w:val="00692C75"/>
    <w:rsid w:val="00692E4C"/>
    <w:rsid w:val="00692E81"/>
    <w:rsid w:val="006931A9"/>
    <w:rsid w:val="00693293"/>
    <w:rsid w:val="00693406"/>
    <w:rsid w:val="00693782"/>
    <w:rsid w:val="00693C45"/>
    <w:rsid w:val="00693D32"/>
    <w:rsid w:val="00694B57"/>
    <w:rsid w:val="00694FC8"/>
    <w:rsid w:val="006951C7"/>
    <w:rsid w:val="0069525E"/>
    <w:rsid w:val="006952AE"/>
    <w:rsid w:val="006953B8"/>
    <w:rsid w:val="00695490"/>
    <w:rsid w:val="00695DE3"/>
    <w:rsid w:val="00696155"/>
    <w:rsid w:val="0069618E"/>
    <w:rsid w:val="00696343"/>
    <w:rsid w:val="006964DA"/>
    <w:rsid w:val="00696A29"/>
    <w:rsid w:val="00696DB3"/>
    <w:rsid w:val="00697008"/>
    <w:rsid w:val="006971C6"/>
    <w:rsid w:val="006973BF"/>
    <w:rsid w:val="0069748A"/>
    <w:rsid w:val="00697BEA"/>
    <w:rsid w:val="00697C6C"/>
    <w:rsid w:val="006A00CA"/>
    <w:rsid w:val="006A0BD9"/>
    <w:rsid w:val="006A1131"/>
    <w:rsid w:val="006A116B"/>
    <w:rsid w:val="006A1284"/>
    <w:rsid w:val="006A13AB"/>
    <w:rsid w:val="006A13CA"/>
    <w:rsid w:val="006A1B79"/>
    <w:rsid w:val="006A2189"/>
    <w:rsid w:val="006A218A"/>
    <w:rsid w:val="006A2415"/>
    <w:rsid w:val="006A25DE"/>
    <w:rsid w:val="006A2914"/>
    <w:rsid w:val="006A2A60"/>
    <w:rsid w:val="006A2EAB"/>
    <w:rsid w:val="006A3516"/>
    <w:rsid w:val="006A37A2"/>
    <w:rsid w:val="006A3A57"/>
    <w:rsid w:val="006A3B40"/>
    <w:rsid w:val="006A40B8"/>
    <w:rsid w:val="006A4138"/>
    <w:rsid w:val="006A4216"/>
    <w:rsid w:val="006A42A2"/>
    <w:rsid w:val="006A4337"/>
    <w:rsid w:val="006A4967"/>
    <w:rsid w:val="006A4E09"/>
    <w:rsid w:val="006A5608"/>
    <w:rsid w:val="006A57AA"/>
    <w:rsid w:val="006A5976"/>
    <w:rsid w:val="006A5CB6"/>
    <w:rsid w:val="006A5E66"/>
    <w:rsid w:val="006A63A7"/>
    <w:rsid w:val="006A64E6"/>
    <w:rsid w:val="006A6747"/>
    <w:rsid w:val="006A6BEA"/>
    <w:rsid w:val="006A7196"/>
    <w:rsid w:val="006A7363"/>
    <w:rsid w:val="006A75CE"/>
    <w:rsid w:val="006B001A"/>
    <w:rsid w:val="006B049F"/>
    <w:rsid w:val="006B0607"/>
    <w:rsid w:val="006B0774"/>
    <w:rsid w:val="006B078A"/>
    <w:rsid w:val="006B08D5"/>
    <w:rsid w:val="006B0B1C"/>
    <w:rsid w:val="006B0BBF"/>
    <w:rsid w:val="006B0E02"/>
    <w:rsid w:val="006B11E9"/>
    <w:rsid w:val="006B12AA"/>
    <w:rsid w:val="006B1341"/>
    <w:rsid w:val="006B198E"/>
    <w:rsid w:val="006B1B55"/>
    <w:rsid w:val="006B1FE1"/>
    <w:rsid w:val="006B239D"/>
    <w:rsid w:val="006B2A0D"/>
    <w:rsid w:val="006B352C"/>
    <w:rsid w:val="006B376F"/>
    <w:rsid w:val="006B3F64"/>
    <w:rsid w:val="006B3F84"/>
    <w:rsid w:val="006B3FA1"/>
    <w:rsid w:val="006B4279"/>
    <w:rsid w:val="006B4511"/>
    <w:rsid w:val="006B4D98"/>
    <w:rsid w:val="006B4E70"/>
    <w:rsid w:val="006B5171"/>
    <w:rsid w:val="006B58FB"/>
    <w:rsid w:val="006B5905"/>
    <w:rsid w:val="006B5912"/>
    <w:rsid w:val="006B5B03"/>
    <w:rsid w:val="006B6324"/>
    <w:rsid w:val="006B636A"/>
    <w:rsid w:val="006B63F5"/>
    <w:rsid w:val="006B6410"/>
    <w:rsid w:val="006B6731"/>
    <w:rsid w:val="006B69BD"/>
    <w:rsid w:val="006B69DC"/>
    <w:rsid w:val="006B6C2C"/>
    <w:rsid w:val="006B6DD5"/>
    <w:rsid w:val="006B6ED6"/>
    <w:rsid w:val="006B6F15"/>
    <w:rsid w:val="006B6FC4"/>
    <w:rsid w:val="006B6FE4"/>
    <w:rsid w:val="006B7618"/>
    <w:rsid w:val="006B79CD"/>
    <w:rsid w:val="006B7E5C"/>
    <w:rsid w:val="006C01F4"/>
    <w:rsid w:val="006C04BC"/>
    <w:rsid w:val="006C05F4"/>
    <w:rsid w:val="006C0B08"/>
    <w:rsid w:val="006C0B8D"/>
    <w:rsid w:val="006C0C46"/>
    <w:rsid w:val="006C1037"/>
    <w:rsid w:val="006C10BE"/>
    <w:rsid w:val="006C13DD"/>
    <w:rsid w:val="006C1488"/>
    <w:rsid w:val="006C1AA7"/>
    <w:rsid w:val="006C1B61"/>
    <w:rsid w:val="006C20FF"/>
    <w:rsid w:val="006C2170"/>
    <w:rsid w:val="006C21A3"/>
    <w:rsid w:val="006C224C"/>
    <w:rsid w:val="006C2354"/>
    <w:rsid w:val="006C23AD"/>
    <w:rsid w:val="006C2B0F"/>
    <w:rsid w:val="006C2B8C"/>
    <w:rsid w:val="006C2BF2"/>
    <w:rsid w:val="006C2C33"/>
    <w:rsid w:val="006C2F08"/>
    <w:rsid w:val="006C2F1E"/>
    <w:rsid w:val="006C32DF"/>
    <w:rsid w:val="006C3E9B"/>
    <w:rsid w:val="006C40F0"/>
    <w:rsid w:val="006C4110"/>
    <w:rsid w:val="006C41B0"/>
    <w:rsid w:val="006C4479"/>
    <w:rsid w:val="006C49AD"/>
    <w:rsid w:val="006C5062"/>
    <w:rsid w:val="006C5598"/>
    <w:rsid w:val="006C55DF"/>
    <w:rsid w:val="006C56E4"/>
    <w:rsid w:val="006C5CC9"/>
    <w:rsid w:val="006C65D0"/>
    <w:rsid w:val="006C68FF"/>
    <w:rsid w:val="006C6A09"/>
    <w:rsid w:val="006C6CCE"/>
    <w:rsid w:val="006C6F27"/>
    <w:rsid w:val="006C70C6"/>
    <w:rsid w:val="006C72E5"/>
    <w:rsid w:val="006C76FE"/>
    <w:rsid w:val="006C792B"/>
    <w:rsid w:val="006C7BA8"/>
    <w:rsid w:val="006C7FA2"/>
    <w:rsid w:val="006D00A0"/>
    <w:rsid w:val="006D00DF"/>
    <w:rsid w:val="006D03F6"/>
    <w:rsid w:val="006D0B78"/>
    <w:rsid w:val="006D13F9"/>
    <w:rsid w:val="006D1487"/>
    <w:rsid w:val="006D1505"/>
    <w:rsid w:val="006D1511"/>
    <w:rsid w:val="006D16A1"/>
    <w:rsid w:val="006D1712"/>
    <w:rsid w:val="006D17B7"/>
    <w:rsid w:val="006D184C"/>
    <w:rsid w:val="006D1872"/>
    <w:rsid w:val="006D1A08"/>
    <w:rsid w:val="006D1C00"/>
    <w:rsid w:val="006D2089"/>
    <w:rsid w:val="006D3433"/>
    <w:rsid w:val="006D35DB"/>
    <w:rsid w:val="006D36DA"/>
    <w:rsid w:val="006D3DDE"/>
    <w:rsid w:val="006D4102"/>
    <w:rsid w:val="006D439B"/>
    <w:rsid w:val="006D4886"/>
    <w:rsid w:val="006D4944"/>
    <w:rsid w:val="006D4DD8"/>
    <w:rsid w:val="006D51AB"/>
    <w:rsid w:val="006D545E"/>
    <w:rsid w:val="006D5800"/>
    <w:rsid w:val="006D5FC8"/>
    <w:rsid w:val="006D6074"/>
    <w:rsid w:val="006D6175"/>
    <w:rsid w:val="006D6CDC"/>
    <w:rsid w:val="006D6DD7"/>
    <w:rsid w:val="006D6E0E"/>
    <w:rsid w:val="006D729A"/>
    <w:rsid w:val="006D7454"/>
    <w:rsid w:val="006D7AD8"/>
    <w:rsid w:val="006D7BEC"/>
    <w:rsid w:val="006E0063"/>
    <w:rsid w:val="006E018D"/>
    <w:rsid w:val="006E0214"/>
    <w:rsid w:val="006E06C0"/>
    <w:rsid w:val="006E098C"/>
    <w:rsid w:val="006E0B1B"/>
    <w:rsid w:val="006E0D7E"/>
    <w:rsid w:val="006E0F17"/>
    <w:rsid w:val="006E1414"/>
    <w:rsid w:val="006E1A62"/>
    <w:rsid w:val="006E1BE7"/>
    <w:rsid w:val="006E1C3B"/>
    <w:rsid w:val="006E1D41"/>
    <w:rsid w:val="006E1D65"/>
    <w:rsid w:val="006E1EAE"/>
    <w:rsid w:val="006E1F6D"/>
    <w:rsid w:val="006E2684"/>
    <w:rsid w:val="006E313C"/>
    <w:rsid w:val="006E3217"/>
    <w:rsid w:val="006E3568"/>
    <w:rsid w:val="006E3D68"/>
    <w:rsid w:val="006E3E05"/>
    <w:rsid w:val="006E3FD2"/>
    <w:rsid w:val="006E4122"/>
    <w:rsid w:val="006E490F"/>
    <w:rsid w:val="006E53F8"/>
    <w:rsid w:val="006E5480"/>
    <w:rsid w:val="006E54A9"/>
    <w:rsid w:val="006E5550"/>
    <w:rsid w:val="006E5987"/>
    <w:rsid w:val="006E5A22"/>
    <w:rsid w:val="006E5B95"/>
    <w:rsid w:val="006E5CB8"/>
    <w:rsid w:val="006E6315"/>
    <w:rsid w:val="006E6604"/>
    <w:rsid w:val="006E6B94"/>
    <w:rsid w:val="006E6D10"/>
    <w:rsid w:val="006E7343"/>
    <w:rsid w:val="006E7756"/>
    <w:rsid w:val="006E7CA4"/>
    <w:rsid w:val="006F028B"/>
    <w:rsid w:val="006F02B7"/>
    <w:rsid w:val="006F03FF"/>
    <w:rsid w:val="006F0F46"/>
    <w:rsid w:val="006F0F8A"/>
    <w:rsid w:val="006F1095"/>
    <w:rsid w:val="006F12AB"/>
    <w:rsid w:val="006F1395"/>
    <w:rsid w:val="006F17E4"/>
    <w:rsid w:val="006F1961"/>
    <w:rsid w:val="006F19A6"/>
    <w:rsid w:val="006F1B1D"/>
    <w:rsid w:val="006F1D6A"/>
    <w:rsid w:val="006F1E3C"/>
    <w:rsid w:val="006F1E4D"/>
    <w:rsid w:val="006F1F09"/>
    <w:rsid w:val="006F1FBF"/>
    <w:rsid w:val="006F2094"/>
    <w:rsid w:val="006F215F"/>
    <w:rsid w:val="006F22AC"/>
    <w:rsid w:val="006F2541"/>
    <w:rsid w:val="006F263F"/>
    <w:rsid w:val="006F27B1"/>
    <w:rsid w:val="006F280B"/>
    <w:rsid w:val="006F2BCE"/>
    <w:rsid w:val="006F2EA6"/>
    <w:rsid w:val="006F2FAD"/>
    <w:rsid w:val="006F312D"/>
    <w:rsid w:val="006F3CF8"/>
    <w:rsid w:val="006F3DC9"/>
    <w:rsid w:val="006F3F9C"/>
    <w:rsid w:val="006F4319"/>
    <w:rsid w:val="006F45DC"/>
    <w:rsid w:val="006F4B05"/>
    <w:rsid w:val="006F4BCF"/>
    <w:rsid w:val="006F4E62"/>
    <w:rsid w:val="006F50DE"/>
    <w:rsid w:val="006F51E3"/>
    <w:rsid w:val="006F52F6"/>
    <w:rsid w:val="006F557F"/>
    <w:rsid w:val="006F585F"/>
    <w:rsid w:val="006F5A34"/>
    <w:rsid w:val="006F5C20"/>
    <w:rsid w:val="006F5DCC"/>
    <w:rsid w:val="006F5EA6"/>
    <w:rsid w:val="006F6C58"/>
    <w:rsid w:val="006F70C4"/>
    <w:rsid w:val="006F7136"/>
    <w:rsid w:val="006F7773"/>
    <w:rsid w:val="006F7A1A"/>
    <w:rsid w:val="006F7CBB"/>
    <w:rsid w:val="006F7F57"/>
    <w:rsid w:val="00700106"/>
    <w:rsid w:val="007002F8"/>
    <w:rsid w:val="007003EE"/>
    <w:rsid w:val="0070057A"/>
    <w:rsid w:val="007007B6"/>
    <w:rsid w:val="0070096C"/>
    <w:rsid w:val="00700C5B"/>
    <w:rsid w:val="007011A8"/>
    <w:rsid w:val="0070137D"/>
    <w:rsid w:val="00701710"/>
    <w:rsid w:val="007018E2"/>
    <w:rsid w:val="00701C6E"/>
    <w:rsid w:val="007021E9"/>
    <w:rsid w:val="00702255"/>
    <w:rsid w:val="00702563"/>
    <w:rsid w:val="0070260E"/>
    <w:rsid w:val="00702CAF"/>
    <w:rsid w:val="00703336"/>
    <w:rsid w:val="007033E9"/>
    <w:rsid w:val="0070362E"/>
    <w:rsid w:val="00703637"/>
    <w:rsid w:val="0070395C"/>
    <w:rsid w:val="00703E67"/>
    <w:rsid w:val="007040B2"/>
    <w:rsid w:val="00704311"/>
    <w:rsid w:val="00704381"/>
    <w:rsid w:val="007047E8"/>
    <w:rsid w:val="00704D47"/>
    <w:rsid w:val="00704E96"/>
    <w:rsid w:val="007052DC"/>
    <w:rsid w:val="007055C5"/>
    <w:rsid w:val="007055CC"/>
    <w:rsid w:val="00705793"/>
    <w:rsid w:val="0070580E"/>
    <w:rsid w:val="00705988"/>
    <w:rsid w:val="00705AC5"/>
    <w:rsid w:val="00705EE9"/>
    <w:rsid w:val="00705F27"/>
    <w:rsid w:val="00705F53"/>
    <w:rsid w:val="00705F6D"/>
    <w:rsid w:val="00705F9F"/>
    <w:rsid w:val="00706279"/>
    <w:rsid w:val="007062B2"/>
    <w:rsid w:val="007062E3"/>
    <w:rsid w:val="0070639C"/>
    <w:rsid w:val="007063E5"/>
    <w:rsid w:val="00706534"/>
    <w:rsid w:val="00706B01"/>
    <w:rsid w:val="00706C04"/>
    <w:rsid w:val="00706C8F"/>
    <w:rsid w:val="00706F1E"/>
    <w:rsid w:val="007070BD"/>
    <w:rsid w:val="007072AC"/>
    <w:rsid w:val="0070730E"/>
    <w:rsid w:val="00707AFD"/>
    <w:rsid w:val="00707CF2"/>
    <w:rsid w:val="00707DF3"/>
    <w:rsid w:val="00707F5E"/>
    <w:rsid w:val="00710534"/>
    <w:rsid w:val="00710730"/>
    <w:rsid w:val="0071086F"/>
    <w:rsid w:val="00710CC6"/>
    <w:rsid w:val="00710F48"/>
    <w:rsid w:val="00711923"/>
    <w:rsid w:val="00711B65"/>
    <w:rsid w:val="00712599"/>
    <w:rsid w:val="007127D2"/>
    <w:rsid w:val="007128AC"/>
    <w:rsid w:val="007128B4"/>
    <w:rsid w:val="00712973"/>
    <w:rsid w:val="00712E96"/>
    <w:rsid w:val="007130AA"/>
    <w:rsid w:val="007133A9"/>
    <w:rsid w:val="00713477"/>
    <w:rsid w:val="007134F4"/>
    <w:rsid w:val="007137AD"/>
    <w:rsid w:val="00713B95"/>
    <w:rsid w:val="00713BBD"/>
    <w:rsid w:val="00713BEE"/>
    <w:rsid w:val="00713D41"/>
    <w:rsid w:val="00713D83"/>
    <w:rsid w:val="00713FA4"/>
    <w:rsid w:val="00714F33"/>
    <w:rsid w:val="00714F6A"/>
    <w:rsid w:val="007152C9"/>
    <w:rsid w:val="00715490"/>
    <w:rsid w:val="0071549A"/>
    <w:rsid w:val="00715595"/>
    <w:rsid w:val="00715739"/>
    <w:rsid w:val="00715B9B"/>
    <w:rsid w:val="00715CB2"/>
    <w:rsid w:val="00715EF2"/>
    <w:rsid w:val="0071639C"/>
    <w:rsid w:val="00716743"/>
    <w:rsid w:val="00716A9F"/>
    <w:rsid w:val="00716B0B"/>
    <w:rsid w:val="00716DC7"/>
    <w:rsid w:val="00716F00"/>
    <w:rsid w:val="007171F6"/>
    <w:rsid w:val="00717535"/>
    <w:rsid w:val="00717F2A"/>
    <w:rsid w:val="00720110"/>
    <w:rsid w:val="00720630"/>
    <w:rsid w:val="0072064D"/>
    <w:rsid w:val="007207C3"/>
    <w:rsid w:val="00720A2C"/>
    <w:rsid w:val="00720AFA"/>
    <w:rsid w:val="00720CDA"/>
    <w:rsid w:val="00720F73"/>
    <w:rsid w:val="00720FBC"/>
    <w:rsid w:val="00721BCC"/>
    <w:rsid w:val="00721D75"/>
    <w:rsid w:val="00722271"/>
    <w:rsid w:val="0072299D"/>
    <w:rsid w:val="00722B69"/>
    <w:rsid w:val="00722F2A"/>
    <w:rsid w:val="00723626"/>
    <w:rsid w:val="00723AEF"/>
    <w:rsid w:val="00723DB4"/>
    <w:rsid w:val="007241AB"/>
    <w:rsid w:val="007241CE"/>
    <w:rsid w:val="00724218"/>
    <w:rsid w:val="00724292"/>
    <w:rsid w:val="007244CB"/>
    <w:rsid w:val="00724752"/>
    <w:rsid w:val="007249E3"/>
    <w:rsid w:val="007251EC"/>
    <w:rsid w:val="0072530E"/>
    <w:rsid w:val="0072540C"/>
    <w:rsid w:val="0072595E"/>
    <w:rsid w:val="00725A76"/>
    <w:rsid w:val="00725BE5"/>
    <w:rsid w:val="007269C2"/>
    <w:rsid w:val="00726D69"/>
    <w:rsid w:val="00726DCD"/>
    <w:rsid w:val="00727067"/>
    <w:rsid w:val="00727360"/>
    <w:rsid w:val="007276AD"/>
    <w:rsid w:val="0072789D"/>
    <w:rsid w:val="0072797C"/>
    <w:rsid w:val="00727B5A"/>
    <w:rsid w:val="00727ED6"/>
    <w:rsid w:val="00727F0F"/>
    <w:rsid w:val="0073065E"/>
    <w:rsid w:val="00730B8F"/>
    <w:rsid w:val="00730BD9"/>
    <w:rsid w:val="00730E22"/>
    <w:rsid w:val="00730EF6"/>
    <w:rsid w:val="00730FED"/>
    <w:rsid w:val="00731108"/>
    <w:rsid w:val="0073130D"/>
    <w:rsid w:val="007315CF"/>
    <w:rsid w:val="0073177C"/>
    <w:rsid w:val="00731BDB"/>
    <w:rsid w:val="00731D12"/>
    <w:rsid w:val="00731FEC"/>
    <w:rsid w:val="00732819"/>
    <w:rsid w:val="0073285F"/>
    <w:rsid w:val="00732B19"/>
    <w:rsid w:val="00732BAF"/>
    <w:rsid w:val="00732BF0"/>
    <w:rsid w:val="00732D7E"/>
    <w:rsid w:val="00732DC9"/>
    <w:rsid w:val="00732F88"/>
    <w:rsid w:val="00733283"/>
    <w:rsid w:val="007332FF"/>
    <w:rsid w:val="00733F1A"/>
    <w:rsid w:val="00734752"/>
    <w:rsid w:val="00734786"/>
    <w:rsid w:val="00734B73"/>
    <w:rsid w:val="007351E3"/>
    <w:rsid w:val="00735542"/>
    <w:rsid w:val="00735A35"/>
    <w:rsid w:val="00735AE9"/>
    <w:rsid w:val="00735C41"/>
    <w:rsid w:val="007367F6"/>
    <w:rsid w:val="007368CC"/>
    <w:rsid w:val="00736919"/>
    <w:rsid w:val="0073691A"/>
    <w:rsid w:val="00736C9A"/>
    <w:rsid w:val="00737203"/>
    <w:rsid w:val="00737267"/>
    <w:rsid w:val="00737339"/>
    <w:rsid w:val="0073733D"/>
    <w:rsid w:val="007373F9"/>
    <w:rsid w:val="0073783A"/>
    <w:rsid w:val="007379EF"/>
    <w:rsid w:val="00737D86"/>
    <w:rsid w:val="007403D0"/>
    <w:rsid w:val="007405AC"/>
    <w:rsid w:val="0074086C"/>
    <w:rsid w:val="00740953"/>
    <w:rsid w:val="00740FC1"/>
    <w:rsid w:val="00740FE3"/>
    <w:rsid w:val="00741211"/>
    <w:rsid w:val="007413BD"/>
    <w:rsid w:val="007413D8"/>
    <w:rsid w:val="00741AD1"/>
    <w:rsid w:val="00742018"/>
    <w:rsid w:val="00742076"/>
    <w:rsid w:val="007420DA"/>
    <w:rsid w:val="007422CE"/>
    <w:rsid w:val="007425AD"/>
    <w:rsid w:val="0074274B"/>
    <w:rsid w:val="007430C7"/>
    <w:rsid w:val="00743262"/>
    <w:rsid w:val="007432BB"/>
    <w:rsid w:val="00743614"/>
    <w:rsid w:val="0074364F"/>
    <w:rsid w:val="007436C6"/>
    <w:rsid w:val="00743A8E"/>
    <w:rsid w:val="00743E0E"/>
    <w:rsid w:val="00744313"/>
    <w:rsid w:val="00744AE4"/>
    <w:rsid w:val="0074560D"/>
    <w:rsid w:val="00745963"/>
    <w:rsid w:val="00745A4C"/>
    <w:rsid w:val="00745C0F"/>
    <w:rsid w:val="00745C6C"/>
    <w:rsid w:val="00745DF0"/>
    <w:rsid w:val="00746521"/>
    <w:rsid w:val="00746529"/>
    <w:rsid w:val="00746603"/>
    <w:rsid w:val="0074698C"/>
    <w:rsid w:val="00746BA2"/>
    <w:rsid w:val="00746BD9"/>
    <w:rsid w:val="00746BEF"/>
    <w:rsid w:val="00746D51"/>
    <w:rsid w:val="00746FAB"/>
    <w:rsid w:val="00746FF4"/>
    <w:rsid w:val="00747107"/>
    <w:rsid w:val="0074714D"/>
    <w:rsid w:val="00747261"/>
    <w:rsid w:val="00747400"/>
    <w:rsid w:val="00747553"/>
    <w:rsid w:val="007479B2"/>
    <w:rsid w:val="007479E7"/>
    <w:rsid w:val="00747E55"/>
    <w:rsid w:val="00750400"/>
    <w:rsid w:val="007504D7"/>
    <w:rsid w:val="007505C4"/>
    <w:rsid w:val="0075064B"/>
    <w:rsid w:val="007507FA"/>
    <w:rsid w:val="007508FA"/>
    <w:rsid w:val="00750EAC"/>
    <w:rsid w:val="00751073"/>
    <w:rsid w:val="00751141"/>
    <w:rsid w:val="00751550"/>
    <w:rsid w:val="00751780"/>
    <w:rsid w:val="007519C4"/>
    <w:rsid w:val="00752233"/>
    <w:rsid w:val="007523F3"/>
    <w:rsid w:val="007524B1"/>
    <w:rsid w:val="00752AA0"/>
    <w:rsid w:val="00752C92"/>
    <w:rsid w:val="00753217"/>
    <w:rsid w:val="00753280"/>
    <w:rsid w:val="007532E5"/>
    <w:rsid w:val="007532F0"/>
    <w:rsid w:val="0075331A"/>
    <w:rsid w:val="00753379"/>
    <w:rsid w:val="007533AB"/>
    <w:rsid w:val="00753ADE"/>
    <w:rsid w:val="00753B54"/>
    <w:rsid w:val="00754011"/>
    <w:rsid w:val="007545A0"/>
    <w:rsid w:val="007546A8"/>
    <w:rsid w:val="00754873"/>
    <w:rsid w:val="00754973"/>
    <w:rsid w:val="00754EE1"/>
    <w:rsid w:val="007550CB"/>
    <w:rsid w:val="007555B2"/>
    <w:rsid w:val="00755798"/>
    <w:rsid w:val="00755A9E"/>
    <w:rsid w:val="00755DA3"/>
    <w:rsid w:val="00755F48"/>
    <w:rsid w:val="0075609C"/>
    <w:rsid w:val="007562F2"/>
    <w:rsid w:val="00756431"/>
    <w:rsid w:val="00756819"/>
    <w:rsid w:val="00756E95"/>
    <w:rsid w:val="00756F13"/>
    <w:rsid w:val="0075711E"/>
    <w:rsid w:val="0075768E"/>
    <w:rsid w:val="00757694"/>
    <w:rsid w:val="0075776C"/>
    <w:rsid w:val="00757F24"/>
    <w:rsid w:val="00757F99"/>
    <w:rsid w:val="00760019"/>
    <w:rsid w:val="0076084D"/>
    <w:rsid w:val="00760B0F"/>
    <w:rsid w:val="00760B49"/>
    <w:rsid w:val="007611AA"/>
    <w:rsid w:val="007612AC"/>
    <w:rsid w:val="007617CF"/>
    <w:rsid w:val="00761AC7"/>
    <w:rsid w:val="00761E25"/>
    <w:rsid w:val="00762255"/>
    <w:rsid w:val="00762793"/>
    <w:rsid w:val="00762B23"/>
    <w:rsid w:val="0076305A"/>
    <w:rsid w:val="00763539"/>
    <w:rsid w:val="00763D05"/>
    <w:rsid w:val="0076405B"/>
    <w:rsid w:val="007641CF"/>
    <w:rsid w:val="007647E7"/>
    <w:rsid w:val="00764892"/>
    <w:rsid w:val="0076491F"/>
    <w:rsid w:val="00764B74"/>
    <w:rsid w:val="00764C71"/>
    <w:rsid w:val="00764E64"/>
    <w:rsid w:val="00764F1E"/>
    <w:rsid w:val="00764F50"/>
    <w:rsid w:val="0076531E"/>
    <w:rsid w:val="0076561D"/>
    <w:rsid w:val="0076581B"/>
    <w:rsid w:val="00765884"/>
    <w:rsid w:val="00765A67"/>
    <w:rsid w:val="00765EE4"/>
    <w:rsid w:val="00765FC6"/>
    <w:rsid w:val="00766831"/>
    <w:rsid w:val="00766A8C"/>
    <w:rsid w:val="00766C5C"/>
    <w:rsid w:val="00766E94"/>
    <w:rsid w:val="00767373"/>
    <w:rsid w:val="0076759A"/>
    <w:rsid w:val="00767783"/>
    <w:rsid w:val="00767C63"/>
    <w:rsid w:val="0077024B"/>
    <w:rsid w:val="00770B82"/>
    <w:rsid w:val="00770BAF"/>
    <w:rsid w:val="0077159C"/>
    <w:rsid w:val="00771823"/>
    <w:rsid w:val="00771943"/>
    <w:rsid w:val="00771B42"/>
    <w:rsid w:val="00771C0C"/>
    <w:rsid w:val="007722D2"/>
    <w:rsid w:val="007723DF"/>
    <w:rsid w:val="007726AC"/>
    <w:rsid w:val="00772BF4"/>
    <w:rsid w:val="00772C3F"/>
    <w:rsid w:val="00772CF8"/>
    <w:rsid w:val="00772F0E"/>
    <w:rsid w:val="00773027"/>
    <w:rsid w:val="007730AC"/>
    <w:rsid w:val="0077324D"/>
    <w:rsid w:val="007732C2"/>
    <w:rsid w:val="007733B4"/>
    <w:rsid w:val="007738B8"/>
    <w:rsid w:val="00773B41"/>
    <w:rsid w:val="00773D9D"/>
    <w:rsid w:val="00773FB7"/>
    <w:rsid w:val="00774560"/>
    <w:rsid w:val="00774683"/>
    <w:rsid w:val="007750BA"/>
    <w:rsid w:val="007750DB"/>
    <w:rsid w:val="0077518F"/>
    <w:rsid w:val="00775664"/>
    <w:rsid w:val="00775780"/>
    <w:rsid w:val="00775802"/>
    <w:rsid w:val="00775855"/>
    <w:rsid w:val="00775B99"/>
    <w:rsid w:val="00775BD5"/>
    <w:rsid w:val="00775C62"/>
    <w:rsid w:val="00775FE9"/>
    <w:rsid w:val="007760F8"/>
    <w:rsid w:val="00776394"/>
    <w:rsid w:val="00776445"/>
    <w:rsid w:val="007768C1"/>
    <w:rsid w:val="0077692E"/>
    <w:rsid w:val="00776E94"/>
    <w:rsid w:val="00776ED6"/>
    <w:rsid w:val="00776FDF"/>
    <w:rsid w:val="0077710E"/>
    <w:rsid w:val="00777129"/>
    <w:rsid w:val="007774CA"/>
    <w:rsid w:val="0077771E"/>
    <w:rsid w:val="00777D42"/>
    <w:rsid w:val="00777F3F"/>
    <w:rsid w:val="007800A7"/>
    <w:rsid w:val="007802A5"/>
    <w:rsid w:val="00780430"/>
    <w:rsid w:val="00780497"/>
    <w:rsid w:val="00780601"/>
    <w:rsid w:val="00780659"/>
    <w:rsid w:val="00780764"/>
    <w:rsid w:val="00780A5F"/>
    <w:rsid w:val="00780BB8"/>
    <w:rsid w:val="00780FFB"/>
    <w:rsid w:val="007810DE"/>
    <w:rsid w:val="00781220"/>
    <w:rsid w:val="007816D4"/>
    <w:rsid w:val="007818C1"/>
    <w:rsid w:val="0078191F"/>
    <w:rsid w:val="007819F3"/>
    <w:rsid w:val="00781BDC"/>
    <w:rsid w:val="00781E3C"/>
    <w:rsid w:val="007822C4"/>
    <w:rsid w:val="00782C2A"/>
    <w:rsid w:val="0078304E"/>
    <w:rsid w:val="00783426"/>
    <w:rsid w:val="0078348D"/>
    <w:rsid w:val="007834AC"/>
    <w:rsid w:val="007834F0"/>
    <w:rsid w:val="007836CF"/>
    <w:rsid w:val="0078382C"/>
    <w:rsid w:val="00783AB6"/>
    <w:rsid w:val="00783BFF"/>
    <w:rsid w:val="00783C5F"/>
    <w:rsid w:val="00784262"/>
    <w:rsid w:val="00784AFF"/>
    <w:rsid w:val="00784B2F"/>
    <w:rsid w:val="007850F8"/>
    <w:rsid w:val="00785427"/>
    <w:rsid w:val="00785489"/>
    <w:rsid w:val="007857C3"/>
    <w:rsid w:val="007857D9"/>
    <w:rsid w:val="00785854"/>
    <w:rsid w:val="007859A7"/>
    <w:rsid w:val="00785B98"/>
    <w:rsid w:val="00785C0A"/>
    <w:rsid w:val="00785C1A"/>
    <w:rsid w:val="00785CC9"/>
    <w:rsid w:val="00786047"/>
    <w:rsid w:val="00786470"/>
    <w:rsid w:val="007864D5"/>
    <w:rsid w:val="007865DD"/>
    <w:rsid w:val="007869D4"/>
    <w:rsid w:val="00787029"/>
    <w:rsid w:val="00787092"/>
    <w:rsid w:val="007871B4"/>
    <w:rsid w:val="007871C4"/>
    <w:rsid w:val="00787639"/>
    <w:rsid w:val="007878E2"/>
    <w:rsid w:val="00787DF5"/>
    <w:rsid w:val="00787FA4"/>
    <w:rsid w:val="00787FAC"/>
    <w:rsid w:val="00790209"/>
    <w:rsid w:val="0079036F"/>
    <w:rsid w:val="00790570"/>
    <w:rsid w:val="00790DA6"/>
    <w:rsid w:val="0079104B"/>
    <w:rsid w:val="007915C7"/>
    <w:rsid w:val="007917EB"/>
    <w:rsid w:val="00791813"/>
    <w:rsid w:val="00791B65"/>
    <w:rsid w:val="00791F6C"/>
    <w:rsid w:val="007921CE"/>
    <w:rsid w:val="0079220D"/>
    <w:rsid w:val="00792AE6"/>
    <w:rsid w:val="00792C29"/>
    <w:rsid w:val="00792CD5"/>
    <w:rsid w:val="00792D4C"/>
    <w:rsid w:val="00792FC6"/>
    <w:rsid w:val="00793519"/>
    <w:rsid w:val="0079398B"/>
    <w:rsid w:val="00793BE0"/>
    <w:rsid w:val="00793BE1"/>
    <w:rsid w:val="00793CFE"/>
    <w:rsid w:val="0079412E"/>
    <w:rsid w:val="0079424A"/>
    <w:rsid w:val="00794627"/>
    <w:rsid w:val="00794F49"/>
    <w:rsid w:val="007951D8"/>
    <w:rsid w:val="0079522F"/>
    <w:rsid w:val="007954C8"/>
    <w:rsid w:val="007954DF"/>
    <w:rsid w:val="00795BB1"/>
    <w:rsid w:val="00795CC9"/>
    <w:rsid w:val="0079634A"/>
    <w:rsid w:val="007966B5"/>
    <w:rsid w:val="007966F2"/>
    <w:rsid w:val="00796846"/>
    <w:rsid w:val="00796B4C"/>
    <w:rsid w:val="00796B8E"/>
    <w:rsid w:val="00796FBC"/>
    <w:rsid w:val="007972FA"/>
    <w:rsid w:val="00797462"/>
    <w:rsid w:val="00797B92"/>
    <w:rsid w:val="00797D28"/>
    <w:rsid w:val="007A01FF"/>
    <w:rsid w:val="007A0260"/>
    <w:rsid w:val="007A03DA"/>
    <w:rsid w:val="007A0ABA"/>
    <w:rsid w:val="007A0B69"/>
    <w:rsid w:val="007A0E27"/>
    <w:rsid w:val="007A15FA"/>
    <w:rsid w:val="007A1AC4"/>
    <w:rsid w:val="007A1E6A"/>
    <w:rsid w:val="007A22F7"/>
    <w:rsid w:val="007A24F0"/>
    <w:rsid w:val="007A251F"/>
    <w:rsid w:val="007A2565"/>
    <w:rsid w:val="007A25BC"/>
    <w:rsid w:val="007A2CBF"/>
    <w:rsid w:val="007A2F09"/>
    <w:rsid w:val="007A3020"/>
    <w:rsid w:val="007A30AF"/>
    <w:rsid w:val="007A39CF"/>
    <w:rsid w:val="007A3B71"/>
    <w:rsid w:val="007A40E4"/>
    <w:rsid w:val="007A42A0"/>
    <w:rsid w:val="007A4746"/>
    <w:rsid w:val="007A4C77"/>
    <w:rsid w:val="007A5157"/>
    <w:rsid w:val="007A5235"/>
    <w:rsid w:val="007A584A"/>
    <w:rsid w:val="007A5DA3"/>
    <w:rsid w:val="007A6052"/>
    <w:rsid w:val="007A627A"/>
    <w:rsid w:val="007A633A"/>
    <w:rsid w:val="007A641E"/>
    <w:rsid w:val="007A6AB1"/>
    <w:rsid w:val="007A7018"/>
    <w:rsid w:val="007A77C2"/>
    <w:rsid w:val="007A7A77"/>
    <w:rsid w:val="007A7BCC"/>
    <w:rsid w:val="007B0146"/>
    <w:rsid w:val="007B04B9"/>
    <w:rsid w:val="007B0B48"/>
    <w:rsid w:val="007B0D27"/>
    <w:rsid w:val="007B0D36"/>
    <w:rsid w:val="007B0D86"/>
    <w:rsid w:val="007B0DC4"/>
    <w:rsid w:val="007B0DD3"/>
    <w:rsid w:val="007B0F3E"/>
    <w:rsid w:val="007B1178"/>
    <w:rsid w:val="007B14FC"/>
    <w:rsid w:val="007B178C"/>
    <w:rsid w:val="007B1A98"/>
    <w:rsid w:val="007B1F4F"/>
    <w:rsid w:val="007B29D7"/>
    <w:rsid w:val="007B2C71"/>
    <w:rsid w:val="007B2F50"/>
    <w:rsid w:val="007B30C5"/>
    <w:rsid w:val="007B3221"/>
    <w:rsid w:val="007B3322"/>
    <w:rsid w:val="007B37F3"/>
    <w:rsid w:val="007B3F33"/>
    <w:rsid w:val="007B3F5F"/>
    <w:rsid w:val="007B444C"/>
    <w:rsid w:val="007B446F"/>
    <w:rsid w:val="007B46F6"/>
    <w:rsid w:val="007B47C2"/>
    <w:rsid w:val="007B4951"/>
    <w:rsid w:val="007B49BC"/>
    <w:rsid w:val="007B4F30"/>
    <w:rsid w:val="007B501F"/>
    <w:rsid w:val="007B5315"/>
    <w:rsid w:val="007B5834"/>
    <w:rsid w:val="007B58F3"/>
    <w:rsid w:val="007B5BAE"/>
    <w:rsid w:val="007B5C34"/>
    <w:rsid w:val="007B5DFC"/>
    <w:rsid w:val="007B608A"/>
    <w:rsid w:val="007B6525"/>
    <w:rsid w:val="007B6BEB"/>
    <w:rsid w:val="007B6D68"/>
    <w:rsid w:val="007B6F15"/>
    <w:rsid w:val="007B6F88"/>
    <w:rsid w:val="007B70FF"/>
    <w:rsid w:val="007B7239"/>
    <w:rsid w:val="007B74D9"/>
    <w:rsid w:val="007B7796"/>
    <w:rsid w:val="007B78B5"/>
    <w:rsid w:val="007B7B29"/>
    <w:rsid w:val="007B7BD7"/>
    <w:rsid w:val="007B7C14"/>
    <w:rsid w:val="007B7D77"/>
    <w:rsid w:val="007B7FF4"/>
    <w:rsid w:val="007C01C4"/>
    <w:rsid w:val="007C0466"/>
    <w:rsid w:val="007C0999"/>
    <w:rsid w:val="007C0A8A"/>
    <w:rsid w:val="007C1030"/>
    <w:rsid w:val="007C13A8"/>
    <w:rsid w:val="007C15D6"/>
    <w:rsid w:val="007C186F"/>
    <w:rsid w:val="007C1A25"/>
    <w:rsid w:val="007C1C18"/>
    <w:rsid w:val="007C2682"/>
    <w:rsid w:val="007C26D3"/>
    <w:rsid w:val="007C2711"/>
    <w:rsid w:val="007C2791"/>
    <w:rsid w:val="007C2A70"/>
    <w:rsid w:val="007C33E3"/>
    <w:rsid w:val="007C3BB4"/>
    <w:rsid w:val="007C3D03"/>
    <w:rsid w:val="007C3F05"/>
    <w:rsid w:val="007C413D"/>
    <w:rsid w:val="007C43C2"/>
    <w:rsid w:val="007C43F5"/>
    <w:rsid w:val="007C4541"/>
    <w:rsid w:val="007C4553"/>
    <w:rsid w:val="007C4556"/>
    <w:rsid w:val="007C5185"/>
    <w:rsid w:val="007C53A7"/>
    <w:rsid w:val="007C5CE0"/>
    <w:rsid w:val="007C5CE2"/>
    <w:rsid w:val="007C5D43"/>
    <w:rsid w:val="007C5E16"/>
    <w:rsid w:val="007C6204"/>
    <w:rsid w:val="007C6C15"/>
    <w:rsid w:val="007C6DFF"/>
    <w:rsid w:val="007C6FF5"/>
    <w:rsid w:val="007C7149"/>
    <w:rsid w:val="007C7370"/>
    <w:rsid w:val="007C78F0"/>
    <w:rsid w:val="007C79C0"/>
    <w:rsid w:val="007C7BFE"/>
    <w:rsid w:val="007C7CF0"/>
    <w:rsid w:val="007D0374"/>
    <w:rsid w:val="007D0F3B"/>
    <w:rsid w:val="007D1840"/>
    <w:rsid w:val="007D18AF"/>
    <w:rsid w:val="007D1BF8"/>
    <w:rsid w:val="007D1C48"/>
    <w:rsid w:val="007D1D4B"/>
    <w:rsid w:val="007D260A"/>
    <w:rsid w:val="007D28C7"/>
    <w:rsid w:val="007D2A1A"/>
    <w:rsid w:val="007D2CB2"/>
    <w:rsid w:val="007D3644"/>
    <w:rsid w:val="007D37F7"/>
    <w:rsid w:val="007D39A9"/>
    <w:rsid w:val="007D3A1E"/>
    <w:rsid w:val="007D47AA"/>
    <w:rsid w:val="007D4A28"/>
    <w:rsid w:val="007D4BB5"/>
    <w:rsid w:val="007D4D92"/>
    <w:rsid w:val="007D4F66"/>
    <w:rsid w:val="007D51C6"/>
    <w:rsid w:val="007D53A1"/>
    <w:rsid w:val="007D56A3"/>
    <w:rsid w:val="007D5CA7"/>
    <w:rsid w:val="007D5CDB"/>
    <w:rsid w:val="007D5FEC"/>
    <w:rsid w:val="007D607C"/>
    <w:rsid w:val="007D6167"/>
    <w:rsid w:val="007D63CC"/>
    <w:rsid w:val="007D63EC"/>
    <w:rsid w:val="007D673A"/>
    <w:rsid w:val="007D71B9"/>
    <w:rsid w:val="007D749B"/>
    <w:rsid w:val="007D7577"/>
    <w:rsid w:val="007D7764"/>
    <w:rsid w:val="007D799F"/>
    <w:rsid w:val="007D7CF0"/>
    <w:rsid w:val="007D7F1F"/>
    <w:rsid w:val="007E015D"/>
    <w:rsid w:val="007E01B8"/>
    <w:rsid w:val="007E0C8B"/>
    <w:rsid w:val="007E0CA4"/>
    <w:rsid w:val="007E1431"/>
    <w:rsid w:val="007E1582"/>
    <w:rsid w:val="007E1951"/>
    <w:rsid w:val="007E196F"/>
    <w:rsid w:val="007E1CF7"/>
    <w:rsid w:val="007E2205"/>
    <w:rsid w:val="007E22D9"/>
    <w:rsid w:val="007E247D"/>
    <w:rsid w:val="007E2567"/>
    <w:rsid w:val="007E266F"/>
    <w:rsid w:val="007E2F20"/>
    <w:rsid w:val="007E31E8"/>
    <w:rsid w:val="007E3222"/>
    <w:rsid w:val="007E3FEE"/>
    <w:rsid w:val="007E45F9"/>
    <w:rsid w:val="007E480A"/>
    <w:rsid w:val="007E4A9D"/>
    <w:rsid w:val="007E4B48"/>
    <w:rsid w:val="007E4B5E"/>
    <w:rsid w:val="007E4FC6"/>
    <w:rsid w:val="007E4FF0"/>
    <w:rsid w:val="007E5016"/>
    <w:rsid w:val="007E5186"/>
    <w:rsid w:val="007E5528"/>
    <w:rsid w:val="007E55FD"/>
    <w:rsid w:val="007E57EC"/>
    <w:rsid w:val="007E5913"/>
    <w:rsid w:val="007E5E24"/>
    <w:rsid w:val="007E66AE"/>
    <w:rsid w:val="007E66BC"/>
    <w:rsid w:val="007E66FC"/>
    <w:rsid w:val="007E69A5"/>
    <w:rsid w:val="007E70F3"/>
    <w:rsid w:val="007E7321"/>
    <w:rsid w:val="007E7D5D"/>
    <w:rsid w:val="007E7D71"/>
    <w:rsid w:val="007F0224"/>
    <w:rsid w:val="007F03F3"/>
    <w:rsid w:val="007F057A"/>
    <w:rsid w:val="007F068B"/>
    <w:rsid w:val="007F073D"/>
    <w:rsid w:val="007F0770"/>
    <w:rsid w:val="007F0841"/>
    <w:rsid w:val="007F0D19"/>
    <w:rsid w:val="007F0E7B"/>
    <w:rsid w:val="007F11B4"/>
    <w:rsid w:val="007F159F"/>
    <w:rsid w:val="007F1606"/>
    <w:rsid w:val="007F1C84"/>
    <w:rsid w:val="007F1E6D"/>
    <w:rsid w:val="007F2192"/>
    <w:rsid w:val="007F2556"/>
    <w:rsid w:val="007F2C61"/>
    <w:rsid w:val="007F309E"/>
    <w:rsid w:val="007F30E8"/>
    <w:rsid w:val="007F3352"/>
    <w:rsid w:val="007F3771"/>
    <w:rsid w:val="007F3C4C"/>
    <w:rsid w:val="007F3D26"/>
    <w:rsid w:val="007F3D3D"/>
    <w:rsid w:val="007F3DAB"/>
    <w:rsid w:val="007F47FB"/>
    <w:rsid w:val="007F4C5D"/>
    <w:rsid w:val="007F4FE1"/>
    <w:rsid w:val="007F5252"/>
    <w:rsid w:val="007F54C7"/>
    <w:rsid w:val="007F5A51"/>
    <w:rsid w:val="007F5DFA"/>
    <w:rsid w:val="007F5FC7"/>
    <w:rsid w:val="007F6755"/>
    <w:rsid w:val="007F6EA6"/>
    <w:rsid w:val="007F7573"/>
    <w:rsid w:val="007F7759"/>
    <w:rsid w:val="007F7C91"/>
    <w:rsid w:val="007F7E51"/>
    <w:rsid w:val="007F7EC3"/>
    <w:rsid w:val="00800010"/>
    <w:rsid w:val="00800DCA"/>
    <w:rsid w:val="00801030"/>
    <w:rsid w:val="00801187"/>
    <w:rsid w:val="00801297"/>
    <w:rsid w:val="00801754"/>
    <w:rsid w:val="00801CED"/>
    <w:rsid w:val="00801DC7"/>
    <w:rsid w:val="008022DD"/>
    <w:rsid w:val="00802ACE"/>
    <w:rsid w:val="00802B6E"/>
    <w:rsid w:val="00802C5D"/>
    <w:rsid w:val="00803203"/>
    <w:rsid w:val="0080360C"/>
    <w:rsid w:val="008037B0"/>
    <w:rsid w:val="00803BBB"/>
    <w:rsid w:val="00803C46"/>
    <w:rsid w:val="00803E3A"/>
    <w:rsid w:val="00804D0A"/>
    <w:rsid w:val="00805111"/>
    <w:rsid w:val="008051C4"/>
    <w:rsid w:val="008052E6"/>
    <w:rsid w:val="0080539D"/>
    <w:rsid w:val="00805BC1"/>
    <w:rsid w:val="00805DC3"/>
    <w:rsid w:val="00806201"/>
    <w:rsid w:val="00806202"/>
    <w:rsid w:val="00806762"/>
    <w:rsid w:val="00806961"/>
    <w:rsid w:val="00806CAD"/>
    <w:rsid w:val="008071C5"/>
    <w:rsid w:val="008074F4"/>
    <w:rsid w:val="00810290"/>
    <w:rsid w:val="00810325"/>
    <w:rsid w:val="008105B1"/>
    <w:rsid w:val="008108BC"/>
    <w:rsid w:val="00810AB1"/>
    <w:rsid w:val="0081105E"/>
    <w:rsid w:val="00811615"/>
    <w:rsid w:val="00811956"/>
    <w:rsid w:val="00811BD1"/>
    <w:rsid w:val="00811C2C"/>
    <w:rsid w:val="00811F21"/>
    <w:rsid w:val="00812309"/>
    <w:rsid w:val="00812A9D"/>
    <w:rsid w:val="00812E0D"/>
    <w:rsid w:val="00813066"/>
    <w:rsid w:val="00813285"/>
    <w:rsid w:val="00813384"/>
    <w:rsid w:val="008138F9"/>
    <w:rsid w:val="00814354"/>
    <w:rsid w:val="0081449E"/>
    <w:rsid w:val="008144B1"/>
    <w:rsid w:val="008144DB"/>
    <w:rsid w:val="0081465F"/>
    <w:rsid w:val="00814830"/>
    <w:rsid w:val="00814FB5"/>
    <w:rsid w:val="00814FBF"/>
    <w:rsid w:val="00815152"/>
    <w:rsid w:val="008151F4"/>
    <w:rsid w:val="0081524B"/>
    <w:rsid w:val="00815314"/>
    <w:rsid w:val="0081545B"/>
    <w:rsid w:val="00815B09"/>
    <w:rsid w:val="00815D28"/>
    <w:rsid w:val="0081611F"/>
    <w:rsid w:val="00816147"/>
    <w:rsid w:val="00816274"/>
    <w:rsid w:val="00816325"/>
    <w:rsid w:val="008164C5"/>
    <w:rsid w:val="00816839"/>
    <w:rsid w:val="00816907"/>
    <w:rsid w:val="00816B71"/>
    <w:rsid w:val="008171FD"/>
    <w:rsid w:val="0081727B"/>
    <w:rsid w:val="00817299"/>
    <w:rsid w:val="008175D6"/>
    <w:rsid w:val="0081788B"/>
    <w:rsid w:val="00817B1C"/>
    <w:rsid w:val="00817EBA"/>
    <w:rsid w:val="00820020"/>
    <w:rsid w:val="0082014D"/>
    <w:rsid w:val="0082029B"/>
    <w:rsid w:val="00820311"/>
    <w:rsid w:val="008206D4"/>
    <w:rsid w:val="00820FA8"/>
    <w:rsid w:val="0082101E"/>
    <w:rsid w:val="00821255"/>
    <w:rsid w:val="0082144B"/>
    <w:rsid w:val="0082178A"/>
    <w:rsid w:val="00821AAB"/>
    <w:rsid w:val="00821FBA"/>
    <w:rsid w:val="008220F5"/>
    <w:rsid w:val="00822160"/>
    <w:rsid w:val="0082218A"/>
    <w:rsid w:val="00822450"/>
    <w:rsid w:val="008228EF"/>
    <w:rsid w:val="00822D19"/>
    <w:rsid w:val="00822EF2"/>
    <w:rsid w:val="008233C3"/>
    <w:rsid w:val="00823821"/>
    <w:rsid w:val="00823834"/>
    <w:rsid w:val="0082400D"/>
    <w:rsid w:val="008240A4"/>
    <w:rsid w:val="008242AA"/>
    <w:rsid w:val="0082457A"/>
    <w:rsid w:val="00824901"/>
    <w:rsid w:val="00824F8F"/>
    <w:rsid w:val="00824FA8"/>
    <w:rsid w:val="00825084"/>
    <w:rsid w:val="008252E6"/>
    <w:rsid w:val="00825713"/>
    <w:rsid w:val="008257B6"/>
    <w:rsid w:val="00825FCD"/>
    <w:rsid w:val="0082617F"/>
    <w:rsid w:val="0082626A"/>
    <w:rsid w:val="008265C8"/>
    <w:rsid w:val="008267DF"/>
    <w:rsid w:val="0082685E"/>
    <w:rsid w:val="008268D3"/>
    <w:rsid w:val="00826A5A"/>
    <w:rsid w:val="00826D51"/>
    <w:rsid w:val="0082701F"/>
    <w:rsid w:val="008270A8"/>
    <w:rsid w:val="00827707"/>
    <w:rsid w:val="00827822"/>
    <w:rsid w:val="00827AC2"/>
    <w:rsid w:val="00827CF2"/>
    <w:rsid w:val="00827CFE"/>
    <w:rsid w:val="00827E0A"/>
    <w:rsid w:val="00827F87"/>
    <w:rsid w:val="00827FA1"/>
    <w:rsid w:val="0083082B"/>
    <w:rsid w:val="00830B01"/>
    <w:rsid w:val="00830E00"/>
    <w:rsid w:val="00831149"/>
    <w:rsid w:val="008311A4"/>
    <w:rsid w:val="008311FB"/>
    <w:rsid w:val="008313AE"/>
    <w:rsid w:val="00831516"/>
    <w:rsid w:val="00831911"/>
    <w:rsid w:val="00831AE7"/>
    <w:rsid w:val="00831D5D"/>
    <w:rsid w:val="00831DC9"/>
    <w:rsid w:val="008320EE"/>
    <w:rsid w:val="0083248D"/>
    <w:rsid w:val="00832649"/>
    <w:rsid w:val="00832A69"/>
    <w:rsid w:val="00832D28"/>
    <w:rsid w:val="00832D2E"/>
    <w:rsid w:val="00833405"/>
    <w:rsid w:val="00833408"/>
    <w:rsid w:val="00833D4C"/>
    <w:rsid w:val="00833FAF"/>
    <w:rsid w:val="00833FD0"/>
    <w:rsid w:val="0083408F"/>
    <w:rsid w:val="008346A3"/>
    <w:rsid w:val="00834B87"/>
    <w:rsid w:val="00834DA1"/>
    <w:rsid w:val="00834E92"/>
    <w:rsid w:val="00835357"/>
    <w:rsid w:val="00835816"/>
    <w:rsid w:val="00835F7A"/>
    <w:rsid w:val="00836385"/>
    <w:rsid w:val="00836699"/>
    <w:rsid w:val="00836E30"/>
    <w:rsid w:val="00836F9B"/>
    <w:rsid w:val="00837934"/>
    <w:rsid w:val="00837A3F"/>
    <w:rsid w:val="00837AF5"/>
    <w:rsid w:val="00837F37"/>
    <w:rsid w:val="00840051"/>
    <w:rsid w:val="00840322"/>
    <w:rsid w:val="00840771"/>
    <w:rsid w:val="00840953"/>
    <w:rsid w:val="008412DB"/>
    <w:rsid w:val="00841922"/>
    <w:rsid w:val="00841A1E"/>
    <w:rsid w:val="00841B0E"/>
    <w:rsid w:val="00841D16"/>
    <w:rsid w:val="00841D60"/>
    <w:rsid w:val="00841DD5"/>
    <w:rsid w:val="00841DFE"/>
    <w:rsid w:val="0084285F"/>
    <w:rsid w:val="00842D28"/>
    <w:rsid w:val="00842F94"/>
    <w:rsid w:val="0084306E"/>
    <w:rsid w:val="00843504"/>
    <w:rsid w:val="00843560"/>
    <w:rsid w:val="0084370D"/>
    <w:rsid w:val="008437F2"/>
    <w:rsid w:val="00843FB4"/>
    <w:rsid w:val="008440C3"/>
    <w:rsid w:val="0084412A"/>
    <w:rsid w:val="00844306"/>
    <w:rsid w:val="00844915"/>
    <w:rsid w:val="00844E05"/>
    <w:rsid w:val="00844F8A"/>
    <w:rsid w:val="008452D7"/>
    <w:rsid w:val="00845526"/>
    <w:rsid w:val="008456E3"/>
    <w:rsid w:val="0084579B"/>
    <w:rsid w:val="008458AC"/>
    <w:rsid w:val="008458DF"/>
    <w:rsid w:val="00845919"/>
    <w:rsid w:val="0084594C"/>
    <w:rsid w:val="00845B14"/>
    <w:rsid w:val="00845E0A"/>
    <w:rsid w:val="00846255"/>
    <w:rsid w:val="008464D9"/>
    <w:rsid w:val="0084666C"/>
    <w:rsid w:val="00846910"/>
    <w:rsid w:val="00847198"/>
    <w:rsid w:val="00847474"/>
    <w:rsid w:val="00847517"/>
    <w:rsid w:val="008500AC"/>
    <w:rsid w:val="00850115"/>
    <w:rsid w:val="0085023F"/>
    <w:rsid w:val="008503BC"/>
    <w:rsid w:val="008507D2"/>
    <w:rsid w:val="00850F76"/>
    <w:rsid w:val="0085121B"/>
    <w:rsid w:val="008515B6"/>
    <w:rsid w:val="008515BB"/>
    <w:rsid w:val="008515F0"/>
    <w:rsid w:val="0085170B"/>
    <w:rsid w:val="0085182C"/>
    <w:rsid w:val="00851986"/>
    <w:rsid w:val="0085199D"/>
    <w:rsid w:val="00851D4E"/>
    <w:rsid w:val="00851D64"/>
    <w:rsid w:val="00851D9B"/>
    <w:rsid w:val="00851DDE"/>
    <w:rsid w:val="00852BE3"/>
    <w:rsid w:val="00852BF9"/>
    <w:rsid w:val="00852D89"/>
    <w:rsid w:val="00853028"/>
    <w:rsid w:val="00853611"/>
    <w:rsid w:val="00853879"/>
    <w:rsid w:val="00853977"/>
    <w:rsid w:val="0085408E"/>
    <w:rsid w:val="008542CB"/>
    <w:rsid w:val="00854392"/>
    <w:rsid w:val="008545BD"/>
    <w:rsid w:val="00854AC6"/>
    <w:rsid w:val="00854BF2"/>
    <w:rsid w:val="00854C4D"/>
    <w:rsid w:val="00854DD2"/>
    <w:rsid w:val="00854F57"/>
    <w:rsid w:val="00855111"/>
    <w:rsid w:val="008552C9"/>
    <w:rsid w:val="00855B07"/>
    <w:rsid w:val="00855D0D"/>
    <w:rsid w:val="0085604A"/>
    <w:rsid w:val="0085665C"/>
    <w:rsid w:val="00856EDB"/>
    <w:rsid w:val="00857259"/>
    <w:rsid w:val="0085747B"/>
    <w:rsid w:val="00857863"/>
    <w:rsid w:val="008579B8"/>
    <w:rsid w:val="00857D5D"/>
    <w:rsid w:val="00857F28"/>
    <w:rsid w:val="00860010"/>
    <w:rsid w:val="008601AC"/>
    <w:rsid w:val="008606EF"/>
    <w:rsid w:val="00860B56"/>
    <w:rsid w:val="00860FBD"/>
    <w:rsid w:val="00861106"/>
    <w:rsid w:val="0086118F"/>
    <w:rsid w:val="008611B1"/>
    <w:rsid w:val="008614E6"/>
    <w:rsid w:val="00861987"/>
    <w:rsid w:val="00861B65"/>
    <w:rsid w:val="00861D24"/>
    <w:rsid w:val="0086215C"/>
    <w:rsid w:val="00862691"/>
    <w:rsid w:val="00862E6C"/>
    <w:rsid w:val="00862EE6"/>
    <w:rsid w:val="008631B2"/>
    <w:rsid w:val="00863204"/>
    <w:rsid w:val="00863B4A"/>
    <w:rsid w:val="00863CEC"/>
    <w:rsid w:val="00864C9B"/>
    <w:rsid w:val="00864D0D"/>
    <w:rsid w:val="0086546A"/>
    <w:rsid w:val="00865A9B"/>
    <w:rsid w:val="00865D19"/>
    <w:rsid w:val="00866234"/>
    <w:rsid w:val="008665E2"/>
    <w:rsid w:val="00866935"/>
    <w:rsid w:val="008669A1"/>
    <w:rsid w:val="00866E17"/>
    <w:rsid w:val="00866FF3"/>
    <w:rsid w:val="00867272"/>
    <w:rsid w:val="008672EB"/>
    <w:rsid w:val="0086733D"/>
    <w:rsid w:val="0086752A"/>
    <w:rsid w:val="008679DC"/>
    <w:rsid w:val="00867C23"/>
    <w:rsid w:val="00867C3A"/>
    <w:rsid w:val="008700FB"/>
    <w:rsid w:val="00870421"/>
    <w:rsid w:val="008705B6"/>
    <w:rsid w:val="0087079F"/>
    <w:rsid w:val="00870BED"/>
    <w:rsid w:val="00870F05"/>
    <w:rsid w:val="008710E2"/>
    <w:rsid w:val="0087140E"/>
    <w:rsid w:val="0087181E"/>
    <w:rsid w:val="00871A1F"/>
    <w:rsid w:val="00871C34"/>
    <w:rsid w:val="00871D2D"/>
    <w:rsid w:val="00872039"/>
    <w:rsid w:val="00872133"/>
    <w:rsid w:val="00872AE1"/>
    <w:rsid w:val="00872AF1"/>
    <w:rsid w:val="00872F98"/>
    <w:rsid w:val="008731C9"/>
    <w:rsid w:val="008734F2"/>
    <w:rsid w:val="0087351C"/>
    <w:rsid w:val="00873528"/>
    <w:rsid w:val="00873568"/>
    <w:rsid w:val="00873CFE"/>
    <w:rsid w:val="00873FDA"/>
    <w:rsid w:val="008741AC"/>
    <w:rsid w:val="008742A8"/>
    <w:rsid w:val="008742BF"/>
    <w:rsid w:val="00874363"/>
    <w:rsid w:val="008744C4"/>
    <w:rsid w:val="00874654"/>
    <w:rsid w:val="00874AAD"/>
    <w:rsid w:val="00874CA4"/>
    <w:rsid w:val="00875331"/>
    <w:rsid w:val="0087580C"/>
    <w:rsid w:val="00875AEB"/>
    <w:rsid w:val="00875B89"/>
    <w:rsid w:val="00875D58"/>
    <w:rsid w:val="008760C9"/>
    <w:rsid w:val="008767AF"/>
    <w:rsid w:val="00876836"/>
    <w:rsid w:val="00876BB1"/>
    <w:rsid w:val="00876BCD"/>
    <w:rsid w:val="00876D45"/>
    <w:rsid w:val="00876E4C"/>
    <w:rsid w:val="00876ED0"/>
    <w:rsid w:val="00876FDF"/>
    <w:rsid w:val="00877498"/>
    <w:rsid w:val="00877BB4"/>
    <w:rsid w:val="00877D70"/>
    <w:rsid w:val="00877FEC"/>
    <w:rsid w:val="0088054C"/>
    <w:rsid w:val="0088063A"/>
    <w:rsid w:val="00880BFE"/>
    <w:rsid w:val="00881E36"/>
    <w:rsid w:val="00881F63"/>
    <w:rsid w:val="00881F67"/>
    <w:rsid w:val="0088212E"/>
    <w:rsid w:val="008825F5"/>
    <w:rsid w:val="008826AD"/>
    <w:rsid w:val="00882AE7"/>
    <w:rsid w:val="00882D93"/>
    <w:rsid w:val="00882E80"/>
    <w:rsid w:val="008830B2"/>
    <w:rsid w:val="00883399"/>
    <w:rsid w:val="008834F1"/>
    <w:rsid w:val="0088381C"/>
    <w:rsid w:val="00883B05"/>
    <w:rsid w:val="00883B28"/>
    <w:rsid w:val="008846DA"/>
    <w:rsid w:val="00884E37"/>
    <w:rsid w:val="00885431"/>
    <w:rsid w:val="008854F2"/>
    <w:rsid w:val="00885645"/>
    <w:rsid w:val="00886067"/>
    <w:rsid w:val="008860C6"/>
    <w:rsid w:val="00886245"/>
    <w:rsid w:val="0088639D"/>
    <w:rsid w:val="00886413"/>
    <w:rsid w:val="0088647A"/>
    <w:rsid w:val="00886B52"/>
    <w:rsid w:val="00886CB8"/>
    <w:rsid w:val="00886F30"/>
    <w:rsid w:val="00887277"/>
    <w:rsid w:val="00887516"/>
    <w:rsid w:val="008878DA"/>
    <w:rsid w:val="00890261"/>
    <w:rsid w:val="00890698"/>
    <w:rsid w:val="0089084A"/>
    <w:rsid w:val="0089089C"/>
    <w:rsid w:val="00890D11"/>
    <w:rsid w:val="008911F1"/>
    <w:rsid w:val="00891679"/>
    <w:rsid w:val="008916F5"/>
    <w:rsid w:val="0089176E"/>
    <w:rsid w:val="00892047"/>
    <w:rsid w:val="00892DC2"/>
    <w:rsid w:val="008930E9"/>
    <w:rsid w:val="008939BE"/>
    <w:rsid w:val="00893A10"/>
    <w:rsid w:val="00893B24"/>
    <w:rsid w:val="00893B8A"/>
    <w:rsid w:val="00893B93"/>
    <w:rsid w:val="00893EA8"/>
    <w:rsid w:val="0089409E"/>
    <w:rsid w:val="00894134"/>
    <w:rsid w:val="008942BA"/>
    <w:rsid w:val="008944A8"/>
    <w:rsid w:val="0089497C"/>
    <w:rsid w:val="00895526"/>
    <w:rsid w:val="0089580C"/>
    <w:rsid w:val="00895BC5"/>
    <w:rsid w:val="00895D99"/>
    <w:rsid w:val="00895EC5"/>
    <w:rsid w:val="00896097"/>
    <w:rsid w:val="008960F3"/>
    <w:rsid w:val="0089663F"/>
    <w:rsid w:val="00896715"/>
    <w:rsid w:val="0089674A"/>
    <w:rsid w:val="008968A9"/>
    <w:rsid w:val="008968F3"/>
    <w:rsid w:val="00896B76"/>
    <w:rsid w:val="00896BD2"/>
    <w:rsid w:val="00896C6E"/>
    <w:rsid w:val="00897D9D"/>
    <w:rsid w:val="00897FB5"/>
    <w:rsid w:val="008A003D"/>
    <w:rsid w:val="008A04FB"/>
    <w:rsid w:val="008A06D9"/>
    <w:rsid w:val="008A096E"/>
    <w:rsid w:val="008A09CC"/>
    <w:rsid w:val="008A0A06"/>
    <w:rsid w:val="008A0BD0"/>
    <w:rsid w:val="008A10D0"/>
    <w:rsid w:val="008A158E"/>
    <w:rsid w:val="008A15F2"/>
    <w:rsid w:val="008A19B4"/>
    <w:rsid w:val="008A1B2B"/>
    <w:rsid w:val="008A1CB1"/>
    <w:rsid w:val="008A2150"/>
    <w:rsid w:val="008A256B"/>
    <w:rsid w:val="008A2611"/>
    <w:rsid w:val="008A2773"/>
    <w:rsid w:val="008A2814"/>
    <w:rsid w:val="008A282F"/>
    <w:rsid w:val="008A2DE2"/>
    <w:rsid w:val="008A37BB"/>
    <w:rsid w:val="008A3F70"/>
    <w:rsid w:val="008A46F2"/>
    <w:rsid w:val="008A4C9A"/>
    <w:rsid w:val="008A4E6C"/>
    <w:rsid w:val="008A4E88"/>
    <w:rsid w:val="008A5267"/>
    <w:rsid w:val="008A5280"/>
    <w:rsid w:val="008A54C9"/>
    <w:rsid w:val="008A55DC"/>
    <w:rsid w:val="008A5612"/>
    <w:rsid w:val="008A57EA"/>
    <w:rsid w:val="008A5C87"/>
    <w:rsid w:val="008A5E83"/>
    <w:rsid w:val="008A5E9A"/>
    <w:rsid w:val="008A63EA"/>
    <w:rsid w:val="008A6836"/>
    <w:rsid w:val="008A72AD"/>
    <w:rsid w:val="008A736E"/>
    <w:rsid w:val="008A75C0"/>
    <w:rsid w:val="008A7804"/>
    <w:rsid w:val="008A7862"/>
    <w:rsid w:val="008A7DF1"/>
    <w:rsid w:val="008A7FF6"/>
    <w:rsid w:val="008B00BC"/>
    <w:rsid w:val="008B0513"/>
    <w:rsid w:val="008B076B"/>
    <w:rsid w:val="008B07C0"/>
    <w:rsid w:val="008B0BBF"/>
    <w:rsid w:val="008B0D79"/>
    <w:rsid w:val="008B0FAB"/>
    <w:rsid w:val="008B112A"/>
    <w:rsid w:val="008B15CF"/>
    <w:rsid w:val="008B172A"/>
    <w:rsid w:val="008B193B"/>
    <w:rsid w:val="008B1A32"/>
    <w:rsid w:val="008B1C58"/>
    <w:rsid w:val="008B1E35"/>
    <w:rsid w:val="008B1E55"/>
    <w:rsid w:val="008B1E9F"/>
    <w:rsid w:val="008B1F4B"/>
    <w:rsid w:val="008B2084"/>
    <w:rsid w:val="008B2304"/>
    <w:rsid w:val="008B25A2"/>
    <w:rsid w:val="008B2CC4"/>
    <w:rsid w:val="008B2D76"/>
    <w:rsid w:val="008B32C4"/>
    <w:rsid w:val="008B3485"/>
    <w:rsid w:val="008B3FB2"/>
    <w:rsid w:val="008B42E4"/>
    <w:rsid w:val="008B4719"/>
    <w:rsid w:val="008B4ADE"/>
    <w:rsid w:val="008B5050"/>
    <w:rsid w:val="008B5139"/>
    <w:rsid w:val="008B57EC"/>
    <w:rsid w:val="008B5981"/>
    <w:rsid w:val="008B5989"/>
    <w:rsid w:val="008B5A68"/>
    <w:rsid w:val="008B5A91"/>
    <w:rsid w:val="008B5B7B"/>
    <w:rsid w:val="008B5B8B"/>
    <w:rsid w:val="008B6166"/>
    <w:rsid w:val="008B6424"/>
    <w:rsid w:val="008B65DC"/>
    <w:rsid w:val="008B7398"/>
    <w:rsid w:val="008B74E1"/>
    <w:rsid w:val="008B787D"/>
    <w:rsid w:val="008B78B9"/>
    <w:rsid w:val="008B792F"/>
    <w:rsid w:val="008B79DC"/>
    <w:rsid w:val="008C0961"/>
    <w:rsid w:val="008C0F8F"/>
    <w:rsid w:val="008C10F5"/>
    <w:rsid w:val="008C17F3"/>
    <w:rsid w:val="008C1AD0"/>
    <w:rsid w:val="008C1B67"/>
    <w:rsid w:val="008C1CA0"/>
    <w:rsid w:val="008C1DBA"/>
    <w:rsid w:val="008C1DE2"/>
    <w:rsid w:val="008C1E39"/>
    <w:rsid w:val="008C20C5"/>
    <w:rsid w:val="008C2225"/>
    <w:rsid w:val="008C238E"/>
    <w:rsid w:val="008C294B"/>
    <w:rsid w:val="008C2ACC"/>
    <w:rsid w:val="008C2D22"/>
    <w:rsid w:val="008C3045"/>
    <w:rsid w:val="008C3164"/>
    <w:rsid w:val="008C33BC"/>
    <w:rsid w:val="008C3637"/>
    <w:rsid w:val="008C3AE8"/>
    <w:rsid w:val="008C3BA0"/>
    <w:rsid w:val="008C3D6D"/>
    <w:rsid w:val="008C3D98"/>
    <w:rsid w:val="008C46B0"/>
    <w:rsid w:val="008C46B5"/>
    <w:rsid w:val="008C4777"/>
    <w:rsid w:val="008C479D"/>
    <w:rsid w:val="008C4E9E"/>
    <w:rsid w:val="008C5066"/>
    <w:rsid w:val="008C5225"/>
    <w:rsid w:val="008C5D7D"/>
    <w:rsid w:val="008C6009"/>
    <w:rsid w:val="008C6044"/>
    <w:rsid w:val="008C6291"/>
    <w:rsid w:val="008C6AA8"/>
    <w:rsid w:val="008C7015"/>
    <w:rsid w:val="008C7533"/>
    <w:rsid w:val="008C778A"/>
    <w:rsid w:val="008C789D"/>
    <w:rsid w:val="008C79C2"/>
    <w:rsid w:val="008C79E2"/>
    <w:rsid w:val="008C7A01"/>
    <w:rsid w:val="008D052E"/>
    <w:rsid w:val="008D0563"/>
    <w:rsid w:val="008D0B14"/>
    <w:rsid w:val="008D0B96"/>
    <w:rsid w:val="008D0E6F"/>
    <w:rsid w:val="008D1B42"/>
    <w:rsid w:val="008D2039"/>
    <w:rsid w:val="008D2664"/>
    <w:rsid w:val="008D3278"/>
    <w:rsid w:val="008D362B"/>
    <w:rsid w:val="008D36B1"/>
    <w:rsid w:val="008D37A9"/>
    <w:rsid w:val="008D3921"/>
    <w:rsid w:val="008D3B74"/>
    <w:rsid w:val="008D3BCD"/>
    <w:rsid w:val="008D4311"/>
    <w:rsid w:val="008D471C"/>
    <w:rsid w:val="008D4BD7"/>
    <w:rsid w:val="008D4DB3"/>
    <w:rsid w:val="008D53C9"/>
    <w:rsid w:val="008D562C"/>
    <w:rsid w:val="008D5857"/>
    <w:rsid w:val="008D6113"/>
    <w:rsid w:val="008D6534"/>
    <w:rsid w:val="008D6A21"/>
    <w:rsid w:val="008D6E7B"/>
    <w:rsid w:val="008D6F0F"/>
    <w:rsid w:val="008D7381"/>
    <w:rsid w:val="008D7489"/>
    <w:rsid w:val="008D7B9D"/>
    <w:rsid w:val="008D7DA8"/>
    <w:rsid w:val="008D7E9A"/>
    <w:rsid w:val="008E052E"/>
    <w:rsid w:val="008E08A5"/>
    <w:rsid w:val="008E0C00"/>
    <w:rsid w:val="008E0F24"/>
    <w:rsid w:val="008E10E0"/>
    <w:rsid w:val="008E15D4"/>
    <w:rsid w:val="008E1722"/>
    <w:rsid w:val="008E1A81"/>
    <w:rsid w:val="008E1A89"/>
    <w:rsid w:val="008E1DFC"/>
    <w:rsid w:val="008E1F9D"/>
    <w:rsid w:val="008E2227"/>
    <w:rsid w:val="008E2923"/>
    <w:rsid w:val="008E321A"/>
    <w:rsid w:val="008E371F"/>
    <w:rsid w:val="008E3BB0"/>
    <w:rsid w:val="008E443B"/>
    <w:rsid w:val="008E4455"/>
    <w:rsid w:val="008E472F"/>
    <w:rsid w:val="008E49A2"/>
    <w:rsid w:val="008E4D3E"/>
    <w:rsid w:val="008E4D79"/>
    <w:rsid w:val="008E4DB7"/>
    <w:rsid w:val="008E5015"/>
    <w:rsid w:val="008E5420"/>
    <w:rsid w:val="008E5FC0"/>
    <w:rsid w:val="008E5FE9"/>
    <w:rsid w:val="008E6133"/>
    <w:rsid w:val="008E6D14"/>
    <w:rsid w:val="008E6D63"/>
    <w:rsid w:val="008E6DF7"/>
    <w:rsid w:val="008E7175"/>
    <w:rsid w:val="008E717C"/>
    <w:rsid w:val="008E71CE"/>
    <w:rsid w:val="008E722C"/>
    <w:rsid w:val="008E7298"/>
    <w:rsid w:val="008E79E8"/>
    <w:rsid w:val="008F037B"/>
    <w:rsid w:val="008F04E8"/>
    <w:rsid w:val="008F082C"/>
    <w:rsid w:val="008F0D7E"/>
    <w:rsid w:val="008F0EDC"/>
    <w:rsid w:val="008F1577"/>
    <w:rsid w:val="008F15FD"/>
    <w:rsid w:val="008F1DC5"/>
    <w:rsid w:val="008F2679"/>
    <w:rsid w:val="008F26E5"/>
    <w:rsid w:val="008F2B8C"/>
    <w:rsid w:val="008F2EAC"/>
    <w:rsid w:val="008F314E"/>
    <w:rsid w:val="008F3184"/>
    <w:rsid w:val="008F3443"/>
    <w:rsid w:val="008F3D70"/>
    <w:rsid w:val="008F43A4"/>
    <w:rsid w:val="008F4BE9"/>
    <w:rsid w:val="008F51EE"/>
    <w:rsid w:val="008F520B"/>
    <w:rsid w:val="008F55DB"/>
    <w:rsid w:val="008F5877"/>
    <w:rsid w:val="008F5993"/>
    <w:rsid w:val="008F5F38"/>
    <w:rsid w:val="008F5F48"/>
    <w:rsid w:val="008F612C"/>
    <w:rsid w:val="008F6207"/>
    <w:rsid w:val="008F624D"/>
    <w:rsid w:val="008F6303"/>
    <w:rsid w:val="008F638E"/>
    <w:rsid w:val="008F642D"/>
    <w:rsid w:val="008F66DC"/>
    <w:rsid w:val="008F67E0"/>
    <w:rsid w:val="008F6C6A"/>
    <w:rsid w:val="008F6D80"/>
    <w:rsid w:val="008F72E5"/>
    <w:rsid w:val="008F7407"/>
    <w:rsid w:val="008F7973"/>
    <w:rsid w:val="008F7AA3"/>
    <w:rsid w:val="008F7AD2"/>
    <w:rsid w:val="008F7D16"/>
    <w:rsid w:val="008F7DBD"/>
    <w:rsid w:val="008F7DD4"/>
    <w:rsid w:val="009001BC"/>
    <w:rsid w:val="00900608"/>
    <w:rsid w:val="009010EC"/>
    <w:rsid w:val="009013DC"/>
    <w:rsid w:val="00901887"/>
    <w:rsid w:val="0090224B"/>
    <w:rsid w:val="00902911"/>
    <w:rsid w:val="00902943"/>
    <w:rsid w:val="00902AD9"/>
    <w:rsid w:val="00902B42"/>
    <w:rsid w:val="009030AC"/>
    <w:rsid w:val="009039B8"/>
    <w:rsid w:val="00903BE4"/>
    <w:rsid w:val="00903BFC"/>
    <w:rsid w:val="00903D2A"/>
    <w:rsid w:val="00903D83"/>
    <w:rsid w:val="00903DE6"/>
    <w:rsid w:val="00904247"/>
    <w:rsid w:val="009042E6"/>
    <w:rsid w:val="009043C1"/>
    <w:rsid w:val="0090448B"/>
    <w:rsid w:val="009044A5"/>
    <w:rsid w:val="00904593"/>
    <w:rsid w:val="00904688"/>
    <w:rsid w:val="00904695"/>
    <w:rsid w:val="009048D9"/>
    <w:rsid w:val="009049FE"/>
    <w:rsid w:val="00904A2A"/>
    <w:rsid w:val="00904D27"/>
    <w:rsid w:val="00904F02"/>
    <w:rsid w:val="00904F4F"/>
    <w:rsid w:val="009050CD"/>
    <w:rsid w:val="00905231"/>
    <w:rsid w:val="0090540D"/>
    <w:rsid w:val="0090558E"/>
    <w:rsid w:val="0090578E"/>
    <w:rsid w:val="00905AEC"/>
    <w:rsid w:val="00905B14"/>
    <w:rsid w:val="00905F3C"/>
    <w:rsid w:val="00905F72"/>
    <w:rsid w:val="009061D3"/>
    <w:rsid w:val="009069C8"/>
    <w:rsid w:val="00906BD2"/>
    <w:rsid w:val="00906C8F"/>
    <w:rsid w:val="00906DD8"/>
    <w:rsid w:val="00906E20"/>
    <w:rsid w:val="00907249"/>
    <w:rsid w:val="009072B7"/>
    <w:rsid w:val="00907350"/>
    <w:rsid w:val="009073DE"/>
    <w:rsid w:val="009075A0"/>
    <w:rsid w:val="00907B2A"/>
    <w:rsid w:val="009102AB"/>
    <w:rsid w:val="0091151F"/>
    <w:rsid w:val="00911682"/>
    <w:rsid w:val="00911B27"/>
    <w:rsid w:val="00911F9C"/>
    <w:rsid w:val="009121A4"/>
    <w:rsid w:val="00912248"/>
    <w:rsid w:val="00912672"/>
    <w:rsid w:val="009126B9"/>
    <w:rsid w:val="00912756"/>
    <w:rsid w:val="0091275A"/>
    <w:rsid w:val="0091293E"/>
    <w:rsid w:val="00912A3C"/>
    <w:rsid w:val="00912F05"/>
    <w:rsid w:val="00912FDE"/>
    <w:rsid w:val="00913221"/>
    <w:rsid w:val="0091325E"/>
    <w:rsid w:val="00913518"/>
    <w:rsid w:val="0091359F"/>
    <w:rsid w:val="0091391C"/>
    <w:rsid w:val="00913C28"/>
    <w:rsid w:val="00913D3D"/>
    <w:rsid w:val="00913EC6"/>
    <w:rsid w:val="00913FE8"/>
    <w:rsid w:val="0091434F"/>
    <w:rsid w:val="0091447D"/>
    <w:rsid w:val="00914861"/>
    <w:rsid w:val="00914BEC"/>
    <w:rsid w:val="00914C58"/>
    <w:rsid w:val="00914CF4"/>
    <w:rsid w:val="00914D1C"/>
    <w:rsid w:val="00914D20"/>
    <w:rsid w:val="009151D0"/>
    <w:rsid w:val="00915646"/>
    <w:rsid w:val="009159BB"/>
    <w:rsid w:val="00915BE1"/>
    <w:rsid w:val="00915DF2"/>
    <w:rsid w:val="00915FC2"/>
    <w:rsid w:val="0091609B"/>
    <w:rsid w:val="00916628"/>
    <w:rsid w:val="0091683D"/>
    <w:rsid w:val="009168A6"/>
    <w:rsid w:val="00916946"/>
    <w:rsid w:val="009169B4"/>
    <w:rsid w:val="009171BC"/>
    <w:rsid w:val="00917326"/>
    <w:rsid w:val="009178D3"/>
    <w:rsid w:val="00917DF0"/>
    <w:rsid w:val="00920503"/>
    <w:rsid w:val="009205A5"/>
    <w:rsid w:val="009206BE"/>
    <w:rsid w:val="00920911"/>
    <w:rsid w:val="00920954"/>
    <w:rsid w:val="00920A0B"/>
    <w:rsid w:val="00920C94"/>
    <w:rsid w:val="00920D30"/>
    <w:rsid w:val="00920F20"/>
    <w:rsid w:val="0092132B"/>
    <w:rsid w:val="009214E5"/>
    <w:rsid w:val="009216A4"/>
    <w:rsid w:val="009218AB"/>
    <w:rsid w:val="009218F6"/>
    <w:rsid w:val="00921F20"/>
    <w:rsid w:val="00922A26"/>
    <w:rsid w:val="00922A70"/>
    <w:rsid w:val="00922AC8"/>
    <w:rsid w:val="00922C78"/>
    <w:rsid w:val="00922E1C"/>
    <w:rsid w:val="00922E5E"/>
    <w:rsid w:val="00922E7F"/>
    <w:rsid w:val="00922F36"/>
    <w:rsid w:val="00922FBB"/>
    <w:rsid w:val="00923516"/>
    <w:rsid w:val="00923835"/>
    <w:rsid w:val="00923A0E"/>
    <w:rsid w:val="009240EF"/>
    <w:rsid w:val="00924349"/>
    <w:rsid w:val="00924471"/>
    <w:rsid w:val="00924C7D"/>
    <w:rsid w:val="00924D78"/>
    <w:rsid w:val="00925302"/>
    <w:rsid w:val="009255C4"/>
    <w:rsid w:val="0092577A"/>
    <w:rsid w:val="00925798"/>
    <w:rsid w:val="00925BF9"/>
    <w:rsid w:val="00925C80"/>
    <w:rsid w:val="00925DD9"/>
    <w:rsid w:val="00926050"/>
    <w:rsid w:val="009262A0"/>
    <w:rsid w:val="009267A1"/>
    <w:rsid w:val="00926C62"/>
    <w:rsid w:val="00926F07"/>
    <w:rsid w:val="00927021"/>
    <w:rsid w:val="009271D4"/>
    <w:rsid w:val="0092777E"/>
    <w:rsid w:val="00927CDF"/>
    <w:rsid w:val="009300CB"/>
    <w:rsid w:val="00930118"/>
    <w:rsid w:val="00930256"/>
    <w:rsid w:val="00930883"/>
    <w:rsid w:val="00930E86"/>
    <w:rsid w:val="009311EA"/>
    <w:rsid w:val="009314A1"/>
    <w:rsid w:val="009314E4"/>
    <w:rsid w:val="0093163C"/>
    <w:rsid w:val="00931648"/>
    <w:rsid w:val="0093192D"/>
    <w:rsid w:val="00931AFC"/>
    <w:rsid w:val="00931B92"/>
    <w:rsid w:val="00931E4B"/>
    <w:rsid w:val="009321CE"/>
    <w:rsid w:val="00932656"/>
    <w:rsid w:val="0093297B"/>
    <w:rsid w:val="00932A9D"/>
    <w:rsid w:val="00932BD4"/>
    <w:rsid w:val="00932CAA"/>
    <w:rsid w:val="00932CCA"/>
    <w:rsid w:val="00932FA7"/>
    <w:rsid w:val="00933012"/>
    <w:rsid w:val="0093312A"/>
    <w:rsid w:val="0093322F"/>
    <w:rsid w:val="009332F0"/>
    <w:rsid w:val="00933A5A"/>
    <w:rsid w:val="00933C32"/>
    <w:rsid w:val="00933EE3"/>
    <w:rsid w:val="00933FF3"/>
    <w:rsid w:val="00934128"/>
    <w:rsid w:val="0093461E"/>
    <w:rsid w:val="00934668"/>
    <w:rsid w:val="00934ABC"/>
    <w:rsid w:val="00934ADF"/>
    <w:rsid w:val="00934C2E"/>
    <w:rsid w:val="00934C9C"/>
    <w:rsid w:val="00934E06"/>
    <w:rsid w:val="00934F14"/>
    <w:rsid w:val="00935107"/>
    <w:rsid w:val="009355E1"/>
    <w:rsid w:val="009359BB"/>
    <w:rsid w:val="00935D7E"/>
    <w:rsid w:val="00935EAE"/>
    <w:rsid w:val="0093604E"/>
    <w:rsid w:val="0093642C"/>
    <w:rsid w:val="009364EF"/>
    <w:rsid w:val="00936670"/>
    <w:rsid w:val="00936983"/>
    <w:rsid w:val="00936BE9"/>
    <w:rsid w:val="00936DBD"/>
    <w:rsid w:val="009370D8"/>
    <w:rsid w:val="009373AF"/>
    <w:rsid w:val="009374DA"/>
    <w:rsid w:val="009379E0"/>
    <w:rsid w:val="00937A57"/>
    <w:rsid w:val="00940196"/>
    <w:rsid w:val="009403DB"/>
    <w:rsid w:val="0094051D"/>
    <w:rsid w:val="00940B26"/>
    <w:rsid w:val="009413D4"/>
    <w:rsid w:val="0094148C"/>
    <w:rsid w:val="00941571"/>
    <w:rsid w:val="0094163C"/>
    <w:rsid w:val="00941B43"/>
    <w:rsid w:val="00941C06"/>
    <w:rsid w:val="00941E37"/>
    <w:rsid w:val="00941F23"/>
    <w:rsid w:val="00941F70"/>
    <w:rsid w:val="00941FF3"/>
    <w:rsid w:val="009420B1"/>
    <w:rsid w:val="009421FD"/>
    <w:rsid w:val="00942289"/>
    <w:rsid w:val="00942363"/>
    <w:rsid w:val="009423EA"/>
    <w:rsid w:val="00942883"/>
    <w:rsid w:val="00942A09"/>
    <w:rsid w:val="00942A2C"/>
    <w:rsid w:val="0094303F"/>
    <w:rsid w:val="00943264"/>
    <w:rsid w:val="0094340A"/>
    <w:rsid w:val="00943D0C"/>
    <w:rsid w:val="00943D81"/>
    <w:rsid w:val="00943DD5"/>
    <w:rsid w:val="0094412C"/>
    <w:rsid w:val="00944857"/>
    <w:rsid w:val="00944A95"/>
    <w:rsid w:val="00944B21"/>
    <w:rsid w:val="00944C7C"/>
    <w:rsid w:val="00945297"/>
    <w:rsid w:val="00945457"/>
    <w:rsid w:val="00945479"/>
    <w:rsid w:val="009454FB"/>
    <w:rsid w:val="0094553E"/>
    <w:rsid w:val="0094595A"/>
    <w:rsid w:val="00945964"/>
    <w:rsid w:val="00945D79"/>
    <w:rsid w:val="0094605E"/>
    <w:rsid w:val="00946399"/>
    <w:rsid w:val="009465B4"/>
    <w:rsid w:val="00946D05"/>
    <w:rsid w:val="00947000"/>
    <w:rsid w:val="0094700C"/>
    <w:rsid w:val="009470D1"/>
    <w:rsid w:val="009472C3"/>
    <w:rsid w:val="00947531"/>
    <w:rsid w:val="00947A03"/>
    <w:rsid w:val="00947BD3"/>
    <w:rsid w:val="00947C97"/>
    <w:rsid w:val="00950164"/>
    <w:rsid w:val="0095023E"/>
    <w:rsid w:val="00950327"/>
    <w:rsid w:val="00950543"/>
    <w:rsid w:val="009505D1"/>
    <w:rsid w:val="00950697"/>
    <w:rsid w:val="009508E0"/>
    <w:rsid w:val="00950C59"/>
    <w:rsid w:val="00950D3D"/>
    <w:rsid w:val="00950FBC"/>
    <w:rsid w:val="00951178"/>
    <w:rsid w:val="0095133F"/>
    <w:rsid w:val="009514EF"/>
    <w:rsid w:val="00951A50"/>
    <w:rsid w:val="00951AF3"/>
    <w:rsid w:val="00951AFD"/>
    <w:rsid w:val="00951CE5"/>
    <w:rsid w:val="00951F3B"/>
    <w:rsid w:val="00952345"/>
    <w:rsid w:val="00952522"/>
    <w:rsid w:val="00952909"/>
    <w:rsid w:val="00952CD4"/>
    <w:rsid w:val="00952E6D"/>
    <w:rsid w:val="00953B61"/>
    <w:rsid w:val="00953F69"/>
    <w:rsid w:val="00953F7F"/>
    <w:rsid w:val="00954182"/>
    <w:rsid w:val="00954229"/>
    <w:rsid w:val="009542F6"/>
    <w:rsid w:val="009543CE"/>
    <w:rsid w:val="00954476"/>
    <w:rsid w:val="00954515"/>
    <w:rsid w:val="009548CE"/>
    <w:rsid w:val="00954BE6"/>
    <w:rsid w:val="00954C81"/>
    <w:rsid w:val="00954C91"/>
    <w:rsid w:val="00954E1E"/>
    <w:rsid w:val="00954F0C"/>
    <w:rsid w:val="00955697"/>
    <w:rsid w:val="00955E53"/>
    <w:rsid w:val="0095645F"/>
    <w:rsid w:val="009566CE"/>
    <w:rsid w:val="00956780"/>
    <w:rsid w:val="00956823"/>
    <w:rsid w:val="0095764C"/>
    <w:rsid w:val="00957AB7"/>
    <w:rsid w:val="00957BF4"/>
    <w:rsid w:val="00957D18"/>
    <w:rsid w:val="00960410"/>
    <w:rsid w:val="00960C56"/>
    <w:rsid w:val="00960FBD"/>
    <w:rsid w:val="00961178"/>
    <w:rsid w:val="00961234"/>
    <w:rsid w:val="00961937"/>
    <w:rsid w:val="00961A56"/>
    <w:rsid w:val="00961E05"/>
    <w:rsid w:val="00962255"/>
    <w:rsid w:val="0096231F"/>
    <w:rsid w:val="00962C06"/>
    <w:rsid w:val="00963043"/>
    <w:rsid w:val="0096309E"/>
    <w:rsid w:val="009630B9"/>
    <w:rsid w:val="009631E4"/>
    <w:rsid w:val="00963514"/>
    <w:rsid w:val="00963781"/>
    <w:rsid w:val="009638C4"/>
    <w:rsid w:val="00963DB0"/>
    <w:rsid w:val="00963EEA"/>
    <w:rsid w:val="00964263"/>
    <w:rsid w:val="00964400"/>
    <w:rsid w:val="00964489"/>
    <w:rsid w:val="009647F4"/>
    <w:rsid w:val="009650BC"/>
    <w:rsid w:val="009652E2"/>
    <w:rsid w:val="009660DF"/>
    <w:rsid w:val="009662A8"/>
    <w:rsid w:val="00966393"/>
    <w:rsid w:val="0096639A"/>
    <w:rsid w:val="009664EB"/>
    <w:rsid w:val="0096669D"/>
    <w:rsid w:val="0096682A"/>
    <w:rsid w:val="00966995"/>
    <w:rsid w:val="00966B1D"/>
    <w:rsid w:val="00967008"/>
    <w:rsid w:val="0096725C"/>
    <w:rsid w:val="00967269"/>
    <w:rsid w:val="0096740C"/>
    <w:rsid w:val="009674A9"/>
    <w:rsid w:val="009675F5"/>
    <w:rsid w:val="009677AB"/>
    <w:rsid w:val="00967993"/>
    <w:rsid w:val="009679CE"/>
    <w:rsid w:val="00967AF0"/>
    <w:rsid w:val="00967C76"/>
    <w:rsid w:val="00970551"/>
    <w:rsid w:val="009712FE"/>
    <w:rsid w:val="0097135B"/>
    <w:rsid w:val="0097140B"/>
    <w:rsid w:val="00971924"/>
    <w:rsid w:val="00971AF2"/>
    <w:rsid w:val="00971BEF"/>
    <w:rsid w:val="00971DAC"/>
    <w:rsid w:val="00972200"/>
    <w:rsid w:val="0097229C"/>
    <w:rsid w:val="009722BC"/>
    <w:rsid w:val="0097259D"/>
    <w:rsid w:val="009725AD"/>
    <w:rsid w:val="00973880"/>
    <w:rsid w:val="00973C12"/>
    <w:rsid w:val="00973E54"/>
    <w:rsid w:val="00973E6C"/>
    <w:rsid w:val="00973ECD"/>
    <w:rsid w:val="009740DD"/>
    <w:rsid w:val="00974344"/>
    <w:rsid w:val="009746DD"/>
    <w:rsid w:val="00974855"/>
    <w:rsid w:val="009748E5"/>
    <w:rsid w:val="00974D52"/>
    <w:rsid w:val="0097533A"/>
    <w:rsid w:val="00975616"/>
    <w:rsid w:val="00975C8D"/>
    <w:rsid w:val="00975E3F"/>
    <w:rsid w:val="00976511"/>
    <w:rsid w:val="009770D0"/>
    <w:rsid w:val="00977147"/>
    <w:rsid w:val="00977774"/>
    <w:rsid w:val="009778BC"/>
    <w:rsid w:val="00977909"/>
    <w:rsid w:val="00977A22"/>
    <w:rsid w:val="00977B9A"/>
    <w:rsid w:val="00980588"/>
    <w:rsid w:val="00980598"/>
    <w:rsid w:val="00980C37"/>
    <w:rsid w:val="00980EC2"/>
    <w:rsid w:val="00980FFA"/>
    <w:rsid w:val="009812EB"/>
    <w:rsid w:val="00981509"/>
    <w:rsid w:val="0098167B"/>
    <w:rsid w:val="009821C2"/>
    <w:rsid w:val="009822CA"/>
    <w:rsid w:val="00982611"/>
    <w:rsid w:val="009827BE"/>
    <w:rsid w:val="00982FA3"/>
    <w:rsid w:val="00983964"/>
    <w:rsid w:val="00983A25"/>
    <w:rsid w:val="00983AC8"/>
    <w:rsid w:val="00983B71"/>
    <w:rsid w:val="00983C27"/>
    <w:rsid w:val="00983CA5"/>
    <w:rsid w:val="00983D86"/>
    <w:rsid w:val="00983EC9"/>
    <w:rsid w:val="009840F3"/>
    <w:rsid w:val="0098428B"/>
    <w:rsid w:val="00984492"/>
    <w:rsid w:val="00984756"/>
    <w:rsid w:val="00984A88"/>
    <w:rsid w:val="00984BB9"/>
    <w:rsid w:val="00984E18"/>
    <w:rsid w:val="00984EA7"/>
    <w:rsid w:val="009859BA"/>
    <w:rsid w:val="00985A36"/>
    <w:rsid w:val="00985CB8"/>
    <w:rsid w:val="009860AE"/>
    <w:rsid w:val="0098628F"/>
    <w:rsid w:val="009864DA"/>
    <w:rsid w:val="00986C77"/>
    <w:rsid w:val="00986E3C"/>
    <w:rsid w:val="00986FB9"/>
    <w:rsid w:val="0098708A"/>
    <w:rsid w:val="00987194"/>
    <w:rsid w:val="009875FF"/>
    <w:rsid w:val="00987765"/>
    <w:rsid w:val="009877A2"/>
    <w:rsid w:val="00987A2C"/>
    <w:rsid w:val="00987D7D"/>
    <w:rsid w:val="00990063"/>
    <w:rsid w:val="009901D6"/>
    <w:rsid w:val="0099026B"/>
    <w:rsid w:val="009903DF"/>
    <w:rsid w:val="00990A72"/>
    <w:rsid w:val="00990A82"/>
    <w:rsid w:val="00990C7A"/>
    <w:rsid w:val="00991140"/>
    <w:rsid w:val="0099124F"/>
    <w:rsid w:val="00991256"/>
    <w:rsid w:val="00991278"/>
    <w:rsid w:val="0099128A"/>
    <w:rsid w:val="009918D8"/>
    <w:rsid w:val="0099190C"/>
    <w:rsid w:val="00991BAF"/>
    <w:rsid w:val="00991D9D"/>
    <w:rsid w:val="00991DD3"/>
    <w:rsid w:val="009923A7"/>
    <w:rsid w:val="00992A5A"/>
    <w:rsid w:val="00992EB0"/>
    <w:rsid w:val="009933C7"/>
    <w:rsid w:val="009940DE"/>
    <w:rsid w:val="00994303"/>
    <w:rsid w:val="009943CD"/>
    <w:rsid w:val="00994503"/>
    <w:rsid w:val="00994F50"/>
    <w:rsid w:val="009950C5"/>
    <w:rsid w:val="009951EA"/>
    <w:rsid w:val="0099555B"/>
    <w:rsid w:val="0099588C"/>
    <w:rsid w:val="00995CFB"/>
    <w:rsid w:val="00995E69"/>
    <w:rsid w:val="009960A4"/>
    <w:rsid w:val="00996214"/>
    <w:rsid w:val="00996338"/>
    <w:rsid w:val="009963C5"/>
    <w:rsid w:val="00996442"/>
    <w:rsid w:val="0099686F"/>
    <w:rsid w:val="00996BBD"/>
    <w:rsid w:val="00996C15"/>
    <w:rsid w:val="00996C40"/>
    <w:rsid w:val="00996FE8"/>
    <w:rsid w:val="009972A6"/>
    <w:rsid w:val="00997DB8"/>
    <w:rsid w:val="00997F3E"/>
    <w:rsid w:val="009A01CD"/>
    <w:rsid w:val="009A0239"/>
    <w:rsid w:val="009A0436"/>
    <w:rsid w:val="009A08C1"/>
    <w:rsid w:val="009A0D61"/>
    <w:rsid w:val="009A0D8A"/>
    <w:rsid w:val="009A0D8D"/>
    <w:rsid w:val="009A0E3A"/>
    <w:rsid w:val="009A106E"/>
    <w:rsid w:val="009A10D5"/>
    <w:rsid w:val="009A1214"/>
    <w:rsid w:val="009A12BE"/>
    <w:rsid w:val="009A14D3"/>
    <w:rsid w:val="009A153B"/>
    <w:rsid w:val="009A1A38"/>
    <w:rsid w:val="009A1BFA"/>
    <w:rsid w:val="009A1D0D"/>
    <w:rsid w:val="009A1E4C"/>
    <w:rsid w:val="009A211A"/>
    <w:rsid w:val="009A23E5"/>
    <w:rsid w:val="009A24B5"/>
    <w:rsid w:val="009A26A0"/>
    <w:rsid w:val="009A2A08"/>
    <w:rsid w:val="009A2A25"/>
    <w:rsid w:val="009A2DE5"/>
    <w:rsid w:val="009A3447"/>
    <w:rsid w:val="009A3D17"/>
    <w:rsid w:val="009A3D4A"/>
    <w:rsid w:val="009A3D72"/>
    <w:rsid w:val="009A3EC0"/>
    <w:rsid w:val="009A4177"/>
    <w:rsid w:val="009A434C"/>
    <w:rsid w:val="009A44DD"/>
    <w:rsid w:val="009A45C4"/>
    <w:rsid w:val="009A48B6"/>
    <w:rsid w:val="009A495E"/>
    <w:rsid w:val="009A4F7D"/>
    <w:rsid w:val="009A4FC0"/>
    <w:rsid w:val="009A5431"/>
    <w:rsid w:val="009A563C"/>
    <w:rsid w:val="009A5B99"/>
    <w:rsid w:val="009A655E"/>
    <w:rsid w:val="009A6603"/>
    <w:rsid w:val="009A6683"/>
    <w:rsid w:val="009A6725"/>
    <w:rsid w:val="009A6815"/>
    <w:rsid w:val="009A69F2"/>
    <w:rsid w:val="009A6BA2"/>
    <w:rsid w:val="009A6C7E"/>
    <w:rsid w:val="009A6D5B"/>
    <w:rsid w:val="009A6EE3"/>
    <w:rsid w:val="009A6F83"/>
    <w:rsid w:val="009A7025"/>
    <w:rsid w:val="009A720C"/>
    <w:rsid w:val="009A76AB"/>
    <w:rsid w:val="009A779C"/>
    <w:rsid w:val="009A7C09"/>
    <w:rsid w:val="009A7F96"/>
    <w:rsid w:val="009B033D"/>
    <w:rsid w:val="009B08D6"/>
    <w:rsid w:val="009B0949"/>
    <w:rsid w:val="009B0F80"/>
    <w:rsid w:val="009B12C4"/>
    <w:rsid w:val="009B1344"/>
    <w:rsid w:val="009B1357"/>
    <w:rsid w:val="009B1480"/>
    <w:rsid w:val="009B1505"/>
    <w:rsid w:val="009B165C"/>
    <w:rsid w:val="009B1686"/>
    <w:rsid w:val="009B1CBB"/>
    <w:rsid w:val="009B1D0C"/>
    <w:rsid w:val="009B1D2D"/>
    <w:rsid w:val="009B1E51"/>
    <w:rsid w:val="009B2188"/>
    <w:rsid w:val="009B262A"/>
    <w:rsid w:val="009B26C7"/>
    <w:rsid w:val="009B2756"/>
    <w:rsid w:val="009B28A3"/>
    <w:rsid w:val="009B28A6"/>
    <w:rsid w:val="009B2C8B"/>
    <w:rsid w:val="009B2FBA"/>
    <w:rsid w:val="009B35CD"/>
    <w:rsid w:val="009B38F5"/>
    <w:rsid w:val="009B3902"/>
    <w:rsid w:val="009B3AB2"/>
    <w:rsid w:val="009B3F2B"/>
    <w:rsid w:val="009B415A"/>
    <w:rsid w:val="009B4264"/>
    <w:rsid w:val="009B4303"/>
    <w:rsid w:val="009B4633"/>
    <w:rsid w:val="009B47F7"/>
    <w:rsid w:val="009B4856"/>
    <w:rsid w:val="009B4894"/>
    <w:rsid w:val="009B5092"/>
    <w:rsid w:val="009B54CB"/>
    <w:rsid w:val="009B5675"/>
    <w:rsid w:val="009B593C"/>
    <w:rsid w:val="009B5995"/>
    <w:rsid w:val="009B5AD7"/>
    <w:rsid w:val="009B5CBC"/>
    <w:rsid w:val="009B61F5"/>
    <w:rsid w:val="009B634B"/>
    <w:rsid w:val="009B6368"/>
    <w:rsid w:val="009B7052"/>
    <w:rsid w:val="009B7243"/>
    <w:rsid w:val="009B75DF"/>
    <w:rsid w:val="009B7958"/>
    <w:rsid w:val="009C01ED"/>
    <w:rsid w:val="009C026B"/>
    <w:rsid w:val="009C054F"/>
    <w:rsid w:val="009C0579"/>
    <w:rsid w:val="009C08A4"/>
    <w:rsid w:val="009C0BF9"/>
    <w:rsid w:val="009C0C37"/>
    <w:rsid w:val="009C0CC2"/>
    <w:rsid w:val="009C0D26"/>
    <w:rsid w:val="009C0D75"/>
    <w:rsid w:val="009C113C"/>
    <w:rsid w:val="009C137E"/>
    <w:rsid w:val="009C1404"/>
    <w:rsid w:val="009C157F"/>
    <w:rsid w:val="009C181D"/>
    <w:rsid w:val="009C18D0"/>
    <w:rsid w:val="009C1C11"/>
    <w:rsid w:val="009C1E6E"/>
    <w:rsid w:val="009C2256"/>
    <w:rsid w:val="009C259F"/>
    <w:rsid w:val="009C27D8"/>
    <w:rsid w:val="009C283C"/>
    <w:rsid w:val="009C2C96"/>
    <w:rsid w:val="009C2D94"/>
    <w:rsid w:val="009C302D"/>
    <w:rsid w:val="009C31D2"/>
    <w:rsid w:val="009C354F"/>
    <w:rsid w:val="009C368B"/>
    <w:rsid w:val="009C3699"/>
    <w:rsid w:val="009C38F2"/>
    <w:rsid w:val="009C3AE7"/>
    <w:rsid w:val="009C3DA8"/>
    <w:rsid w:val="009C3DDD"/>
    <w:rsid w:val="009C4471"/>
    <w:rsid w:val="009C45E0"/>
    <w:rsid w:val="009C47C6"/>
    <w:rsid w:val="009C482E"/>
    <w:rsid w:val="009C5215"/>
    <w:rsid w:val="009C52F8"/>
    <w:rsid w:val="009C5696"/>
    <w:rsid w:val="009C5A9A"/>
    <w:rsid w:val="009C5E59"/>
    <w:rsid w:val="009C6089"/>
    <w:rsid w:val="009C6258"/>
    <w:rsid w:val="009C6275"/>
    <w:rsid w:val="009C69DD"/>
    <w:rsid w:val="009C6B29"/>
    <w:rsid w:val="009C7726"/>
    <w:rsid w:val="009C7E2B"/>
    <w:rsid w:val="009D00F8"/>
    <w:rsid w:val="009D01F4"/>
    <w:rsid w:val="009D0907"/>
    <w:rsid w:val="009D0EF3"/>
    <w:rsid w:val="009D107A"/>
    <w:rsid w:val="009D171A"/>
    <w:rsid w:val="009D2314"/>
    <w:rsid w:val="009D24DC"/>
    <w:rsid w:val="009D27F9"/>
    <w:rsid w:val="009D2F64"/>
    <w:rsid w:val="009D2FD2"/>
    <w:rsid w:val="009D32C1"/>
    <w:rsid w:val="009D3431"/>
    <w:rsid w:val="009D3452"/>
    <w:rsid w:val="009D3552"/>
    <w:rsid w:val="009D3861"/>
    <w:rsid w:val="009D3D52"/>
    <w:rsid w:val="009D3DD1"/>
    <w:rsid w:val="009D40D6"/>
    <w:rsid w:val="009D4181"/>
    <w:rsid w:val="009D4459"/>
    <w:rsid w:val="009D4D0D"/>
    <w:rsid w:val="009D4FA2"/>
    <w:rsid w:val="009D4FE3"/>
    <w:rsid w:val="009D537C"/>
    <w:rsid w:val="009D56DB"/>
    <w:rsid w:val="009D59FB"/>
    <w:rsid w:val="009D5B00"/>
    <w:rsid w:val="009D5EBE"/>
    <w:rsid w:val="009D5F79"/>
    <w:rsid w:val="009D66D1"/>
    <w:rsid w:val="009D6A00"/>
    <w:rsid w:val="009D6B7F"/>
    <w:rsid w:val="009D7147"/>
    <w:rsid w:val="009D718B"/>
    <w:rsid w:val="009D72EB"/>
    <w:rsid w:val="009D7605"/>
    <w:rsid w:val="009D779E"/>
    <w:rsid w:val="009D7E1B"/>
    <w:rsid w:val="009D7EAD"/>
    <w:rsid w:val="009E002A"/>
    <w:rsid w:val="009E00B1"/>
    <w:rsid w:val="009E0482"/>
    <w:rsid w:val="009E07F2"/>
    <w:rsid w:val="009E08DE"/>
    <w:rsid w:val="009E0900"/>
    <w:rsid w:val="009E0964"/>
    <w:rsid w:val="009E0AD9"/>
    <w:rsid w:val="009E0CD3"/>
    <w:rsid w:val="009E0ECA"/>
    <w:rsid w:val="009E154D"/>
    <w:rsid w:val="009E164F"/>
    <w:rsid w:val="009E1804"/>
    <w:rsid w:val="009E1B1E"/>
    <w:rsid w:val="009E1D95"/>
    <w:rsid w:val="009E1DCE"/>
    <w:rsid w:val="009E1E89"/>
    <w:rsid w:val="009E1F21"/>
    <w:rsid w:val="009E2BAA"/>
    <w:rsid w:val="009E2BC1"/>
    <w:rsid w:val="009E2CA4"/>
    <w:rsid w:val="009E2E02"/>
    <w:rsid w:val="009E3385"/>
    <w:rsid w:val="009E35FD"/>
    <w:rsid w:val="009E392A"/>
    <w:rsid w:val="009E3ACC"/>
    <w:rsid w:val="009E3B35"/>
    <w:rsid w:val="009E3F87"/>
    <w:rsid w:val="009E40A9"/>
    <w:rsid w:val="009E4662"/>
    <w:rsid w:val="009E4771"/>
    <w:rsid w:val="009E4ABD"/>
    <w:rsid w:val="009E502D"/>
    <w:rsid w:val="009E53DA"/>
    <w:rsid w:val="009E557B"/>
    <w:rsid w:val="009E55D3"/>
    <w:rsid w:val="009E5FCA"/>
    <w:rsid w:val="009E6082"/>
    <w:rsid w:val="009E60DF"/>
    <w:rsid w:val="009E6277"/>
    <w:rsid w:val="009E64D4"/>
    <w:rsid w:val="009E6927"/>
    <w:rsid w:val="009E6B19"/>
    <w:rsid w:val="009E7039"/>
    <w:rsid w:val="009E756B"/>
    <w:rsid w:val="009E7627"/>
    <w:rsid w:val="009E7723"/>
    <w:rsid w:val="009E78CA"/>
    <w:rsid w:val="009E7C17"/>
    <w:rsid w:val="009E7E6E"/>
    <w:rsid w:val="009E7F91"/>
    <w:rsid w:val="009F01EB"/>
    <w:rsid w:val="009F04B2"/>
    <w:rsid w:val="009F1574"/>
    <w:rsid w:val="009F15B8"/>
    <w:rsid w:val="009F15CC"/>
    <w:rsid w:val="009F1A1E"/>
    <w:rsid w:val="009F1ACB"/>
    <w:rsid w:val="009F1E68"/>
    <w:rsid w:val="009F1EF2"/>
    <w:rsid w:val="009F2120"/>
    <w:rsid w:val="009F2295"/>
    <w:rsid w:val="009F2382"/>
    <w:rsid w:val="009F2EA0"/>
    <w:rsid w:val="009F3270"/>
    <w:rsid w:val="009F33C2"/>
    <w:rsid w:val="009F3459"/>
    <w:rsid w:val="009F34A4"/>
    <w:rsid w:val="009F34E6"/>
    <w:rsid w:val="009F3593"/>
    <w:rsid w:val="009F375E"/>
    <w:rsid w:val="009F3F9C"/>
    <w:rsid w:val="009F42C5"/>
    <w:rsid w:val="009F433A"/>
    <w:rsid w:val="009F456A"/>
    <w:rsid w:val="009F4B12"/>
    <w:rsid w:val="009F4B90"/>
    <w:rsid w:val="009F4EB0"/>
    <w:rsid w:val="009F5170"/>
    <w:rsid w:val="009F5E75"/>
    <w:rsid w:val="009F5E79"/>
    <w:rsid w:val="009F6020"/>
    <w:rsid w:val="009F60AD"/>
    <w:rsid w:val="009F610E"/>
    <w:rsid w:val="009F6344"/>
    <w:rsid w:val="009F639D"/>
    <w:rsid w:val="009F6577"/>
    <w:rsid w:val="009F65C2"/>
    <w:rsid w:val="009F6885"/>
    <w:rsid w:val="009F6897"/>
    <w:rsid w:val="009F6A89"/>
    <w:rsid w:val="009F6BDA"/>
    <w:rsid w:val="009F6D44"/>
    <w:rsid w:val="009F6D8E"/>
    <w:rsid w:val="009F6E52"/>
    <w:rsid w:val="009F70E8"/>
    <w:rsid w:val="009F720D"/>
    <w:rsid w:val="009F726E"/>
    <w:rsid w:val="009F732A"/>
    <w:rsid w:val="009F73B1"/>
    <w:rsid w:val="009F75C4"/>
    <w:rsid w:val="009F79BE"/>
    <w:rsid w:val="009F7A71"/>
    <w:rsid w:val="009F7D97"/>
    <w:rsid w:val="00A00097"/>
    <w:rsid w:val="00A0070E"/>
    <w:rsid w:val="00A0077F"/>
    <w:rsid w:val="00A007E6"/>
    <w:rsid w:val="00A00FC5"/>
    <w:rsid w:val="00A01412"/>
    <w:rsid w:val="00A015F0"/>
    <w:rsid w:val="00A018D8"/>
    <w:rsid w:val="00A01C3B"/>
    <w:rsid w:val="00A01E14"/>
    <w:rsid w:val="00A01F9D"/>
    <w:rsid w:val="00A01FA2"/>
    <w:rsid w:val="00A021A7"/>
    <w:rsid w:val="00A02534"/>
    <w:rsid w:val="00A02653"/>
    <w:rsid w:val="00A02BFD"/>
    <w:rsid w:val="00A0344A"/>
    <w:rsid w:val="00A0377B"/>
    <w:rsid w:val="00A03BA1"/>
    <w:rsid w:val="00A03DE6"/>
    <w:rsid w:val="00A0404A"/>
    <w:rsid w:val="00A043E2"/>
    <w:rsid w:val="00A04777"/>
    <w:rsid w:val="00A047D4"/>
    <w:rsid w:val="00A047DC"/>
    <w:rsid w:val="00A04CE5"/>
    <w:rsid w:val="00A04E22"/>
    <w:rsid w:val="00A05320"/>
    <w:rsid w:val="00A0534A"/>
    <w:rsid w:val="00A055EE"/>
    <w:rsid w:val="00A055F4"/>
    <w:rsid w:val="00A056D9"/>
    <w:rsid w:val="00A05E0E"/>
    <w:rsid w:val="00A05E50"/>
    <w:rsid w:val="00A05E82"/>
    <w:rsid w:val="00A06023"/>
    <w:rsid w:val="00A0654E"/>
    <w:rsid w:val="00A06764"/>
    <w:rsid w:val="00A06848"/>
    <w:rsid w:val="00A0690D"/>
    <w:rsid w:val="00A069EF"/>
    <w:rsid w:val="00A06A08"/>
    <w:rsid w:val="00A06AD0"/>
    <w:rsid w:val="00A06DB3"/>
    <w:rsid w:val="00A06ECB"/>
    <w:rsid w:val="00A07030"/>
    <w:rsid w:val="00A0705C"/>
    <w:rsid w:val="00A073B7"/>
    <w:rsid w:val="00A07440"/>
    <w:rsid w:val="00A0748E"/>
    <w:rsid w:val="00A075C4"/>
    <w:rsid w:val="00A076C8"/>
    <w:rsid w:val="00A0779B"/>
    <w:rsid w:val="00A07866"/>
    <w:rsid w:val="00A07BAC"/>
    <w:rsid w:val="00A07D3F"/>
    <w:rsid w:val="00A07F5B"/>
    <w:rsid w:val="00A07F6B"/>
    <w:rsid w:val="00A07F75"/>
    <w:rsid w:val="00A1004A"/>
    <w:rsid w:val="00A1021D"/>
    <w:rsid w:val="00A1037E"/>
    <w:rsid w:val="00A10BCF"/>
    <w:rsid w:val="00A10ECB"/>
    <w:rsid w:val="00A10F18"/>
    <w:rsid w:val="00A1138B"/>
    <w:rsid w:val="00A113C6"/>
    <w:rsid w:val="00A1178C"/>
    <w:rsid w:val="00A11828"/>
    <w:rsid w:val="00A11A76"/>
    <w:rsid w:val="00A11B54"/>
    <w:rsid w:val="00A11EC5"/>
    <w:rsid w:val="00A1239D"/>
    <w:rsid w:val="00A123BE"/>
    <w:rsid w:val="00A1284A"/>
    <w:rsid w:val="00A129AF"/>
    <w:rsid w:val="00A12AD8"/>
    <w:rsid w:val="00A12CBD"/>
    <w:rsid w:val="00A12EC7"/>
    <w:rsid w:val="00A131C1"/>
    <w:rsid w:val="00A13965"/>
    <w:rsid w:val="00A139BC"/>
    <w:rsid w:val="00A14209"/>
    <w:rsid w:val="00A14877"/>
    <w:rsid w:val="00A14933"/>
    <w:rsid w:val="00A1493D"/>
    <w:rsid w:val="00A14BFB"/>
    <w:rsid w:val="00A14F45"/>
    <w:rsid w:val="00A151ED"/>
    <w:rsid w:val="00A15223"/>
    <w:rsid w:val="00A152B2"/>
    <w:rsid w:val="00A153B5"/>
    <w:rsid w:val="00A153ED"/>
    <w:rsid w:val="00A1555D"/>
    <w:rsid w:val="00A16556"/>
    <w:rsid w:val="00A16653"/>
    <w:rsid w:val="00A166A1"/>
    <w:rsid w:val="00A166FE"/>
    <w:rsid w:val="00A167A6"/>
    <w:rsid w:val="00A167C6"/>
    <w:rsid w:val="00A16E0E"/>
    <w:rsid w:val="00A16FC7"/>
    <w:rsid w:val="00A16FCA"/>
    <w:rsid w:val="00A171B2"/>
    <w:rsid w:val="00A1723B"/>
    <w:rsid w:val="00A20075"/>
    <w:rsid w:val="00A205F8"/>
    <w:rsid w:val="00A20AB4"/>
    <w:rsid w:val="00A20AC9"/>
    <w:rsid w:val="00A211EF"/>
    <w:rsid w:val="00A218E3"/>
    <w:rsid w:val="00A21F22"/>
    <w:rsid w:val="00A2205C"/>
    <w:rsid w:val="00A22571"/>
    <w:rsid w:val="00A227C1"/>
    <w:rsid w:val="00A22BB0"/>
    <w:rsid w:val="00A23002"/>
    <w:rsid w:val="00A23121"/>
    <w:rsid w:val="00A23538"/>
    <w:rsid w:val="00A23778"/>
    <w:rsid w:val="00A24463"/>
    <w:rsid w:val="00A2463C"/>
    <w:rsid w:val="00A2465E"/>
    <w:rsid w:val="00A24A96"/>
    <w:rsid w:val="00A24BAD"/>
    <w:rsid w:val="00A25006"/>
    <w:rsid w:val="00A2534B"/>
    <w:rsid w:val="00A25A5E"/>
    <w:rsid w:val="00A25B5E"/>
    <w:rsid w:val="00A25FDB"/>
    <w:rsid w:val="00A26053"/>
    <w:rsid w:val="00A2662F"/>
    <w:rsid w:val="00A2699D"/>
    <w:rsid w:val="00A26C6A"/>
    <w:rsid w:val="00A26E24"/>
    <w:rsid w:val="00A26F4C"/>
    <w:rsid w:val="00A27529"/>
    <w:rsid w:val="00A27544"/>
    <w:rsid w:val="00A27581"/>
    <w:rsid w:val="00A27766"/>
    <w:rsid w:val="00A27896"/>
    <w:rsid w:val="00A27898"/>
    <w:rsid w:val="00A278DE"/>
    <w:rsid w:val="00A279DF"/>
    <w:rsid w:val="00A27D48"/>
    <w:rsid w:val="00A30019"/>
    <w:rsid w:val="00A3001F"/>
    <w:rsid w:val="00A305EF"/>
    <w:rsid w:val="00A3093C"/>
    <w:rsid w:val="00A30DC9"/>
    <w:rsid w:val="00A310F1"/>
    <w:rsid w:val="00A310FF"/>
    <w:rsid w:val="00A3112F"/>
    <w:rsid w:val="00A3125A"/>
    <w:rsid w:val="00A3142B"/>
    <w:rsid w:val="00A31677"/>
    <w:rsid w:val="00A31782"/>
    <w:rsid w:val="00A317B6"/>
    <w:rsid w:val="00A3192C"/>
    <w:rsid w:val="00A319CA"/>
    <w:rsid w:val="00A319DC"/>
    <w:rsid w:val="00A32977"/>
    <w:rsid w:val="00A329F7"/>
    <w:rsid w:val="00A32B4B"/>
    <w:rsid w:val="00A32E1F"/>
    <w:rsid w:val="00A3314A"/>
    <w:rsid w:val="00A33317"/>
    <w:rsid w:val="00A335C6"/>
    <w:rsid w:val="00A33B6B"/>
    <w:rsid w:val="00A33C27"/>
    <w:rsid w:val="00A33D68"/>
    <w:rsid w:val="00A33D80"/>
    <w:rsid w:val="00A34136"/>
    <w:rsid w:val="00A341AC"/>
    <w:rsid w:val="00A3434F"/>
    <w:rsid w:val="00A343B5"/>
    <w:rsid w:val="00A34505"/>
    <w:rsid w:val="00A34604"/>
    <w:rsid w:val="00A34AB9"/>
    <w:rsid w:val="00A34B48"/>
    <w:rsid w:val="00A34DD6"/>
    <w:rsid w:val="00A34F48"/>
    <w:rsid w:val="00A34F58"/>
    <w:rsid w:val="00A34FE5"/>
    <w:rsid w:val="00A35E42"/>
    <w:rsid w:val="00A36075"/>
    <w:rsid w:val="00A365B5"/>
    <w:rsid w:val="00A3678F"/>
    <w:rsid w:val="00A36796"/>
    <w:rsid w:val="00A36A8B"/>
    <w:rsid w:val="00A36BC3"/>
    <w:rsid w:val="00A36FE8"/>
    <w:rsid w:val="00A37138"/>
    <w:rsid w:val="00A37576"/>
    <w:rsid w:val="00A3777A"/>
    <w:rsid w:val="00A37A6B"/>
    <w:rsid w:val="00A4021A"/>
    <w:rsid w:val="00A4024B"/>
    <w:rsid w:val="00A405CC"/>
    <w:rsid w:val="00A40642"/>
    <w:rsid w:val="00A4094F"/>
    <w:rsid w:val="00A40D78"/>
    <w:rsid w:val="00A4104B"/>
    <w:rsid w:val="00A414FC"/>
    <w:rsid w:val="00A41F87"/>
    <w:rsid w:val="00A41FA0"/>
    <w:rsid w:val="00A4210D"/>
    <w:rsid w:val="00A42173"/>
    <w:rsid w:val="00A421C4"/>
    <w:rsid w:val="00A424EC"/>
    <w:rsid w:val="00A4261E"/>
    <w:rsid w:val="00A42A98"/>
    <w:rsid w:val="00A4314E"/>
    <w:rsid w:val="00A43523"/>
    <w:rsid w:val="00A435B3"/>
    <w:rsid w:val="00A43707"/>
    <w:rsid w:val="00A437B6"/>
    <w:rsid w:val="00A43C4C"/>
    <w:rsid w:val="00A43E44"/>
    <w:rsid w:val="00A44A7D"/>
    <w:rsid w:val="00A44C8E"/>
    <w:rsid w:val="00A45057"/>
    <w:rsid w:val="00A4517F"/>
    <w:rsid w:val="00A45AE1"/>
    <w:rsid w:val="00A45B69"/>
    <w:rsid w:val="00A45DBE"/>
    <w:rsid w:val="00A46AAD"/>
    <w:rsid w:val="00A46BE8"/>
    <w:rsid w:val="00A470BE"/>
    <w:rsid w:val="00A47788"/>
    <w:rsid w:val="00A47BD7"/>
    <w:rsid w:val="00A47C29"/>
    <w:rsid w:val="00A47EE2"/>
    <w:rsid w:val="00A47FC2"/>
    <w:rsid w:val="00A50348"/>
    <w:rsid w:val="00A50625"/>
    <w:rsid w:val="00A50F63"/>
    <w:rsid w:val="00A5104C"/>
    <w:rsid w:val="00A5127A"/>
    <w:rsid w:val="00A51320"/>
    <w:rsid w:val="00A513D2"/>
    <w:rsid w:val="00A5150E"/>
    <w:rsid w:val="00A51E89"/>
    <w:rsid w:val="00A52096"/>
    <w:rsid w:val="00A52551"/>
    <w:rsid w:val="00A526A3"/>
    <w:rsid w:val="00A526B0"/>
    <w:rsid w:val="00A5275D"/>
    <w:rsid w:val="00A527B4"/>
    <w:rsid w:val="00A52C6C"/>
    <w:rsid w:val="00A52E02"/>
    <w:rsid w:val="00A52E60"/>
    <w:rsid w:val="00A53068"/>
    <w:rsid w:val="00A533CD"/>
    <w:rsid w:val="00A53636"/>
    <w:rsid w:val="00A5389F"/>
    <w:rsid w:val="00A53BA8"/>
    <w:rsid w:val="00A54660"/>
    <w:rsid w:val="00A547A7"/>
    <w:rsid w:val="00A54917"/>
    <w:rsid w:val="00A54E91"/>
    <w:rsid w:val="00A54F00"/>
    <w:rsid w:val="00A54FC8"/>
    <w:rsid w:val="00A550DA"/>
    <w:rsid w:val="00A5561E"/>
    <w:rsid w:val="00A55A44"/>
    <w:rsid w:val="00A55C5A"/>
    <w:rsid w:val="00A55DF8"/>
    <w:rsid w:val="00A55FEE"/>
    <w:rsid w:val="00A56877"/>
    <w:rsid w:val="00A56ED8"/>
    <w:rsid w:val="00A5719C"/>
    <w:rsid w:val="00A576B4"/>
    <w:rsid w:val="00A57732"/>
    <w:rsid w:val="00A57DF1"/>
    <w:rsid w:val="00A6005F"/>
    <w:rsid w:val="00A60410"/>
    <w:rsid w:val="00A606D2"/>
    <w:rsid w:val="00A60A0E"/>
    <w:rsid w:val="00A60AC5"/>
    <w:rsid w:val="00A60B7E"/>
    <w:rsid w:val="00A60C09"/>
    <w:rsid w:val="00A60EE4"/>
    <w:rsid w:val="00A6100D"/>
    <w:rsid w:val="00A61127"/>
    <w:rsid w:val="00A612AC"/>
    <w:rsid w:val="00A617C5"/>
    <w:rsid w:val="00A61A29"/>
    <w:rsid w:val="00A61A93"/>
    <w:rsid w:val="00A61CAC"/>
    <w:rsid w:val="00A62385"/>
    <w:rsid w:val="00A624D8"/>
    <w:rsid w:val="00A625C3"/>
    <w:rsid w:val="00A62982"/>
    <w:rsid w:val="00A62C72"/>
    <w:rsid w:val="00A62E2C"/>
    <w:rsid w:val="00A630EA"/>
    <w:rsid w:val="00A63425"/>
    <w:rsid w:val="00A63515"/>
    <w:rsid w:val="00A636C9"/>
    <w:rsid w:val="00A637C0"/>
    <w:rsid w:val="00A6382D"/>
    <w:rsid w:val="00A63B36"/>
    <w:rsid w:val="00A63CA4"/>
    <w:rsid w:val="00A6418B"/>
    <w:rsid w:val="00A64465"/>
    <w:rsid w:val="00A646A0"/>
    <w:rsid w:val="00A6490D"/>
    <w:rsid w:val="00A64CB8"/>
    <w:rsid w:val="00A64F0E"/>
    <w:rsid w:val="00A65170"/>
    <w:rsid w:val="00A652F0"/>
    <w:rsid w:val="00A6559F"/>
    <w:rsid w:val="00A65871"/>
    <w:rsid w:val="00A658DD"/>
    <w:rsid w:val="00A6594D"/>
    <w:rsid w:val="00A65E44"/>
    <w:rsid w:val="00A65ED2"/>
    <w:rsid w:val="00A6636F"/>
    <w:rsid w:val="00A66423"/>
    <w:rsid w:val="00A666BF"/>
    <w:rsid w:val="00A6686E"/>
    <w:rsid w:val="00A67060"/>
    <w:rsid w:val="00A67245"/>
    <w:rsid w:val="00A67267"/>
    <w:rsid w:val="00A6743D"/>
    <w:rsid w:val="00A676B8"/>
    <w:rsid w:val="00A677A8"/>
    <w:rsid w:val="00A678E1"/>
    <w:rsid w:val="00A67D81"/>
    <w:rsid w:val="00A70C3A"/>
    <w:rsid w:val="00A70C4C"/>
    <w:rsid w:val="00A7131E"/>
    <w:rsid w:val="00A7224C"/>
    <w:rsid w:val="00A7229F"/>
    <w:rsid w:val="00A7324D"/>
    <w:rsid w:val="00A7335E"/>
    <w:rsid w:val="00A73CA9"/>
    <w:rsid w:val="00A73E72"/>
    <w:rsid w:val="00A74051"/>
    <w:rsid w:val="00A74128"/>
    <w:rsid w:val="00A741A3"/>
    <w:rsid w:val="00A7434F"/>
    <w:rsid w:val="00A74538"/>
    <w:rsid w:val="00A746A7"/>
    <w:rsid w:val="00A74754"/>
    <w:rsid w:val="00A74961"/>
    <w:rsid w:val="00A74D77"/>
    <w:rsid w:val="00A751E9"/>
    <w:rsid w:val="00A754F2"/>
    <w:rsid w:val="00A7588B"/>
    <w:rsid w:val="00A75AB2"/>
    <w:rsid w:val="00A75D63"/>
    <w:rsid w:val="00A75E73"/>
    <w:rsid w:val="00A766C6"/>
    <w:rsid w:val="00A76950"/>
    <w:rsid w:val="00A7700C"/>
    <w:rsid w:val="00A77200"/>
    <w:rsid w:val="00A774BA"/>
    <w:rsid w:val="00A779D6"/>
    <w:rsid w:val="00A77BE1"/>
    <w:rsid w:val="00A77FE0"/>
    <w:rsid w:val="00A806A4"/>
    <w:rsid w:val="00A80994"/>
    <w:rsid w:val="00A80EEC"/>
    <w:rsid w:val="00A81064"/>
    <w:rsid w:val="00A810D7"/>
    <w:rsid w:val="00A81184"/>
    <w:rsid w:val="00A81231"/>
    <w:rsid w:val="00A814F9"/>
    <w:rsid w:val="00A81A5D"/>
    <w:rsid w:val="00A81AAE"/>
    <w:rsid w:val="00A81DD4"/>
    <w:rsid w:val="00A8215C"/>
    <w:rsid w:val="00A82302"/>
    <w:rsid w:val="00A82951"/>
    <w:rsid w:val="00A8298C"/>
    <w:rsid w:val="00A82D4D"/>
    <w:rsid w:val="00A833F6"/>
    <w:rsid w:val="00A834D7"/>
    <w:rsid w:val="00A83857"/>
    <w:rsid w:val="00A83887"/>
    <w:rsid w:val="00A83A05"/>
    <w:rsid w:val="00A83A92"/>
    <w:rsid w:val="00A841AE"/>
    <w:rsid w:val="00A8439A"/>
    <w:rsid w:val="00A8457E"/>
    <w:rsid w:val="00A8463A"/>
    <w:rsid w:val="00A846F1"/>
    <w:rsid w:val="00A84928"/>
    <w:rsid w:val="00A84D00"/>
    <w:rsid w:val="00A84EF0"/>
    <w:rsid w:val="00A85368"/>
    <w:rsid w:val="00A8536F"/>
    <w:rsid w:val="00A85695"/>
    <w:rsid w:val="00A856C3"/>
    <w:rsid w:val="00A85D39"/>
    <w:rsid w:val="00A85F29"/>
    <w:rsid w:val="00A86100"/>
    <w:rsid w:val="00A86340"/>
    <w:rsid w:val="00A863DB"/>
    <w:rsid w:val="00A867A9"/>
    <w:rsid w:val="00A86EED"/>
    <w:rsid w:val="00A87064"/>
    <w:rsid w:val="00A8729F"/>
    <w:rsid w:val="00A8735F"/>
    <w:rsid w:val="00A87549"/>
    <w:rsid w:val="00A875EE"/>
    <w:rsid w:val="00A87911"/>
    <w:rsid w:val="00A879C4"/>
    <w:rsid w:val="00A87D11"/>
    <w:rsid w:val="00A87E98"/>
    <w:rsid w:val="00A87F2E"/>
    <w:rsid w:val="00A9006C"/>
    <w:rsid w:val="00A904E2"/>
    <w:rsid w:val="00A9092B"/>
    <w:rsid w:val="00A90B39"/>
    <w:rsid w:val="00A91188"/>
    <w:rsid w:val="00A9148A"/>
    <w:rsid w:val="00A9160E"/>
    <w:rsid w:val="00A917A4"/>
    <w:rsid w:val="00A918B1"/>
    <w:rsid w:val="00A91964"/>
    <w:rsid w:val="00A920CF"/>
    <w:rsid w:val="00A92324"/>
    <w:rsid w:val="00A92371"/>
    <w:rsid w:val="00A924EF"/>
    <w:rsid w:val="00A927FF"/>
    <w:rsid w:val="00A92CAF"/>
    <w:rsid w:val="00A92CE9"/>
    <w:rsid w:val="00A92D07"/>
    <w:rsid w:val="00A9338D"/>
    <w:rsid w:val="00A934EE"/>
    <w:rsid w:val="00A9395C"/>
    <w:rsid w:val="00A93D89"/>
    <w:rsid w:val="00A93DC2"/>
    <w:rsid w:val="00A9404C"/>
    <w:rsid w:val="00A942C5"/>
    <w:rsid w:val="00A942F0"/>
    <w:rsid w:val="00A9495E"/>
    <w:rsid w:val="00A94D28"/>
    <w:rsid w:val="00A94D32"/>
    <w:rsid w:val="00A94F5B"/>
    <w:rsid w:val="00A95197"/>
    <w:rsid w:val="00A95317"/>
    <w:rsid w:val="00A95399"/>
    <w:rsid w:val="00A95A64"/>
    <w:rsid w:val="00A9654E"/>
    <w:rsid w:val="00A96B83"/>
    <w:rsid w:val="00A96BCF"/>
    <w:rsid w:val="00A96DFB"/>
    <w:rsid w:val="00A96F1A"/>
    <w:rsid w:val="00A97360"/>
    <w:rsid w:val="00A97397"/>
    <w:rsid w:val="00A9753E"/>
    <w:rsid w:val="00A977A3"/>
    <w:rsid w:val="00A97964"/>
    <w:rsid w:val="00A97D39"/>
    <w:rsid w:val="00AA01BC"/>
    <w:rsid w:val="00AA0501"/>
    <w:rsid w:val="00AA06B8"/>
    <w:rsid w:val="00AA09C8"/>
    <w:rsid w:val="00AA12A2"/>
    <w:rsid w:val="00AA1885"/>
    <w:rsid w:val="00AA2059"/>
    <w:rsid w:val="00AA278E"/>
    <w:rsid w:val="00AA29A8"/>
    <w:rsid w:val="00AA29AB"/>
    <w:rsid w:val="00AA2BA3"/>
    <w:rsid w:val="00AA2FB3"/>
    <w:rsid w:val="00AA311B"/>
    <w:rsid w:val="00AA3540"/>
    <w:rsid w:val="00AA3552"/>
    <w:rsid w:val="00AA3CD2"/>
    <w:rsid w:val="00AA3EEB"/>
    <w:rsid w:val="00AA3FBA"/>
    <w:rsid w:val="00AA4094"/>
    <w:rsid w:val="00AA4208"/>
    <w:rsid w:val="00AA4521"/>
    <w:rsid w:val="00AA45F3"/>
    <w:rsid w:val="00AA4623"/>
    <w:rsid w:val="00AA4655"/>
    <w:rsid w:val="00AA46E1"/>
    <w:rsid w:val="00AA48B7"/>
    <w:rsid w:val="00AA5194"/>
    <w:rsid w:val="00AA5305"/>
    <w:rsid w:val="00AA5C00"/>
    <w:rsid w:val="00AA6155"/>
    <w:rsid w:val="00AA62BA"/>
    <w:rsid w:val="00AA62D2"/>
    <w:rsid w:val="00AA689D"/>
    <w:rsid w:val="00AA6F51"/>
    <w:rsid w:val="00AA705C"/>
    <w:rsid w:val="00AA7198"/>
    <w:rsid w:val="00AA73A2"/>
    <w:rsid w:val="00AA7820"/>
    <w:rsid w:val="00AA7B03"/>
    <w:rsid w:val="00AA7BF7"/>
    <w:rsid w:val="00AA7D40"/>
    <w:rsid w:val="00AB019B"/>
    <w:rsid w:val="00AB03A3"/>
    <w:rsid w:val="00AB0751"/>
    <w:rsid w:val="00AB0896"/>
    <w:rsid w:val="00AB08D6"/>
    <w:rsid w:val="00AB1573"/>
    <w:rsid w:val="00AB16D5"/>
    <w:rsid w:val="00AB16F6"/>
    <w:rsid w:val="00AB17CA"/>
    <w:rsid w:val="00AB1A31"/>
    <w:rsid w:val="00AB1B5B"/>
    <w:rsid w:val="00AB1C76"/>
    <w:rsid w:val="00AB1EEB"/>
    <w:rsid w:val="00AB215E"/>
    <w:rsid w:val="00AB21FC"/>
    <w:rsid w:val="00AB2399"/>
    <w:rsid w:val="00AB2439"/>
    <w:rsid w:val="00AB2568"/>
    <w:rsid w:val="00AB2638"/>
    <w:rsid w:val="00AB29A7"/>
    <w:rsid w:val="00AB2A71"/>
    <w:rsid w:val="00AB2D37"/>
    <w:rsid w:val="00AB2DA2"/>
    <w:rsid w:val="00AB333E"/>
    <w:rsid w:val="00AB362C"/>
    <w:rsid w:val="00AB3751"/>
    <w:rsid w:val="00AB3835"/>
    <w:rsid w:val="00AB3B84"/>
    <w:rsid w:val="00AB3C42"/>
    <w:rsid w:val="00AB3C98"/>
    <w:rsid w:val="00AB42F7"/>
    <w:rsid w:val="00AB45C2"/>
    <w:rsid w:val="00AB47CE"/>
    <w:rsid w:val="00AB48E8"/>
    <w:rsid w:val="00AB4AE6"/>
    <w:rsid w:val="00AB4DEA"/>
    <w:rsid w:val="00AB4E76"/>
    <w:rsid w:val="00AB4E8D"/>
    <w:rsid w:val="00AB5234"/>
    <w:rsid w:val="00AB5383"/>
    <w:rsid w:val="00AB55A2"/>
    <w:rsid w:val="00AB5BEA"/>
    <w:rsid w:val="00AB5CD2"/>
    <w:rsid w:val="00AB5D9E"/>
    <w:rsid w:val="00AB5E8F"/>
    <w:rsid w:val="00AB5EC5"/>
    <w:rsid w:val="00AB5F48"/>
    <w:rsid w:val="00AB6167"/>
    <w:rsid w:val="00AB61B8"/>
    <w:rsid w:val="00AB61E9"/>
    <w:rsid w:val="00AB6381"/>
    <w:rsid w:val="00AB6890"/>
    <w:rsid w:val="00AB6960"/>
    <w:rsid w:val="00AB6A8F"/>
    <w:rsid w:val="00AB6A9A"/>
    <w:rsid w:val="00AB6AC2"/>
    <w:rsid w:val="00AB6EC0"/>
    <w:rsid w:val="00AB78DC"/>
    <w:rsid w:val="00AB7AB5"/>
    <w:rsid w:val="00AB7AE6"/>
    <w:rsid w:val="00AB7B89"/>
    <w:rsid w:val="00AB7DE2"/>
    <w:rsid w:val="00AB7FC8"/>
    <w:rsid w:val="00AC0270"/>
    <w:rsid w:val="00AC0BFD"/>
    <w:rsid w:val="00AC0CA8"/>
    <w:rsid w:val="00AC0F60"/>
    <w:rsid w:val="00AC15CF"/>
    <w:rsid w:val="00AC1AC3"/>
    <w:rsid w:val="00AC1B24"/>
    <w:rsid w:val="00AC1D7D"/>
    <w:rsid w:val="00AC1DBB"/>
    <w:rsid w:val="00AC23CE"/>
    <w:rsid w:val="00AC2FCD"/>
    <w:rsid w:val="00AC315D"/>
    <w:rsid w:val="00AC369C"/>
    <w:rsid w:val="00AC373B"/>
    <w:rsid w:val="00AC3756"/>
    <w:rsid w:val="00AC3893"/>
    <w:rsid w:val="00AC394C"/>
    <w:rsid w:val="00AC3FA7"/>
    <w:rsid w:val="00AC40F2"/>
    <w:rsid w:val="00AC4175"/>
    <w:rsid w:val="00AC51A4"/>
    <w:rsid w:val="00AC5241"/>
    <w:rsid w:val="00AC5393"/>
    <w:rsid w:val="00AC53FD"/>
    <w:rsid w:val="00AC5953"/>
    <w:rsid w:val="00AC5A53"/>
    <w:rsid w:val="00AC5C50"/>
    <w:rsid w:val="00AC5F21"/>
    <w:rsid w:val="00AC6375"/>
    <w:rsid w:val="00AC6590"/>
    <w:rsid w:val="00AC669C"/>
    <w:rsid w:val="00AC66BD"/>
    <w:rsid w:val="00AC6F37"/>
    <w:rsid w:val="00AC74A0"/>
    <w:rsid w:val="00AC754B"/>
    <w:rsid w:val="00AC7BA6"/>
    <w:rsid w:val="00AC7FDB"/>
    <w:rsid w:val="00AD03BB"/>
    <w:rsid w:val="00AD0BE5"/>
    <w:rsid w:val="00AD10F7"/>
    <w:rsid w:val="00AD141E"/>
    <w:rsid w:val="00AD149E"/>
    <w:rsid w:val="00AD15B0"/>
    <w:rsid w:val="00AD177E"/>
    <w:rsid w:val="00AD19FA"/>
    <w:rsid w:val="00AD1B07"/>
    <w:rsid w:val="00AD1BD1"/>
    <w:rsid w:val="00AD1C63"/>
    <w:rsid w:val="00AD2056"/>
    <w:rsid w:val="00AD228A"/>
    <w:rsid w:val="00AD2428"/>
    <w:rsid w:val="00AD25F0"/>
    <w:rsid w:val="00AD27C6"/>
    <w:rsid w:val="00AD2ABB"/>
    <w:rsid w:val="00AD2C06"/>
    <w:rsid w:val="00AD2CF3"/>
    <w:rsid w:val="00AD2D18"/>
    <w:rsid w:val="00AD2D86"/>
    <w:rsid w:val="00AD344E"/>
    <w:rsid w:val="00AD345F"/>
    <w:rsid w:val="00AD34FF"/>
    <w:rsid w:val="00AD35A7"/>
    <w:rsid w:val="00AD3C84"/>
    <w:rsid w:val="00AD3E6C"/>
    <w:rsid w:val="00AD3EFA"/>
    <w:rsid w:val="00AD4400"/>
    <w:rsid w:val="00AD4996"/>
    <w:rsid w:val="00AD4A27"/>
    <w:rsid w:val="00AD4A66"/>
    <w:rsid w:val="00AD542F"/>
    <w:rsid w:val="00AD5B7B"/>
    <w:rsid w:val="00AD5BD8"/>
    <w:rsid w:val="00AD5FA9"/>
    <w:rsid w:val="00AD610E"/>
    <w:rsid w:val="00AD61C8"/>
    <w:rsid w:val="00AD6415"/>
    <w:rsid w:val="00AD6C97"/>
    <w:rsid w:val="00AD6DBA"/>
    <w:rsid w:val="00AD6FEC"/>
    <w:rsid w:val="00AD746F"/>
    <w:rsid w:val="00AD75E9"/>
    <w:rsid w:val="00AD7B25"/>
    <w:rsid w:val="00AE04B1"/>
    <w:rsid w:val="00AE09E2"/>
    <w:rsid w:val="00AE0DF1"/>
    <w:rsid w:val="00AE1683"/>
    <w:rsid w:val="00AE18E0"/>
    <w:rsid w:val="00AE19E0"/>
    <w:rsid w:val="00AE1C39"/>
    <w:rsid w:val="00AE2343"/>
    <w:rsid w:val="00AE2356"/>
    <w:rsid w:val="00AE235B"/>
    <w:rsid w:val="00AE25BE"/>
    <w:rsid w:val="00AE34D6"/>
    <w:rsid w:val="00AE3699"/>
    <w:rsid w:val="00AE371D"/>
    <w:rsid w:val="00AE38CA"/>
    <w:rsid w:val="00AE394F"/>
    <w:rsid w:val="00AE3AF1"/>
    <w:rsid w:val="00AE3C87"/>
    <w:rsid w:val="00AE3D2C"/>
    <w:rsid w:val="00AE4314"/>
    <w:rsid w:val="00AE43E3"/>
    <w:rsid w:val="00AE4562"/>
    <w:rsid w:val="00AE45D6"/>
    <w:rsid w:val="00AE4890"/>
    <w:rsid w:val="00AE497C"/>
    <w:rsid w:val="00AE4E58"/>
    <w:rsid w:val="00AE4EEB"/>
    <w:rsid w:val="00AE4FF5"/>
    <w:rsid w:val="00AE51EC"/>
    <w:rsid w:val="00AE60CA"/>
    <w:rsid w:val="00AE619E"/>
    <w:rsid w:val="00AE6269"/>
    <w:rsid w:val="00AE6541"/>
    <w:rsid w:val="00AE68D5"/>
    <w:rsid w:val="00AE69FC"/>
    <w:rsid w:val="00AE6C3A"/>
    <w:rsid w:val="00AE79FE"/>
    <w:rsid w:val="00AE7B0C"/>
    <w:rsid w:val="00AE7E06"/>
    <w:rsid w:val="00AE7E15"/>
    <w:rsid w:val="00AE7F7F"/>
    <w:rsid w:val="00AF0215"/>
    <w:rsid w:val="00AF0356"/>
    <w:rsid w:val="00AF0512"/>
    <w:rsid w:val="00AF0D69"/>
    <w:rsid w:val="00AF1058"/>
    <w:rsid w:val="00AF12A0"/>
    <w:rsid w:val="00AF1635"/>
    <w:rsid w:val="00AF19B2"/>
    <w:rsid w:val="00AF1D45"/>
    <w:rsid w:val="00AF20D0"/>
    <w:rsid w:val="00AF2352"/>
    <w:rsid w:val="00AF25B2"/>
    <w:rsid w:val="00AF280B"/>
    <w:rsid w:val="00AF2842"/>
    <w:rsid w:val="00AF2861"/>
    <w:rsid w:val="00AF2CF4"/>
    <w:rsid w:val="00AF2DA4"/>
    <w:rsid w:val="00AF2EB9"/>
    <w:rsid w:val="00AF2F20"/>
    <w:rsid w:val="00AF2F9A"/>
    <w:rsid w:val="00AF395E"/>
    <w:rsid w:val="00AF3D6C"/>
    <w:rsid w:val="00AF3E6E"/>
    <w:rsid w:val="00AF4000"/>
    <w:rsid w:val="00AF41EB"/>
    <w:rsid w:val="00AF4719"/>
    <w:rsid w:val="00AF4E4C"/>
    <w:rsid w:val="00AF4F11"/>
    <w:rsid w:val="00AF53BD"/>
    <w:rsid w:val="00AF5AC5"/>
    <w:rsid w:val="00AF5BFF"/>
    <w:rsid w:val="00AF5D10"/>
    <w:rsid w:val="00AF5E96"/>
    <w:rsid w:val="00AF6083"/>
    <w:rsid w:val="00AF6180"/>
    <w:rsid w:val="00AF6A81"/>
    <w:rsid w:val="00AF6B9F"/>
    <w:rsid w:val="00AF6D47"/>
    <w:rsid w:val="00AF7001"/>
    <w:rsid w:val="00AF72FE"/>
    <w:rsid w:val="00AF7D59"/>
    <w:rsid w:val="00B009CE"/>
    <w:rsid w:val="00B00B86"/>
    <w:rsid w:val="00B00BB5"/>
    <w:rsid w:val="00B00D4A"/>
    <w:rsid w:val="00B00DA6"/>
    <w:rsid w:val="00B01265"/>
    <w:rsid w:val="00B0197B"/>
    <w:rsid w:val="00B02196"/>
    <w:rsid w:val="00B02291"/>
    <w:rsid w:val="00B0231B"/>
    <w:rsid w:val="00B023E8"/>
    <w:rsid w:val="00B027DE"/>
    <w:rsid w:val="00B02953"/>
    <w:rsid w:val="00B0295B"/>
    <w:rsid w:val="00B02AFF"/>
    <w:rsid w:val="00B02BF1"/>
    <w:rsid w:val="00B02C11"/>
    <w:rsid w:val="00B02C5A"/>
    <w:rsid w:val="00B02FF7"/>
    <w:rsid w:val="00B03153"/>
    <w:rsid w:val="00B031C3"/>
    <w:rsid w:val="00B03672"/>
    <w:rsid w:val="00B03C74"/>
    <w:rsid w:val="00B03CF5"/>
    <w:rsid w:val="00B03DAE"/>
    <w:rsid w:val="00B0423E"/>
    <w:rsid w:val="00B046FE"/>
    <w:rsid w:val="00B04943"/>
    <w:rsid w:val="00B04949"/>
    <w:rsid w:val="00B04955"/>
    <w:rsid w:val="00B049C6"/>
    <w:rsid w:val="00B04ACD"/>
    <w:rsid w:val="00B04BDB"/>
    <w:rsid w:val="00B04E5F"/>
    <w:rsid w:val="00B04FE9"/>
    <w:rsid w:val="00B04FFF"/>
    <w:rsid w:val="00B055E7"/>
    <w:rsid w:val="00B059BE"/>
    <w:rsid w:val="00B05F08"/>
    <w:rsid w:val="00B06300"/>
    <w:rsid w:val="00B06463"/>
    <w:rsid w:val="00B06781"/>
    <w:rsid w:val="00B067BF"/>
    <w:rsid w:val="00B06962"/>
    <w:rsid w:val="00B06B2E"/>
    <w:rsid w:val="00B072C8"/>
    <w:rsid w:val="00B0732C"/>
    <w:rsid w:val="00B075B2"/>
    <w:rsid w:val="00B0769A"/>
    <w:rsid w:val="00B076CD"/>
    <w:rsid w:val="00B07832"/>
    <w:rsid w:val="00B0787E"/>
    <w:rsid w:val="00B10257"/>
    <w:rsid w:val="00B10DB6"/>
    <w:rsid w:val="00B10EAC"/>
    <w:rsid w:val="00B11107"/>
    <w:rsid w:val="00B111A1"/>
    <w:rsid w:val="00B113F9"/>
    <w:rsid w:val="00B11518"/>
    <w:rsid w:val="00B1166C"/>
    <w:rsid w:val="00B118BB"/>
    <w:rsid w:val="00B1246A"/>
    <w:rsid w:val="00B12801"/>
    <w:rsid w:val="00B1297C"/>
    <w:rsid w:val="00B12FEE"/>
    <w:rsid w:val="00B131AA"/>
    <w:rsid w:val="00B132DE"/>
    <w:rsid w:val="00B1393D"/>
    <w:rsid w:val="00B13A14"/>
    <w:rsid w:val="00B13AFD"/>
    <w:rsid w:val="00B13E5C"/>
    <w:rsid w:val="00B142FC"/>
    <w:rsid w:val="00B144C2"/>
    <w:rsid w:val="00B146CA"/>
    <w:rsid w:val="00B146CF"/>
    <w:rsid w:val="00B14723"/>
    <w:rsid w:val="00B14928"/>
    <w:rsid w:val="00B14A28"/>
    <w:rsid w:val="00B14ADB"/>
    <w:rsid w:val="00B14DC7"/>
    <w:rsid w:val="00B14DEC"/>
    <w:rsid w:val="00B14FFB"/>
    <w:rsid w:val="00B152B3"/>
    <w:rsid w:val="00B1581E"/>
    <w:rsid w:val="00B15962"/>
    <w:rsid w:val="00B159E0"/>
    <w:rsid w:val="00B15B87"/>
    <w:rsid w:val="00B15D69"/>
    <w:rsid w:val="00B15F92"/>
    <w:rsid w:val="00B161AD"/>
    <w:rsid w:val="00B16885"/>
    <w:rsid w:val="00B16A51"/>
    <w:rsid w:val="00B16C4E"/>
    <w:rsid w:val="00B16D1F"/>
    <w:rsid w:val="00B16F76"/>
    <w:rsid w:val="00B1750B"/>
    <w:rsid w:val="00B17710"/>
    <w:rsid w:val="00B1788D"/>
    <w:rsid w:val="00B202DB"/>
    <w:rsid w:val="00B20FA9"/>
    <w:rsid w:val="00B213E9"/>
    <w:rsid w:val="00B217A7"/>
    <w:rsid w:val="00B21B3C"/>
    <w:rsid w:val="00B21DBF"/>
    <w:rsid w:val="00B2208B"/>
    <w:rsid w:val="00B22243"/>
    <w:rsid w:val="00B223F1"/>
    <w:rsid w:val="00B225B4"/>
    <w:rsid w:val="00B226E3"/>
    <w:rsid w:val="00B22C0A"/>
    <w:rsid w:val="00B22C28"/>
    <w:rsid w:val="00B2353B"/>
    <w:rsid w:val="00B236B4"/>
    <w:rsid w:val="00B24313"/>
    <w:rsid w:val="00B24335"/>
    <w:rsid w:val="00B24472"/>
    <w:rsid w:val="00B244AB"/>
    <w:rsid w:val="00B2461F"/>
    <w:rsid w:val="00B24D79"/>
    <w:rsid w:val="00B25085"/>
    <w:rsid w:val="00B252E1"/>
    <w:rsid w:val="00B255AE"/>
    <w:rsid w:val="00B25655"/>
    <w:rsid w:val="00B259DE"/>
    <w:rsid w:val="00B25D35"/>
    <w:rsid w:val="00B25DE1"/>
    <w:rsid w:val="00B25E64"/>
    <w:rsid w:val="00B25FA5"/>
    <w:rsid w:val="00B2634A"/>
    <w:rsid w:val="00B26913"/>
    <w:rsid w:val="00B26B77"/>
    <w:rsid w:val="00B26D6B"/>
    <w:rsid w:val="00B26F4E"/>
    <w:rsid w:val="00B270C5"/>
    <w:rsid w:val="00B27216"/>
    <w:rsid w:val="00B27512"/>
    <w:rsid w:val="00B27936"/>
    <w:rsid w:val="00B27FE6"/>
    <w:rsid w:val="00B303F8"/>
    <w:rsid w:val="00B3051C"/>
    <w:rsid w:val="00B30E2D"/>
    <w:rsid w:val="00B30FCE"/>
    <w:rsid w:val="00B31150"/>
    <w:rsid w:val="00B313A8"/>
    <w:rsid w:val="00B3174E"/>
    <w:rsid w:val="00B31789"/>
    <w:rsid w:val="00B319E9"/>
    <w:rsid w:val="00B31C49"/>
    <w:rsid w:val="00B31DCA"/>
    <w:rsid w:val="00B3206E"/>
    <w:rsid w:val="00B32222"/>
    <w:rsid w:val="00B3243E"/>
    <w:rsid w:val="00B3277B"/>
    <w:rsid w:val="00B32801"/>
    <w:rsid w:val="00B32DE1"/>
    <w:rsid w:val="00B32FB4"/>
    <w:rsid w:val="00B33196"/>
    <w:rsid w:val="00B34259"/>
    <w:rsid w:val="00B3465F"/>
    <w:rsid w:val="00B34AB5"/>
    <w:rsid w:val="00B34BCA"/>
    <w:rsid w:val="00B34CD8"/>
    <w:rsid w:val="00B34DF1"/>
    <w:rsid w:val="00B35221"/>
    <w:rsid w:val="00B3563B"/>
    <w:rsid w:val="00B35A24"/>
    <w:rsid w:val="00B35C4D"/>
    <w:rsid w:val="00B36174"/>
    <w:rsid w:val="00B36444"/>
    <w:rsid w:val="00B365FE"/>
    <w:rsid w:val="00B36B72"/>
    <w:rsid w:val="00B36D73"/>
    <w:rsid w:val="00B37724"/>
    <w:rsid w:val="00B378D1"/>
    <w:rsid w:val="00B37E99"/>
    <w:rsid w:val="00B40289"/>
    <w:rsid w:val="00B40441"/>
    <w:rsid w:val="00B40679"/>
    <w:rsid w:val="00B4081E"/>
    <w:rsid w:val="00B4086A"/>
    <w:rsid w:val="00B40C75"/>
    <w:rsid w:val="00B40D8C"/>
    <w:rsid w:val="00B40FE4"/>
    <w:rsid w:val="00B413DF"/>
    <w:rsid w:val="00B4148E"/>
    <w:rsid w:val="00B41F33"/>
    <w:rsid w:val="00B4230B"/>
    <w:rsid w:val="00B42452"/>
    <w:rsid w:val="00B42473"/>
    <w:rsid w:val="00B4273D"/>
    <w:rsid w:val="00B427AA"/>
    <w:rsid w:val="00B42BD1"/>
    <w:rsid w:val="00B42C6A"/>
    <w:rsid w:val="00B433EB"/>
    <w:rsid w:val="00B43851"/>
    <w:rsid w:val="00B43AC3"/>
    <w:rsid w:val="00B43E29"/>
    <w:rsid w:val="00B4406D"/>
    <w:rsid w:val="00B44AC4"/>
    <w:rsid w:val="00B44AE7"/>
    <w:rsid w:val="00B45203"/>
    <w:rsid w:val="00B45456"/>
    <w:rsid w:val="00B4548A"/>
    <w:rsid w:val="00B4572A"/>
    <w:rsid w:val="00B457D0"/>
    <w:rsid w:val="00B45B2D"/>
    <w:rsid w:val="00B45F67"/>
    <w:rsid w:val="00B46027"/>
    <w:rsid w:val="00B46814"/>
    <w:rsid w:val="00B47078"/>
    <w:rsid w:val="00B47232"/>
    <w:rsid w:val="00B47329"/>
    <w:rsid w:val="00B47597"/>
    <w:rsid w:val="00B47620"/>
    <w:rsid w:val="00B477A9"/>
    <w:rsid w:val="00B47C77"/>
    <w:rsid w:val="00B47D21"/>
    <w:rsid w:val="00B47F6F"/>
    <w:rsid w:val="00B50350"/>
    <w:rsid w:val="00B50B09"/>
    <w:rsid w:val="00B50B19"/>
    <w:rsid w:val="00B50C1A"/>
    <w:rsid w:val="00B512B0"/>
    <w:rsid w:val="00B51341"/>
    <w:rsid w:val="00B51942"/>
    <w:rsid w:val="00B51BE0"/>
    <w:rsid w:val="00B52074"/>
    <w:rsid w:val="00B521AD"/>
    <w:rsid w:val="00B52834"/>
    <w:rsid w:val="00B52F72"/>
    <w:rsid w:val="00B52FF3"/>
    <w:rsid w:val="00B530F4"/>
    <w:rsid w:val="00B533FD"/>
    <w:rsid w:val="00B53494"/>
    <w:rsid w:val="00B53814"/>
    <w:rsid w:val="00B539A5"/>
    <w:rsid w:val="00B53A35"/>
    <w:rsid w:val="00B53CA6"/>
    <w:rsid w:val="00B53D37"/>
    <w:rsid w:val="00B53F5A"/>
    <w:rsid w:val="00B54376"/>
    <w:rsid w:val="00B548DE"/>
    <w:rsid w:val="00B54907"/>
    <w:rsid w:val="00B54FB0"/>
    <w:rsid w:val="00B550E7"/>
    <w:rsid w:val="00B55148"/>
    <w:rsid w:val="00B55627"/>
    <w:rsid w:val="00B558B8"/>
    <w:rsid w:val="00B55F13"/>
    <w:rsid w:val="00B5623A"/>
    <w:rsid w:val="00B569C5"/>
    <w:rsid w:val="00B56D46"/>
    <w:rsid w:val="00B56DF3"/>
    <w:rsid w:val="00B56F76"/>
    <w:rsid w:val="00B56F9E"/>
    <w:rsid w:val="00B57117"/>
    <w:rsid w:val="00B574D7"/>
    <w:rsid w:val="00B575A8"/>
    <w:rsid w:val="00B575D4"/>
    <w:rsid w:val="00B576EC"/>
    <w:rsid w:val="00B579F5"/>
    <w:rsid w:val="00B57C13"/>
    <w:rsid w:val="00B605F5"/>
    <w:rsid w:val="00B606A8"/>
    <w:rsid w:val="00B60BEA"/>
    <w:rsid w:val="00B60F9D"/>
    <w:rsid w:val="00B6162F"/>
    <w:rsid w:val="00B61BB8"/>
    <w:rsid w:val="00B61CFC"/>
    <w:rsid w:val="00B61EB6"/>
    <w:rsid w:val="00B61F36"/>
    <w:rsid w:val="00B62472"/>
    <w:rsid w:val="00B62824"/>
    <w:rsid w:val="00B62A0C"/>
    <w:rsid w:val="00B6311E"/>
    <w:rsid w:val="00B63733"/>
    <w:rsid w:val="00B63F19"/>
    <w:rsid w:val="00B642CC"/>
    <w:rsid w:val="00B6439A"/>
    <w:rsid w:val="00B64469"/>
    <w:rsid w:val="00B64A2F"/>
    <w:rsid w:val="00B64A67"/>
    <w:rsid w:val="00B65179"/>
    <w:rsid w:val="00B653A9"/>
    <w:rsid w:val="00B65708"/>
    <w:rsid w:val="00B657DC"/>
    <w:rsid w:val="00B65920"/>
    <w:rsid w:val="00B65BB1"/>
    <w:rsid w:val="00B65FF9"/>
    <w:rsid w:val="00B66031"/>
    <w:rsid w:val="00B66116"/>
    <w:rsid w:val="00B663FB"/>
    <w:rsid w:val="00B66B09"/>
    <w:rsid w:val="00B66E79"/>
    <w:rsid w:val="00B67181"/>
    <w:rsid w:val="00B674D3"/>
    <w:rsid w:val="00B67518"/>
    <w:rsid w:val="00B6799F"/>
    <w:rsid w:val="00B67A60"/>
    <w:rsid w:val="00B67A70"/>
    <w:rsid w:val="00B7000B"/>
    <w:rsid w:val="00B7015D"/>
    <w:rsid w:val="00B70255"/>
    <w:rsid w:val="00B7062F"/>
    <w:rsid w:val="00B70807"/>
    <w:rsid w:val="00B708E5"/>
    <w:rsid w:val="00B7141A"/>
    <w:rsid w:val="00B71795"/>
    <w:rsid w:val="00B717C1"/>
    <w:rsid w:val="00B71900"/>
    <w:rsid w:val="00B71AAE"/>
    <w:rsid w:val="00B71BCE"/>
    <w:rsid w:val="00B71C8B"/>
    <w:rsid w:val="00B71DBB"/>
    <w:rsid w:val="00B71FC1"/>
    <w:rsid w:val="00B723FE"/>
    <w:rsid w:val="00B728B1"/>
    <w:rsid w:val="00B729BF"/>
    <w:rsid w:val="00B72A05"/>
    <w:rsid w:val="00B72B0B"/>
    <w:rsid w:val="00B72CC6"/>
    <w:rsid w:val="00B72DDE"/>
    <w:rsid w:val="00B72F11"/>
    <w:rsid w:val="00B732C5"/>
    <w:rsid w:val="00B734E9"/>
    <w:rsid w:val="00B73B77"/>
    <w:rsid w:val="00B73DF1"/>
    <w:rsid w:val="00B73EE1"/>
    <w:rsid w:val="00B7454B"/>
    <w:rsid w:val="00B7460D"/>
    <w:rsid w:val="00B7489E"/>
    <w:rsid w:val="00B74E14"/>
    <w:rsid w:val="00B74ED9"/>
    <w:rsid w:val="00B758DB"/>
    <w:rsid w:val="00B75A91"/>
    <w:rsid w:val="00B76233"/>
    <w:rsid w:val="00B7684B"/>
    <w:rsid w:val="00B768DC"/>
    <w:rsid w:val="00B76A21"/>
    <w:rsid w:val="00B76A82"/>
    <w:rsid w:val="00B76B20"/>
    <w:rsid w:val="00B76C1A"/>
    <w:rsid w:val="00B76C4D"/>
    <w:rsid w:val="00B76C65"/>
    <w:rsid w:val="00B76E8B"/>
    <w:rsid w:val="00B77207"/>
    <w:rsid w:val="00B77417"/>
    <w:rsid w:val="00B77508"/>
    <w:rsid w:val="00B77829"/>
    <w:rsid w:val="00B7787F"/>
    <w:rsid w:val="00B779A5"/>
    <w:rsid w:val="00B77A4E"/>
    <w:rsid w:val="00B77A89"/>
    <w:rsid w:val="00B77B04"/>
    <w:rsid w:val="00B77C13"/>
    <w:rsid w:val="00B77D40"/>
    <w:rsid w:val="00B77E58"/>
    <w:rsid w:val="00B77FD9"/>
    <w:rsid w:val="00B80283"/>
    <w:rsid w:val="00B80635"/>
    <w:rsid w:val="00B8076D"/>
    <w:rsid w:val="00B80959"/>
    <w:rsid w:val="00B80BAB"/>
    <w:rsid w:val="00B81135"/>
    <w:rsid w:val="00B8116A"/>
    <w:rsid w:val="00B811B9"/>
    <w:rsid w:val="00B81328"/>
    <w:rsid w:val="00B813D2"/>
    <w:rsid w:val="00B814D6"/>
    <w:rsid w:val="00B818DF"/>
    <w:rsid w:val="00B81ABE"/>
    <w:rsid w:val="00B81D54"/>
    <w:rsid w:val="00B81EE3"/>
    <w:rsid w:val="00B81F6A"/>
    <w:rsid w:val="00B82038"/>
    <w:rsid w:val="00B827C0"/>
    <w:rsid w:val="00B82E1C"/>
    <w:rsid w:val="00B82F61"/>
    <w:rsid w:val="00B83632"/>
    <w:rsid w:val="00B84041"/>
    <w:rsid w:val="00B84296"/>
    <w:rsid w:val="00B84332"/>
    <w:rsid w:val="00B84501"/>
    <w:rsid w:val="00B8457D"/>
    <w:rsid w:val="00B84C2E"/>
    <w:rsid w:val="00B84FF3"/>
    <w:rsid w:val="00B850C3"/>
    <w:rsid w:val="00B856EC"/>
    <w:rsid w:val="00B85BC7"/>
    <w:rsid w:val="00B8609D"/>
    <w:rsid w:val="00B86643"/>
    <w:rsid w:val="00B86DC0"/>
    <w:rsid w:val="00B8721A"/>
    <w:rsid w:val="00B873BF"/>
    <w:rsid w:val="00B874A4"/>
    <w:rsid w:val="00B874C9"/>
    <w:rsid w:val="00B8790B"/>
    <w:rsid w:val="00B87B7B"/>
    <w:rsid w:val="00B87BA2"/>
    <w:rsid w:val="00B87C03"/>
    <w:rsid w:val="00B87C11"/>
    <w:rsid w:val="00B87D79"/>
    <w:rsid w:val="00B90114"/>
    <w:rsid w:val="00B90584"/>
    <w:rsid w:val="00B90A8F"/>
    <w:rsid w:val="00B90BC7"/>
    <w:rsid w:val="00B90D2F"/>
    <w:rsid w:val="00B91078"/>
    <w:rsid w:val="00B9159C"/>
    <w:rsid w:val="00B917D1"/>
    <w:rsid w:val="00B91808"/>
    <w:rsid w:val="00B919F9"/>
    <w:rsid w:val="00B922F1"/>
    <w:rsid w:val="00B92B74"/>
    <w:rsid w:val="00B92C61"/>
    <w:rsid w:val="00B92D2B"/>
    <w:rsid w:val="00B9319B"/>
    <w:rsid w:val="00B93325"/>
    <w:rsid w:val="00B93375"/>
    <w:rsid w:val="00B9344B"/>
    <w:rsid w:val="00B93618"/>
    <w:rsid w:val="00B9362D"/>
    <w:rsid w:val="00B936F3"/>
    <w:rsid w:val="00B939FB"/>
    <w:rsid w:val="00B93FFA"/>
    <w:rsid w:val="00B941E5"/>
    <w:rsid w:val="00B944FE"/>
    <w:rsid w:val="00B946A4"/>
    <w:rsid w:val="00B94B2A"/>
    <w:rsid w:val="00B94EB3"/>
    <w:rsid w:val="00B94EFF"/>
    <w:rsid w:val="00B95010"/>
    <w:rsid w:val="00B952A9"/>
    <w:rsid w:val="00B956EA"/>
    <w:rsid w:val="00B95B3A"/>
    <w:rsid w:val="00B95E08"/>
    <w:rsid w:val="00B95F82"/>
    <w:rsid w:val="00B9611D"/>
    <w:rsid w:val="00B961AC"/>
    <w:rsid w:val="00B96224"/>
    <w:rsid w:val="00B96AEC"/>
    <w:rsid w:val="00B96CB6"/>
    <w:rsid w:val="00B96D94"/>
    <w:rsid w:val="00B96DAE"/>
    <w:rsid w:val="00B96DDE"/>
    <w:rsid w:val="00B9701B"/>
    <w:rsid w:val="00B97176"/>
    <w:rsid w:val="00B9746B"/>
    <w:rsid w:val="00B9749C"/>
    <w:rsid w:val="00B9767C"/>
    <w:rsid w:val="00B97CA9"/>
    <w:rsid w:val="00B97D57"/>
    <w:rsid w:val="00BA00C8"/>
    <w:rsid w:val="00BA0103"/>
    <w:rsid w:val="00BA031C"/>
    <w:rsid w:val="00BA048F"/>
    <w:rsid w:val="00BA0852"/>
    <w:rsid w:val="00BA0CA1"/>
    <w:rsid w:val="00BA0CB6"/>
    <w:rsid w:val="00BA0E93"/>
    <w:rsid w:val="00BA10D8"/>
    <w:rsid w:val="00BA1C70"/>
    <w:rsid w:val="00BA1C95"/>
    <w:rsid w:val="00BA1E3C"/>
    <w:rsid w:val="00BA1ED7"/>
    <w:rsid w:val="00BA1F84"/>
    <w:rsid w:val="00BA2235"/>
    <w:rsid w:val="00BA2248"/>
    <w:rsid w:val="00BA244E"/>
    <w:rsid w:val="00BA2717"/>
    <w:rsid w:val="00BA279A"/>
    <w:rsid w:val="00BA2A4A"/>
    <w:rsid w:val="00BA2BE4"/>
    <w:rsid w:val="00BA30CC"/>
    <w:rsid w:val="00BA30FF"/>
    <w:rsid w:val="00BA3346"/>
    <w:rsid w:val="00BA37B1"/>
    <w:rsid w:val="00BA42B5"/>
    <w:rsid w:val="00BA4441"/>
    <w:rsid w:val="00BA473C"/>
    <w:rsid w:val="00BA49BC"/>
    <w:rsid w:val="00BA4C69"/>
    <w:rsid w:val="00BA4E40"/>
    <w:rsid w:val="00BA51CA"/>
    <w:rsid w:val="00BA5233"/>
    <w:rsid w:val="00BA5559"/>
    <w:rsid w:val="00BA55E6"/>
    <w:rsid w:val="00BA57C0"/>
    <w:rsid w:val="00BA6550"/>
    <w:rsid w:val="00BA7015"/>
    <w:rsid w:val="00BA7063"/>
    <w:rsid w:val="00BA7279"/>
    <w:rsid w:val="00BA74C3"/>
    <w:rsid w:val="00BA74CE"/>
    <w:rsid w:val="00BA75A2"/>
    <w:rsid w:val="00BA7ADB"/>
    <w:rsid w:val="00BA7D6E"/>
    <w:rsid w:val="00BB0003"/>
    <w:rsid w:val="00BB0370"/>
    <w:rsid w:val="00BB06CE"/>
    <w:rsid w:val="00BB0796"/>
    <w:rsid w:val="00BB0844"/>
    <w:rsid w:val="00BB0981"/>
    <w:rsid w:val="00BB0CA1"/>
    <w:rsid w:val="00BB0D42"/>
    <w:rsid w:val="00BB100A"/>
    <w:rsid w:val="00BB102B"/>
    <w:rsid w:val="00BB11DB"/>
    <w:rsid w:val="00BB16AE"/>
    <w:rsid w:val="00BB1BB5"/>
    <w:rsid w:val="00BB1FDC"/>
    <w:rsid w:val="00BB2250"/>
    <w:rsid w:val="00BB22FD"/>
    <w:rsid w:val="00BB27A9"/>
    <w:rsid w:val="00BB28F3"/>
    <w:rsid w:val="00BB2C4C"/>
    <w:rsid w:val="00BB2F36"/>
    <w:rsid w:val="00BB2FAA"/>
    <w:rsid w:val="00BB37C9"/>
    <w:rsid w:val="00BB384B"/>
    <w:rsid w:val="00BB3942"/>
    <w:rsid w:val="00BB399F"/>
    <w:rsid w:val="00BB39EC"/>
    <w:rsid w:val="00BB3CDB"/>
    <w:rsid w:val="00BB3F89"/>
    <w:rsid w:val="00BB3FA5"/>
    <w:rsid w:val="00BB43F5"/>
    <w:rsid w:val="00BB4912"/>
    <w:rsid w:val="00BB49BF"/>
    <w:rsid w:val="00BB4ECF"/>
    <w:rsid w:val="00BB59DA"/>
    <w:rsid w:val="00BB65DD"/>
    <w:rsid w:val="00BB679D"/>
    <w:rsid w:val="00BB6E03"/>
    <w:rsid w:val="00BB6F55"/>
    <w:rsid w:val="00BB70FB"/>
    <w:rsid w:val="00BB7111"/>
    <w:rsid w:val="00BB773C"/>
    <w:rsid w:val="00BB782F"/>
    <w:rsid w:val="00BB7BE0"/>
    <w:rsid w:val="00BB7F2A"/>
    <w:rsid w:val="00BC03D2"/>
    <w:rsid w:val="00BC0589"/>
    <w:rsid w:val="00BC063C"/>
    <w:rsid w:val="00BC075F"/>
    <w:rsid w:val="00BC0C05"/>
    <w:rsid w:val="00BC0C16"/>
    <w:rsid w:val="00BC0EAF"/>
    <w:rsid w:val="00BC0F18"/>
    <w:rsid w:val="00BC1098"/>
    <w:rsid w:val="00BC145F"/>
    <w:rsid w:val="00BC173B"/>
    <w:rsid w:val="00BC1C55"/>
    <w:rsid w:val="00BC1D16"/>
    <w:rsid w:val="00BC1E02"/>
    <w:rsid w:val="00BC1F44"/>
    <w:rsid w:val="00BC1F5C"/>
    <w:rsid w:val="00BC200B"/>
    <w:rsid w:val="00BC2176"/>
    <w:rsid w:val="00BC21F0"/>
    <w:rsid w:val="00BC2401"/>
    <w:rsid w:val="00BC2685"/>
    <w:rsid w:val="00BC2703"/>
    <w:rsid w:val="00BC289D"/>
    <w:rsid w:val="00BC298E"/>
    <w:rsid w:val="00BC2C15"/>
    <w:rsid w:val="00BC3097"/>
    <w:rsid w:val="00BC31C1"/>
    <w:rsid w:val="00BC327A"/>
    <w:rsid w:val="00BC36DD"/>
    <w:rsid w:val="00BC392F"/>
    <w:rsid w:val="00BC3A67"/>
    <w:rsid w:val="00BC3BDA"/>
    <w:rsid w:val="00BC42E6"/>
    <w:rsid w:val="00BC50A1"/>
    <w:rsid w:val="00BC51BF"/>
    <w:rsid w:val="00BC542E"/>
    <w:rsid w:val="00BC5468"/>
    <w:rsid w:val="00BC5CE3"/>
    <w:rsid w:val="00BC6167"/>
    <w:rsid w:val="00BC64A8"/>
    <w:rsid w:val="00BC67AF"/>
    <w:rsid w:val="00BC6926"/>
    <w:rsid w:val="00BC6A5C"/>
    <w:rsid w:val="00BC6B35"/>
    <w:rsid w:val="00BC71DA"/>
    <w:rsid w:val="00BC765C"/>
    <w:rsid w:val="00BC78B5"/>
    <w:rsid w:val="00BC7ACC"/>
    <w:rsid w:val="00BC7E35"/>
    <w:rsid w:val="00BC7E6E"/>
    <w:rsid w:val="00BC7E7F"/>
    <w:rsid w:val="00BC7F26"/>
    <w:rsid w:val="00BC7FE7"/>
    <w:rsid w:val="00BD1243"/>
    <w:rsid w:val="00BD13A9"/>
    <w:rsid w:val="00BD13EF"/>
    <w:rsid w:val="00BD14A8"/>
    <w:rsid w:val="00BD1992"/>
    <w:rsid w:val="00BD1C10"/>
    <w:rsid w:val="00BD1CAC"/>
    <w:rsid w:val="00BD2017"/>
    <w:rsid w:val="00BD2280"/>
    <w:rsid w:val="00BD231E"/>
    <w:rsid w:val="00BD2705"/>
    <w:rsid w:val="00BD2743"/>
    <w:rsid w:val="00BD2810"/>
    <w:rsid w:val="00BD307D"/>
    <w:rsid w:val="00BD4081"/>
    <w:rsid w:val="00BD4094"/>
    <w:rsid w:val="00BD411B"/>
    <w:rsid w:val="00BD4921"/>
    <w:rsid w:val="00BD49C5"/>
    <w:rsid w:val="00BD4C96"/>
    <w:rsid w:val="00BD504D"/>
    <w:rsid w:val="00BD506B"/>
    <w:rsid w:val="00BD5662"/>
    <w:rsid w:val="00BD5726"/>
    <w:rsid w:val="00BD5BF2"/>
    <w:rsid w:val="00BD615E"/>
    <w:rsid w:val="00BD6189"/>
    <w:rsid w:val="00BD6674"/>
    <w:rsid w:val="00BD6F38"/>
    <w:rsid w:val="00BD713E"/>
    <w:rsid w:val="00BD776C"/>
    <w:rsid w:val="00BD7A55"/>
    <w:rsid w:val="00BD7AB6"/>
    <w:rsid w:val="00BD7BFD"/>
    <w:rsid w:val="00BD7ED2"/>
    <w:rsid w:val="00BD7FAD"/>
    <w:rsid w:val="00BE0016"/>
    <w:rsid w:val="00BE0A71"/>
    <w:rsid w:val="00BE0AA7"/>
    <w:rsid w:val="00BE0BA4"/>
    <w:rsid w:val="00BE0BB7"/>
    <w:rsid w:val="00BE0CC9"/>
    <w:rsid w:val="00BE0EF5"/>
    <w:rsid w:val="00BE0FAD"/>
    <w:rsid w:val="00BE10AD"/>
    <w:rsid w:val="00BE1110"/>
    <w:rsid w:val="00BE12B3"/>
    <w:rsid w:val="00BE13F7"/>
    <w:rsid w:val="00BE14C4"/>
    <w:rsid w:val="00BE14E7"/>
    <w:rsid w:val="00BE16FD"/>
    <w:rsid w:val="00BE1887"/>
    <w:rsid w:val="00BE189B"/>
    <w:rsid w:val="00BE1C39"/>
    <w:rsid w:val="00BE1DE8"/>
    <w:rsid w:val="00BE1E8C"/>
    <w:rsid w:val="00BE2082"/>
    <w:rsid w:val="00BE20A5"/>
    <w:rsid w:val="00BE20E4"/>
    <w:rsid w:val="00BE22E7"/>
    <w:rsid w:val="00BE2680"/>
    <w:rsid w:val="00BE2BE6"/>
    <w:rsid w:val="00BE2DA8"/>
    <w:rsid w:val="00BE315B"/>
    <w:rsid w:val="00BE39AF"/>
    <w:rsid w:val="00BE3AEA"/>
    <w:rsid w:val="00BE3BFD"/>
    <w:rsid w:val="00BE3F66"/>
    <w:rsid w:val="00BE4462"/>
    <w:rsid w:val="00BE4463"/>
    <w:rsid w:val="00BE4515"/>
    <w:rsid w:val="00BE45CE"/>
    <w:rsid w:val="00BE46A6"/>
    <w:rsid w:val="00BE4D90"/>
    <w:rsid w:val="00BE4DFA"/>
    <w:rsid w:val="00BE50B0"/>
    <w:rsid w:val="00BE553F"/>
    <w:rsid w:val="00BE58E8"/>
    <w:rsid w:val="00BE59BE"/>
    <w:rsid w:val="00BE5D28"/>
    <w:rsid w:val="00BE5FDF"/>
    <w:rsid w:val="00BE653B"/>
    <w:rsid w:val="00BE65B0"/>
    <w:rsid w:val="00BE6861"/>
    <w:rsid w:val="00BE688B"/>
    <w:rsid w:val="00BE697A"/>
    <w:rsid w:val="00BE7231"/>
    <w:rsid w:val="00BE73B8"/>
    <w:rsid w:val="00BE768C"/>
    <w:rsid w:val="00BE7724"/>
    <w:rsid w:val="00BE79DA"/>
    <w:rsid w:val="00BE7ED0"/>
    <w:rsid w:val="00BF005E"/>
    <w:rsid w:val="00BF06EB"/>
    <w:rsid w:val="00BF0ED3"/>
    <w:rsid w:val="00BF1118"/>
    <w:rsid w:val="00BF1240"/>
    <w:rsid w:val="00BF1AF7"/>
    <w:rsid w:val="00BF1D21"/>
    <w:rsid w:val="00BF1D41"/>
    <w:rsid w:val="00BF1D52"/>
    <w:rsid w:val="00BF1EFA"/>
    <w:rsid w:val="00BF2187"/>
    <w:rsid w:val="00BF2339"/>
    <w:rsid w:val="00BF2F86"/>
    <w:rsid w:val="00BF3156"/>
    <w:rsid w:val="00BF3300"/>
    <w:rsid w:val="00BF34FF"/>
    <w:rsid w:val="00BF3742"/>
    <w:rsid w:val="00BF37F6"/>
    <w:rsid w:val="00BF3A84"/>
    <w:rsid w:val="00BF3AD6"/>
    <w:rsid w:val="00BF3BCF"/>
    <w:rsid w:val="00BF3D98"/>
    <w:rsid w:val="00BF4298"/>
    <w:rsid w:val="00BF46B4"/>
    <w:rsid w:val="00BF4777"/>
    <w:rsid w:val="00BF4B6F"/>
    <w:rsid w:val="00BF4C61"/>
    <w:rsid w:val="00BF50BF"/>
    <w:rsid w:val="00BF5124"/>
    <w:rsid w:val="00BF53CB"/>
    <w:rsid w:val="00BF65B3"/>
    <w:rsid w:val="00BF6632"/>
    <w:rsid w:val="00BF66CB"/>
    <w:rsid w:val="00BF671E"/>
    <w:rsid w:val="00BF6B55"/>
    <w:rsid w:val="00BF6C23"/>
    <w:rsid w:val="00BF6CAF"/>
    <w:rsid w:val="00BF710E"/>
    <w:rsid w:val="00BF7389"/>
    <w:rsid w:val="00BF7396"/>
    <w:rsid w:val="00BF73C5"/>
    <w:rsid w:val="00BF7596"/>
    <w:rsid w:val="00BF799C"/>
    <w:rsid w:val="00BF7AE9"/>
    <w:rsid w:val="00BF7EC5"/>
    <w:rsid w:val="00C00308"/>
    <w:rsid w:val="00C0032E"/>
    <w:rsid w:val="00C003D8"/>
    <w:rsid w:val="00C004F3"/>
    <w:rsid w:val="00C00D2C"/>
    <w:rsid w:val="00C00F8B"/>
    <w:rsid w:val="00C01093"/>
    <w:rsid w:val="00C012B3"/>
    <w:rsid w:val="00C012DF"/>
    <w:rsid w:val="00C013D8"/>
    <w:rsid w:val="00C01415"/>
    <w:rsid w:val="00C017E3"/>
    <w:rsid w:val="00C01829"/>
    <w:rsid w:val="00C01A2A"/>
    <w:rsid w:val="00C01AC8"/>
    <w:rsid w:val="00C01C58"/>
    <w:rsid w:val="00C01FF5"/>
    <w:rsid w:val="00C022D7"/>
    <w:rsid w:val="00C02686"/>
    <w:rsid w:val="00C02756"/>
    <w:rsid w:val="00C02CA1"/>
    <w:rsid w:val="00C03218"/>
    <w:rsid w:val="00C0345B"/>
    <w:rsid w:val="00C03612"/>
    <w:rsid w:val="00C03997"/>
    <w:rsid w:val="00C039C0"/>
    <w:rsid w:val="00C03C8F"/>
    <w:rsid w:val="00C03EF1"/>
    <w:rsid w:val="00C04542"/>
    <w:rsid w:val="00C04723"/>
    <w:rsid w:val="00C04803"/>
    <w:rsid w:val="00C04B45"/>
    <w:rsid w:val="00C04CA7"/>
    <w:rsid w:val="00C04CAB"/>
    <w:rsid w:val="00C051DB"/>
    <w:rsid w:val="00C0530D"/>
    <w:rsid w:val="00C054D4"/>
    <w:rsid w:val="00C054F0"/>
    <w:rsid w:val="00C05514"/>
    <w:rsid w:val="00C05705"/>
    <w:rsid w:val="00C05751"/>
    <w:rsid w:val="00C05ED3"/>
    <w:rsid w:val="00C05F13"/>
    <w:rsid w:val="00C06288"/>
    <w:rsid w:val="00C06450"/>
    <w:rsid w:val="00C0663D"/>
    <w:rsid w:val="00C06814"/>
    <w:rsid w:val="00C06E51"/>
    <w:rsid w:val="00C06EE5"/>
    <w:rsid w:val="00C0702D"/>
    <w:rsid w:val="00C07159"/>
    <w:rsid w:val="00C07200"/>
    <w:rsid w:val="00C0732F"/>
    <w:rsid w:val="00C075AC"/>
    <w:rsid w:val="00C075F7"/>
    <w:rsid w:val="00C0785C"/>
    <w:rsid w:val="00C078BD"/>
    <w:rsid w:val="00C07C11"/>
    <w:rsid w:val="00C107F7"/>
    <w:rsid w:val="00C10CBB"/>
    <w:rsid w:val="00C10DD3"/>
    <w:rsid w:val="00C10F31"/>
    <w:rsid w:val="00C10F54"/>
    <w:rsid w:val="00C113C1"/>
    <w:rsid w:val="00C11577"/>
    <w:rsid w:val="00C1181E"/>
    <w:rsid w:val="00C11AAE"/>
    <w:rsid w:val="00C11BD3"/>
    <w:rsid w:val="00C11C3C"/>
    <w:rsid w:val="00C11DF2"/>
    <w:rsid w:val="00C11FE8"/>
    <w:rsid w:val="00C12308"/>
    <w:rsid w:val="00C12423"/>
    <w:rsid w:val="00C12628"/>
    <w:rsid w:val="00C1281B"/>
    <w:rsid w:val="00C12BC1"/>
    <w:rsid w:val="00C12C2F"/>
    <w:rsid w:val="00C12F9D"/>
    <w:rsid w:val="00C13272"/>
    <w:rsid w:val="00C132D8"/>
    <w:rsid w:val="00C133E2"/>
    <w:rsid w:val="00C13811"/>
    <w:rsid w:val="00C138A3"/>
    <w:rsid w:val="00C138EF"/>
    <w:rsid w:val="00C139CE"/>
    <w:rsid w:val="00C13A15"/>
    <w:rsid w:val="00C13B38"/>
    <w:rsid w:val="00C13C80"/>
    <w:rsid w:val="00C1400C"/>
    <w:rsid w:val="00C140B0"/>
    <w:rsid w:val="00C14132"/>
    <w:rsid w:val="00C142D7"/>
    <w:rsid w:val="00C145BC"/>
    <w:rsid w:val="00C145EB"/>
    <w:rsid w:val="00C1463E"/>
    <w:rsid w:val="00C1469B"/>
    <w:rsid w:val="00C1490A"/>
    <w:rsid w:val="00C1492A"/>
    <w:rsid w:val="00C14A5A"/>
    <w:rsid w:val="00C14B97"/>
    <w:rsid w:val="00C14BED"/>
    <w:rsid w:val="00C14C8E"/>
    <w:rsid w:val="00C14FA8"/>
    <w:rsid w:val="00C1603E"/>
    <w:rsid w:val="00C1616D"/>
    <w:rsid w:val="00C16180"/>
    <w:rsid w:val="00C167F8"/>
    <w:rsid w:val="00C16A7E"/>
    <w:rsid w:val="00C17040"/>
    <w:rsid w:val="00C17353"/>
    <w:rsid w:val="00C177B7"/>
    <w:rsid w:val="00C17805"/>
    <w:rsid w:val="00C17AE9"/>
    <w:rsid w:val="00C202C7"/>
    <w:rsid w:val="00C2034E"/>
    <w:rsid w:val="00C2066D"/>
    <w:rsid w:val="00C2071E"/>
    <w:rsid w:val="00C20DE3"/>
    <w:rsid w:val="00C21042"/>
    <w:rsid w:val="00C214F7"/>
    <w:rsid w:val="00C219F2"/>
    <w:rsid w:val="00C2214D"/>
    <w:rsid w:val="00C2235E"/>
    <w:rsid w:val="00C22698"/>
    <w:rsid w:val="00C22A46"/>
    <w:rsid w:val="00C22FBF"/>
    <w:rsid w:val="00C2309E"/>
    <w:rsid w:val="00C23258"/>
    <w:rsid w:val="00C237EE"/>
    <w:rsid w:val="00C23868"/>
    <w:rsid w:val="00C23F6C"/>
    <w:rsid w:val="00C23F83"/>
    <w:rsid w:val="00C24238"/>
    <w:rsid w:val="00C242D9"/>
    <w:rsid w:val="00C243F7"/>
    <w:rsid w:val="00C24545"/>
    <w:rsid w:val="00C24637"/>
    <w:rsid w:val="00C2495B"/>
    <w:rsid w:val="00C24BC6"/>
    <w:rsid w:val="00C24C36"/>
    <w:rsid w:val="00C24EE7"/>
    <w:rsid w:val="00C25028"/>
    <w:rsid w:val="00C25135"/>
    <w:rsid w:val="00C25242"/>
    <w:rsid w:val="00C25339"/>
    <w:rsid w:val="00C2583B"/>
    <w:rsid w:val="00C25863"/>
    <w:rsid w:val="00C25E2C"/>
    <w:rsid w:val="00C25EF9"/>
    <w:rsid w:val="00C2606D"/>
    <w:rsid w:val="00C2618C"/>
    <w:rsid w:val="00C2623A"/>
    <w:rsid w:val="00C262BF"/>
    <w:rsid w:val="00C26469"/>
    <w:rsid w:val="00C26516"/>
    <w:rsid w:val="00C265F1"/>
    <w:rsid w:val="00C269D1"/>
    <w:rsid w:val="00C2700D"/>
    <w:rsid w:val="00C275AD"/>
    <w:rsid w:val="00C30245"/>
    <w:rsid w:val="00C304A2"/>
    <w:rsid w:val="00C30910"/>
    <w:rsid w:val="00C30BCD"/>
    <w:rsid w:val="00C31546"/>
    <w:rsid w:val="00C31595"/>
    <w:rsid w:val="00C317E0"/>
    <w:rsid w:val="00C31A85"/>
    <w:rsid w:val="00C31B28"/>
    <w:rsid w:val="00C3214B"/>
    <w:rsid w:val="00C32429"/>
    <w:rsid w:val="00C325EF"/>
    <w:rsid w:val="00C32A5F"/>
    <w:rsid w:val="00C32F4A"/>
    <w:rsid w:val="00C32F8C"/>
    <w:rsid w:val="00C33029"/>
    <w:rsid w:val="00C33122"/>
    <w:rsid w:val="00C333CE"/>
    <w:rsid w:val="00C334BD"/>
    <w:rsid w:val="00C3365D"/>
    <w:rsid w:val="00C33B0A"/>
    <w:rsid w:val="00C341B5"/>
    <w:rsid w:val="00C3442A"/>
    <w:rsid w:val="00C34632"/>
    <w:rsid w:val="00C349D0"/>
    <w:rsid w:val="00C34C02"/>
    <w:rsid w:val="00C34D14"/>
    <w:rsid w:val="00C34FC5"/>
    <w:rsid w:val="00C35159"/>
    <w:rsid w:val="00C3549F"/>
    <w:rsid w:val="00C354F0"/>
    <w:rsid w:val="00C35936"/>
    <w:rsid w:val="00C3615C"/>
    <w:rsid w:val="00C36594"/>
    <w:rsid w:val="00C36617"/>
    <w:rsid w:val="00C36C08"/>
    <w:rsid w:val="00C372E1"/>
    <w:rsid w:val="00C376E9"/>
    <w:rsid w:val="00C3782D"/>
    <w:rsid w:val="00C37BF2"/>
    <w:rsid w:val="00C40318"/>
    <w:rsid w:val="00C40352"/>
    <w:rsid w:val="00C40ABA"/>
    <w:rsid w:val="00C40B74"/>
    <w:rsid w:val="00C416EA"/>
    <w:rsid w:val="00C41716"/>
    <w:rsid w:val="00C41DE7"/>
    <w:rsid w:val="00C424C5"/>
    <w:rsid w:val="00C42FD9"/>
    <w:rsid w:val="00C43351"/>
    <w:rsid w:val="00C4395F"/>
    <w:rsid w:val="00C439D4"/>
    <w:rsid w:val="00C439E7"/>
    <w:rsid w:val="00C43C54"/>
    <w:rsid w:val="00C43C6E"/>
    <w:rsid w:val="00C43CDD"/>
    <w:rsid w:val="00C43D6C"/>
    <w:rsid w:val="00C44341"/>
    <w:rsid w:val="00C44531"/>
    <w:rsid w:val="00C44953"/>
    <w:rsid w:val="00C44A6D"/>
    <w:rsid w:val="00C44D4E"/>
    <w:rsid w:val="00C44DDA"/>
    <w:rsid w:val="00C45082"/>
    <w:rsid w:val="00C4537E"/>
    <w:rsid w:val="00C453D2"/>
    <w:rsid w:val="00C45699"/>
    <w:rsid w:val="00C463EB"/>
    <w:rsid w:val="00C46448"/>
    <w:rsid w:val="00C46453"/>
    <w:rsid w:val="00C466E2"/>
    <w:rsid w:val="00C46716"/>
    <w:rsid w:val="00C46D1A"/>
    <w:rsid w:val="00C46DBC"/>
    <w:rsid w:val="00C46EA6"/>
    <w:rsid w:val="00C46FAC"/>
    <w:rsid w:val="00C47029"/>
    <w:rsid w:val="00C47368"/>
    <w:rsid w:val="00C47513"/>
    <w:rsid w:val="00C47522"/>
    <w:rsid w:val="00C47737"/>
    <w:rsid w:val="00C478B3"/>
    <w:rsid w:val="00C47BEF"/>
    <w:rsid w:val="00C47C52"/>
    <w:rsid w:val="00C503CB"/>
    <w:rsid w:val="00C5084F"/>
    <w:rsid w:val="00C50C9F"/>
    <w:rsid w:val="00C51553"/>
    <w:rsid w:val="00C51A6A"/>
    <w:rsid w:val="00C51FB6"/>
    <w:rsid w:val="00C52348"/>
    <w:rsid w:val="00C52382"/>
    <w:rsid w:val="00C5239F"/>
    <w:rsid w:val="00C52408"/>
    <w:rsid w:val="00C52806"/>
    <w:rsid w:val="00C5280F"/>
    <w:rsid w:val="00C52932"/>
    <w:rsid w:val="00C52DBA"/>
    <w:rsid w:val="00C53095"/>
    <w:rsid w:val="00C530D0"/>
    <w:rsid w:val="00C5351E"/>
    <w:rsid w:val="00C536A3"/>
    <w:rsid w:val="00C5386D"/>
    <w:rsid w:val="00C539A3"/>
    <w:rsid w:val="00C53AFB"/>
    <w:rsid w:val="00C53F48"/>
    <w:rsid w:val="00C54279"/>
    <w:rsid w:val="00C54D00"/>
    <w:rsid w:val="00C54E87"/>
    <w:rsid w:val="00C5523A"/>
    <w:rsid w:val="00C5526A"/>
    <w:rsid w:val="00C554DB"/>
    <w:rsid w:val="00C55681"/>
    <w:rsid w:val="00C55E37"/>
    <w:rsid w:val="00C56149"/>
    <w:rsid w:val="00C5616E"/>
    <w:rsid w:val="00C56536"/>
    <w:rsid w:val="00C565E3"/>
    <w:rsid w:val="00C56BCE"/>
    <w:rsid w:val="00C571B7"/>
    <w:rsid w:val="00C57336"/>
    <w:rsid w:val="00C57590"/>
    <w:rsid w:val="00C60288"/>
    <w:rsid w:val="00C6045F"/>
    <w:rsid w:val="00C6049A"/>
    <w:rsid w:val="00C60CCF"/>
    <w:rsid w:val="00C60EDF"/>
    <w:rsid w:val="00C60F11"/>
    <w:rsid w:val="00C61366"/>
    <w:rsid w:val="00C61695"/>
    <w:rsid w:val="00C616FC"/>
    <w:rsid w:val="00C6193D"/>
    <w:rsid w:val="00C6222B"/>
    <w:rsid w:val="00C62502"/>
    <w:rsid w:val="00C6260D"/>
    <w:rsid w:val="00C62ADA"/>
    <w:rsid w:val="00C62E3F"/>
    <w:rsid w:val="00C62EEB"/>
    <w:rsid w:val="00C62F67"/>
    <w:rsid w:val="00C63036"/>
    <w:rsid w:val="00C63B76"/>
    <w:rsid w:val="00C64049"/>
    <w:rsid w:val="00C6429E"/>
    <w:rsid w:val="00C6442F"/>
    <w:rsid w:val="00C644DB"/>
    <w:rsid w:val="00C646D0"/>
    <w:rsid w:val="00C64721"/>
    <w:rsid w:val="00C64732"/>
    <w:rsid w:val="00C6474B"/>
    <w:rsid w:val="00C648E8"/>
    <w:rsid w:val="00C648F5"/>
    <w:rsid w:val="00C649A6"/>
    <w:rsid w:val="00C64AF7"/>
    <w:rsid w:val="00C64FB7"/>
    <w:rsid w:val="00C651F4"/>
    <w:rsid w:val="00C65219"/>
    <w:rsid w:val="00C652D1"/>
    <w:rsid w:val="00C6533C"/>
    <w:rsid w:val="00C6535C"/>
    <w:rsid w:val="00C65393"/>
    <w:rsid w:val="00C65F6C"/>
    <w:rsid w:val="00C66415"/>
    <w:rsid w:val="00C666E9"/>
    <w:rsid w:val="00C6732E"/>
    <w:rsid w:val="00C67631"/>
    <w:rsid w:val="00C679A0"/>
    <w:rsid w:val="00C67DC5"/>
    <w:rsid w:val="00C67DD0"/>
    <w:rsid w:val="00C67DF1"/>
    <w:rsid w:val="00C700AD"/>
    <w:rsid w:val="00C70215"/>
    <w:rsid w:val="00C702E3"/>
    <w:rsid w:val="00C703A9"/>
    <w:rsid w:val="00C70AA6"/>
    <w:rsid w:val="00C70AED"/>
    <w:rsid w:val="00C70D5E"/>
    <w:rsid w:val="00C70F14"/>
    <w:rsid w:val="00C7109A"/>
    <w:rsid w:val="00C715E2"/>
    <w:rsid w:val="00C7199B"/>
    <w:rsid w:val="00C71A07"/>
    <w:rsid w:val="00C71D26"/>
    <w:rsid w:val="00C7201E"/>
    <w:rsid w:val="00C72022"/>
    <w:rsid w:val="00C72D91"/>
    <w:rsid w:val="00C72FC3"/>
    <w:rsid w:val="00C73037"/>
    <w:rsid w:val="00C7367B"/>
    <w:rsid w:val="00C73BC2"/>
    <w:rsid w:val="00C73D0E"/>
    <w:rsid w:val="00C741F5"/>
    <w:rsid w:val="00C74206"/>
    <w:rsid w:val="00C74354"/>
    <w:rsid w:val="00C7439D"/>
    <w:rsid w:val="00C74879"/>
    <w:rsid w:val="00C748AA"/>
    <w:rsid w:val="00C74996"/>
    <w:rsid w:val="00C749F5"/>
    <w:rsid w:val="00C74E79"/>
    <w:rsid w:val="00C75325"/>
    <w:rsid w:val="00C757D1"/>
    <w:rsid w:val="00C75991"/>
    <w:rsid w:val="00C75A14"/>
    <w:rsid w:val="00C75A19"/>
    <w:rsid w:val="00C75D18"/>
    <w:rsid w:val="00C75E0E"/>
    <w:rsid w:val="00C76863"/>
    <w:rsid w:val="00C7688A"/>
    <w:rsid w:val="00C769C7"/>
    <w:rsid w:val="00C76AF9"/>
    <w:rsid w:val="00C77158"/>
    <w:rsid w:val="00C7771F"/>
    <w:rsid w:val="00C77881"/>
    <w:rsid w:val="00C77E2A"/>
    <w:rsid w:val="00C77F35"/>
    <w:rsid w:val="00C77FA4"/>
    <w:rsid w:val="00C80314"/>
    <w:rsid w:val="00C80324"/>
    <w:rsid w:val="00C805EE"/>
    <w:rsid w:val="00C80683"/>
    <w:rsid w:val="00C80757"/>
    <w:rsid w:val="00C809D9"/>
    <w:rsid w:val="00C80DFC"/>
    <w:rsid w:val="00C810D9"/>
    <w:rsid w:val="00C81633"/>
    <w:rsid w:val="00C81C75"/>
    <w:rsid w:val="00C81DED"/>
    <w:rsid w:val="00C81E42"/>
    <w:rsid w:val="00C82440"/>
    <w:rsid w:val="00C825BC"/>
    <w:rsid w:val="00C82809"/>
    <w:rsid w:val="00C82A69"/>
    <w:rsid w:val="00C831EA"/>
    <w:rsid w:val="00C8322D"/>
    <w:rsid w:val="00C83915"/>
    <w:rsid w:val="00C83F49"/>
    <w:rsid w:val="00C84463"/>
    <w:rsid w:val="00C85B17"/>
    <w:rsid w:val="00C85FF2"/>
    <w:rsid w:val="00C861E1"/>
    <w:rsid w:val="00C86818"/>
    <w:rsid w:val="00C8691C"/>
    <w:rsid w:val="00C869F1"/>
    <w:rsid w:val="00C86C43"/>
    <w:rsid w:val="00C86E5B"/>
    <w:rsid w:val="00C86F20"/>
    <w:rsid w:val="00C86F23"/>
    <w:rsid w:val="00C871A7"/>
    <w:rsid w:val="00C87349"/>
    <w:rsid w:val="00C8779F"/>
    <w:rsid w:val="00C87B5C"/>
    <w:rsid w:val="00C900C6"/>
    <w:rsid w:val="00C9022E"/>
    <w:rsid w:val="00C90917"/>
    <w:rsid w:val="00C90AE0"/>
    <w:rsid w:val="00C90D8D"/>
    <w:rsid w:val="00C90FF2"/>
    <w:rsid w:val="00C9121E"/>
    <w:rsid w:val="00C91279"/>
    <w:rsid w:val="00C912EF"/>
    <w:rsid w:val="00C91571"/>
    <w:rsid w:val="00C91A1B"/>
    <w:rsid w:val="00C91BEF"/>
    <w:rsid w:val="00C91D6E"/>
    <w:rsid w:val="00C91FA6"/>
    <w:rsid w:val="00C921A6"/>
    <w:rsid w:val="00C9253E"/>
    <w:rsid w:val="00C92637"/>
    <w:rsid w:val="00C927B9"/>
    <w:rsid w:val="00C92D77"/>
    <w:rsid w:val="00C93351"/>
    <w:rsid w:val="00C93951"/>
    <w:rsid w:val="00C9396D"/>
    <w:rsid w:val="00C93A9C"/>
    <w:rsid w:val="00C93B98"/>
    <w:rsid w:val="00C93F41"/>
    <w:rsid w:val="00C941C2"/>
    <w:rsid w:val="00C9433A"/>
    <w:rsid w:val="00C94850"/>
    <w:rsid w:val="00C94C3A"/>
    <w:rsid w:val="00C94CD5"/>
    <w:rsid w:val="00C955D1"/>
    <w:rsid w:val="00C9582B"/>
    <w:rsid w:val="00C95D30"/>
    <w:rsid w:val="00C95E5E"/>
    <w:rsid w:val="00C96482"/>
    <w:rsid w:val="00C96C7F"/>
    <w:rsid w:val="00C96C8C"/>
    <w:rsid w:val="00C97242"/>
    <w:rsid w:val="00C972AC"/>
    <w:rsid w:val="00C97D48"/>
    <w:rsid w:val="00C97E4A"/>
    <w:rsid w:val="00CA00E7"/>
    <w:rsid w:val="00CA0960"/>
    <w:rsid w:val="00CA0B56"/>
    <w:rsid w:val="00CA0BA2"/>
    <w:rsid w:val="00CA0D90"/>
    <w:rsid w:val="00CA11C3"/>
    <w:rsid w:val="00CA138F"/>
    <w:rsid w:val="00CA149E"/>
    <w:rsid w:val="00CA159F"/>
    <w:rsid w:val="00CA17B2"/>
    <w:rsid w:val="00CA18B5"/>
    <w:rsid w:val="00CA1B76"/>
    <w:rsid w:val="00CA1BE0"/>
    <w:rsid w:val="00CA1C80"/>
    <w:rsid w:val="00CA1E5D"/>
    <w:rsid w:val="00CA269C"/>
    <w:rsid w:val="00CA2888"/>
    <w:rsid w:val="00CA2DC5"/>
    <w:rsid w:val="00CA2F21"/>
    <w:rsid w:val="00CA2F63"/>
    <w:rsid w:val="00CA3455"/>
    <w:rsid w:val="00CA35A4"/>
    <w:rsid w:val="00CA385C"/>
    <w:rsid w:val="00CA3875"/>
    <w:rsid w:val="00CA3AF0"/>
    <w:rsid w:val="00CA4050"/>
    <w:rsid w:val="00CA42A4"/>
    <w:rsid w:val="00CA434D"/>
    <w:rsid w:val="00CA4485"/>
    <w:rsid w:val="00CA4637"/>
    <w:rsid w:val="00CA49A2"/>
    <w:rsid w:val="00CA4B4F"/>
    <w:rsid w:val="00CA5190"/>
    <w:rsid w:val="00CA5460"/>
    <w:rsid w:val="00CA5514"/>
    <w:rsid w:val="00CA5792"/>
    <w:rsid w:val="00CA58DC"/>
    <w:rsid w:val="00CA5900"/>
    <w:rsid w:val="00CA5D9A"/>
    <w:rsid w:val="00CA5FBE"/>
    <w:rsid w:val="00CA60CD"/>
    <w:rsid w:val="00CA626F"/>
    <w:rsid w:val="00CA6604"/>
    <w:rsid w:val="00CA68D4"/>
    <w:rsid w:val="00CA6994"/>
    <w:rsid w:val="00CA6A36"/>
    <w:rsid w:val="00CA6B3B"/>
    <w:rsid w:val="00CA6D8E"/>
    <w:rsid w:val="00CA744C"/>
    <w:rsid w:val="00CA75B7"/>
    <w:rsid w:val="00CA763B"/>
    <w:rsid w:val="00CA7804"/>
    <w:rsid w:val="00CA7848"/>
    <w:rsid w:val="00CA78DD"/>
    <w:rsid w:val="00CA7965"/>
    <w:rsid w:val="00CA7C26"/>
    <w:rsid w:val="00CA7DDF"/>
    <w:rsid w:val="00CA7E3C"/>
    <w:rsid w:val="00CB002F"/>
    <w:rsid w:val="00CB0978"/>
    <w:rsid w:val="00CB0988"/>
    <w:rsid w:val="00CB0A69"/>
    <w:rsid w:val="00CB0B10"/>
    <w:rsid w:val="00CB0E2A"/>
    <w:rsid w:val="00CB0EE4"/>
    <w:rsid w:val="00CB10FD"/>
    <w:rsid w:val="00CB13CE"/>
    <w:rsid w:val="00CB15FF"/>
    <w:rsid w:val="00CB19AD"/>
    <w:rsid w:val="00CB1C27"/>
    <w:rsid w:val="00CB200B"/>
    <w:rsid w:val="00CB22CC"/>
    <w:rsid w:val="00CB2415"/>
    <w:rsid w:val="00CB24CD"/>
    <w:rsid w:val="00CB289A"/>
    <w:rsid w:val="00CB2B21"/>
    <w:rsid w:val="00CB303F"/>
    <w:rsid w:val="00CB3089"/>
    <w:rsid w:val="00CB3465"/>
    <w:rsid w:val="00CB3524"/>
    <w:rsid w:val="00CB37AC"/>
    <w:rsid w:val="00CB3BE2"/>
    <w:rsid w:val="00CB3D95"/>
    <w:rsid w:val="00CB4269"/>
    <w:rsid w:val="00CB44A8"/>
    <w:rsid w:val="00CB4561"/>
    <w:rsid w:val="00CB4F7C"/>
    <w:rsid w:val="00CB4FC6"/>
    <w:rsid w:val="00CB5561"/>
    <w:rsid w:val="00CB58E9"/>
    <w:rsid w:val="00CB5C74"/>
    <w:rsid w:val="00CB5E65"/>
    <w:rsid w:val="00CB62CF"/>
    <w:rsid w:val="00CB6315"/>
    <w:rsid w:val="00CB682A"/>
    <w:rsid w:val="00CB693E"/>
    <w:rsid w:val="00CB6B88"/>
    <w:rsid w:val="00CB6BAC"/>
    <w:rsid w:val="00CB6D6A"/>
    <w:rsid w:val="00CB6DCA"/>
    <w:rsid w:val="00CB70FB"/>
    <w:rsid w:val="00CB7766"/>
    <w:rsid w:val="00CB79C3"/>
    <w:rsid w:val="00CB7B4B"/>
    <w:rsid w:val="00CB7CD6"/>
    <w:rsid w:val="00CB7D46"/>
    <w:rsid w:val="00CC0476"/>
    <w:rsid w:val="00CC09E4"/>
    <w:rsid w:val="00CC0B09"/>
    <w:rsid w:val="00CC0C61"/>
    <w:rsid w:val="00CC0DCE"/>
    <w:rsid w:val="00CC11C1"/>
    <w:rsid w:val="00CC12E0"/>
    <w:rsid w:val="00CC1425"/>
    <w:rsid w:val="00CC1722"/>
    <w:rsid w:val="00CC20CA"/>
    <w:rsid w:val="00CC2356"/>
    <w:rsid w:val="00CC2F8D"/>
    <w:rsid w:val="00CC2FE9"/>
    <w:rsid w:val="00CC355B"/>
    <w:rsid w:val="00CC37A9"/>
    <w:rsid w:val="00CC397D"/>
    <w:rsid w:val="00CC3CA3"/>
    <w:rsid w:val="00CC428F"/>
    <w:rsid w:val="00CC462C"/>
    <w:rsid w:val="00CC4A56"/>
    <w:rsid w:val="00CC4AA1"/>
    <w:rsid w:val="00CC4F40"/>
    <w:rsid w:val="00CC530E"/>
    <w:rsid w:val="00CC57E0"/>
    <w:rsid w:val="00CC5B9A"/>
    <w:rsid w:val="00CC5D7A"/>
    <w:rsid w:val="00CC5E9D"/>
    <w:rsid w:val="00CC5F01"/>
    <w:rsid w:val="00CC5FB0"/>
    <w:rsid w:val="00CC5FEA"/>
    <w:rsid w:val="00CC6120"/>
    <w:rsid w:val="00CC6223"/>
    <w:rsid w:val="00CC6B69"/>
    <w:rsid w:val="00CC6BFE"/>
    <w:rsid w:val="00CC6E09"/>
    <w:rsid w:val="00CC71AA"/>
    <w:rsid w:val="00CC7293"/>
    <w:rsid w:val="00CC7369"/>
    <w:rsid w:val="00CC768E"/>
    <w:rsid w:val="00CC7ACB"/>
    <w:rsid w:val="00CC7D7B"/>
    <w:rsid w:val="00CC7F20"/>
    <w:rsid w:val="00CD04E7"/>
    <w:rsid w:val="00CD08D8"/>
    <w:rsid w:val="00CD0ACC"/>
    <w:rsid w:val="00CD0AE3"/>
    <w:rsid w:val="00CD0B42"/>
    <w:rsid w:val="00CD0CAF"/>
    <w:rsid w:val="00CD0CCD"/>
    <w:rsid w:val="00CD110D"/>
    <w:rsid w:val="00CD17C9"/>
    <w:rsid w:val="00CD1844"/>
    <w:rsid w:val="00CD1A4B"/>
    <w:rsid w:val="00CD1C9E"/>
    <w:rsid w:val="00CD22A4"/>
    <w:rsid w:val="00CD23D2"/>
    <w:rsid w:val="00CD24B1"/>
    <w:rsid w:val="00CD24E1"/>
    <w:rsid w:val="00CD27A6"/>
    <w:rsid w:val="00CD27FE"/>
    <w:rsid w:val="00CD2EB4"/>
    <w:rsid w:val="00CD31A8"/>
    <w:rsid w:val="00CD34C5"/>
    <w:rsid w:val="00CD3525"/>
    <w:rsid w:val="00CD35EA"/>
    <w:rsid w:val="00CD3AA3"/>
    <w:rsid w:val="00CD434E"/>
    <w:rsid w:val="00CD4597"/>
    <w:rsid w:val="00CD4716"/>
    <w:rsid w:val="00CD4CD0"/>
    <w:rsid w:val="00CD4DFC"/>
    <w:rsid w:val="00CD507F"/>
    <w:rsid w:val="00CD51C7"/>
    <w:rsid w:val="00CD563C"/>
    <w:rsid w:val="00CD576C"/>
    <w:rsid w:val="00CD583C"/>
    <w:rsid w:val="00CD5851"/>
    <w:rsid w:val="00CD5897"/>
    <w:rsid w:val="00CD5A23"/>
    <w:rsid w:val="00CD5B41"/>
    <w:rsid w:val="00CD629C"/>
    <w:rsid w:val="00CD62D1"/>
    <w:rsid w:val="00CD63E7"/>
    <w:rsid w:val="00CD69E0"/>
    <w:rsid w:val="00CD6C78"/>
    <w:rsid w:val="00CD6CD1"/>
    <w:rsid w:val="00CD6E45"/>
    <w:rsid w:val="00CD6E56"/>
    <w:rsid w:val="00CD715E"/>
    <w:rsid w:val="00CD72F1"/>
    <w:rsid w:val="00CD75AC"/>
    <w:rsid w:val="00CE02FD"/>
    <w:rsid w:val="00CE05C3"/>
    <w:rsid w:val="00CE0804"/>
    <w:rsid w:val="00CE088D"/>
    <w:rsid w:val="00CE090B"/>
    <w:rsid w:val="00CE0A69"/>
    <w:rsid w:val="00CE0E56"/>
    <w:rsid w:val="00CE104B"/>
    <w:rsid w:val="00CE110E"/>
    <w:rsid w:val="00CE15EC"/>
    <w:rsid w:val="00CE1B1B"/>
    <w:rsid w:val="00CE1BF3"/>
    <w:rsid w:val="00CE1F63"/>
    <w:rsid w:val="00CE2009"/>
    <w:rsid w:val="00CE20BC"/>
    <w:rsid w:val="00CE2128"/>
    <w:rsid w:val="00CE213D"/>
    <w:rsid w:val="00CE219A"/>
    <w:rsid w:val="00CE2221"/>
    <w:rsid w:val="00CE23AC"/>
    <w:rsid w:val="00CE2433"/>
    <w:rsid w:val="00CE2595"/>
    <w:rsid w:val="00CE25F7"/>
    <w:rsid w:val="00CE2607"/>
    <w:rsid w:val="00CE26D9"/>
    <w:rsid w:val="00CE2A61"/>
    <w:rsid w:val="00CE2E06"/>
    <w:rsid w:val="00CE2E23"/>
    <w:rsid w:val="00CE300F"/>
    <w:rsid w:val="00CE30FE"/>
    <w:rsid w:val="00CE32C0"/>
    <w:rsid w:val="00CE398D"/>
    <w:rsid w:val="00CE39BC"/>
    <w:rsid w:val="00CE39BE"/>
    <w:rsid w:val="00CE39D9"/>
    <w:rsid w:val="00CE3CED"/>
    <w:rsid w:val="00CE3E7F"/>
    <w:rsid w:val="00CE3E97"/>
    <w:rsid w:val="00CE3EB1"/>
    <w:rsid w:val="00CE3FF9"/>
    <w:rsid w:val="00CE48D7"/>
    <w:rsid w:val="00CE4C34"/>
    <w:rsid w:val="00CE4EF3"/>
    <w:rsid w:val="00CE4F86"/>
    <w:rsid w:val="00CE5581"/>
    <w:rsid w:val="00CE5713"/>
    <w:rsid w:val="00CE58A5"/>
    <w:rsid w:val="00CE5D91"/>
    <w:rsid w:val="00CE5E3A"/>
    <w:rsid w:val="00CE6289"/>
    <w:rsid w:val="00CE6356"/>
    <w:rsid w:val="00CE6376"/>
    <w:rsid w:val="00CE655E"/>
    <w:rsid w:val="00CE65B6"/>
    <w:rsid w:val="00CE6606"/>
    <w:rsid w:val="00CE67E9"/>
    <w:rsid w:val="00CE6B99"/>
    <w:rsid w:val="00CE6C9F"/>
    <w:rsid w:val="00CE6DA8"/>
    <w:rsid w:val="00CE7149"/>
    <w:rsid w:val="00CE7642"/>
    <w:rsid w:val="00CE769B"/>
    <w:rsid w:val="00CE77F2"/>
    <w:rsid w:val="00CE7A6D"/>
    <w:rsid w:val="00CE7FEE"/>
    <w:rsid w:val="00CF005F"/>
    <w:rsid w:val="00CF0334"/>
    <w:rsid w:val="00CF03A1"/>
    <w:rsid w:val="00CF0474"/>
    <w:rsid w:val="00CF0515"/>
    <w:rsid w:val="00CF06B1"/>
    <w:rsid w:val="00CF06BB"/>
    <w:rsid w:val="00CF0B99"/>
    <w:rsid w:val="00CF0CED"/>
    <w:rsid w:val="00CF0D9F"/>
    <w:rsid w:val="00CF0F04"/>
    <w:rsid w:val="00CF0F84"/>
    <w:rsid w:val="00CF154C"/>
    <w:rsid w:val="00CF1563"/>
    <w:rsid w:val="00CF15AF"/>
    <w:rsid w:val="00CF1670"/>
    <w:rsid w:val="00CF17C8"/>
    <w:rsid w:val="00CF1D21"/>
    <w:rsid w:val="00CF1EA5"/>
    <w:rsid w:val="00CF1EA9"/>
    <w:rsid w:val="00CF2243"/>
    <w:rsid w:val="00CF26BD"/>
    <w:rsid w:val="00CF350E"/>
    <w:rsid w:val="00CF3629"/>
    <w:rsid w:val="00CF37AE"/>
    <w:rsid w:val="00CF3C9E"/>
    <w:rsid w:val="00CF4222"/>
    <w:rsid w:val="00CF4452"/>
    <w:rsid w:val="00CF4A34"/>
    <w:rsid w:val="00CF4C70"/>
    <w:rsid w:val="00CF4CE5"/>
    <w:rsid w:val="00CF4E0C"/>
    <w:rsid w:val="00CF5308"/>
    <w:rsid w:val="00CF5311"/>
    <w:rsid w:val="00CF5B7F"/>
    <w:rsid w:val="00CF5F8E"/>
    <w:rsid w:val="00CF5FD8"/>
    <w:rsid w:val="00CF6280"/>
    <w:rsid w:val="00CF6540"/>
    <w:rsid w:val="00CF6909"/>
    <w:rsid w:val="00CF6926"/>
    <w:rsid w:val="00CF69C3"/>
    <w:rsid w:val="00CF69EA"/>
    <w:rsid w:val="00CF6EDC"/>
    <w:rsid w:val="00CF739B"/>
    <w:rsid w:val="00CF75BE"/>
    <w:rsid w:val="00CF76A4"/>
    <w:rsid w:val="00CF785D"/>
    <w:rsid w:val="00CF78EE"/>
    <w:rsid w:val="00CF79A6"/>
    <w:rsid w:val="00D0007E"/>
    <w:rsid w:val="00D0057C"/>
    <w:rsid w:val="00D0104F"/>
    <w:rsid w:val="00D0110A"/>
    <w:rsid w:val="00D01133"/>
    <w:rsid w:val="00D0134D"/>
    <w:rsid w:val="00D01386"/>
    <w:rsid w:val="00D018CC"/>
    <w:rsid w:val="00D01C2A"/>
    <w:rsid w:val="00D0209A"/>
    <w:rsid w:val="00D0223E"/>
    <w:rsid w:val="00D023A3"/>
    <w:rsid w:val="00D02702"/>
    <w:rsid w:val="00D0278A"/>
    <w:rsid w:val="00D02C79"/>
    <w:rsid w:val="00D02DF2"/>
    <w:rsid w:val="00D03428"/>
    <w:rsid w:val="00D03647"/>
    <w:rsid w:val="00D038D2"/>
    <w:rsid w:val="00D04301"/>
    <w:rsid w:val="00D045F6"/>
    <w:rsid w:val="00D048C4"/>
    <w:rsid w:val="00D04CF7"/>
    <w:rsid w:val="00D05358"/>
    <w:rsid w:val="00D05474"/>
    <w:rsid w:val="00D05558"/>
    <w:rsid w:val="00D057A1"/>
    <w:rsid w:val="00D0584D"/>
    <w:rsid w:val="00D05AD5"/>
    <w:rsid w:val="00D06278"/>
    <w:rsid w:val="00D06860"/>
    <w:rsid w:val="00D06C92"/>
    <w:rsid w:val="00D06FA9"/>
    <w:rsid w:val="00D073F7"/>
    <w:rsid w:val="00D074EA"/>
    <w:rsid w:val="00D075F4"/>
    <w:rsid w:val="00D077C2"/>
    <w:rsid w:val="00D07965"/>
    <w:rsid w:val="00D079A9"/>
    <w:rsid w:val="00D101B6"/>
    <w:rsid w:val="00D101D9"/>
    <w:rsid w:val="00D10508"/>
    <w:rsid w:val="00D105CE"/>
    <w:rsid w:val="00D10752"/>
    <w:rsid w:val="00D109E7"/>
    <w:rsid w:val="00D10C9B"/>
    <w:rsid w:val="00D11455"/>
    <w:rsid w:val="00D117EE"/>
    <w:rsid w:val="00D118FF"/>
    <w:rsid w:val="00D11954"/>
    <w:rsid w:val="00D11CF3"/>
    <w:rsid w:val="00D11D0A"/>
    <w:rsid w:val="00D11EA0"/>
    <w:rsid w:val="00D120CF"/>
    <w:rsid w:val="00D1213C"/>
    <w:rsid w:val="00D12297"/>
    <w:rsid w:val="00D12469"/>
    <w:rsid w:val="00D12490"/>
    <w:rsid w:val="00D1265C"/>
    <w:rsid w:val="00D1267B"/>
    <w:rsid w:val="00D12C7A"/>
    <w:rsid w:val="00D12F0E"/>
    <w:rsid w:val="00D1373A"/>
    <w:rsid w:val="00D14146"/>
    <w:rsid w:val="00D142EB"/>
    <w:rsid w:val="00D148DE"/>
    <w:rsid w:val="00D149D8"/>
    <w:rsid w:val="00D14B39"/>
    <w:rsid w:val="00D14C47"/>
    <w:rsid w:val="00D14EEB"/>
    <w:rsid w:val="00D152B1"/>
    <w:rsid w:val="00D15467"/>
    <w:rsid w:val="00D15516"/>
    <w:rsid w:val="00D1575D"/>
    <w:rsid w:val="00D15863"/>
    <w:rsid w:val="00D1613D"/>
    <w:rsid w:val="00D167DC"/>
    <w:rsid w:val="00D16EC7"/>
    <w:rsid w:val="00D17131"/>
    <w:rsid w:val="00D1743A"/>
    <w:rsid w:val="00D17B27"/>
    <w:rsid w:val="00D17FB7"/>
    <w:rsid w:val="00D2042A"/>
    <w:rsid w:val="00D208B4"/>
    <w:rsid w:val="00D20ED0"/>
    <w:rsid w:val="00D21046"/>
    <w:rsid w:val="00D211CD"/>
    <w:rsid w:val="00D2147C"/>
    <w:rsid w:val="00D21672"/>
    <w:rsid w:val="00D21C95"/>
    <w:rsid w:val="00D21EEC"/>
    <w:rsid w:val="00D22320"/>
    <w:rsid w:val="00D223DB"/>
    <w:rsid w:val="00D22767"/>
    <w:rsid w:val="00D22C74"/>
    <w:rsid w:val="00D23511"/>
    <w:rsid w:val="00D23821"/>
    <w:rsid w:val="00D23930"/>
    <w:rsid w:val="00D23A5C"/>
    <w:rsid w:val="00D23BA8"/>
    <w:rsid w:val="00D23D6A"/>
    <w:rsid w:val="00D23E5E"/>
    <w:rsid w:val="00D23F23"/>
    <w:rsid w:val="00D24553"/>
    <w:rsid w:val="00D24591"/>
    <w:rsid w:val="00D245A3"/>
    <w:rsid w:val="00D248A1"/>
    <w:rsid w:val="00D248BE"/>
    <w:rsid w:val="00D24A69"/>
    <w:rsid w:val="00D24BD4"/>
    <w:rsid w:val="00D24C5C"/>
    <w:rsid w:val="00D252FE"/>
    <w:rsid w:val="00D25630"/>
    <w:rsid w:val="00D258B3"/>
    <w:rsid w:val="00D25B42"/>
    <w:rsid w:val="00D25E8E"/>
    <w:rsid w:val="00D26033"/>
    <w:rsid w:val="00D26056"/>
    <w:rsid w:val="00D26A15"/>
    <w:rsid w:val="00D26A96"/>
    <w:rsid w:val="00D26CD9"/>
    <w:rsid w:val="00D26FAE"/>
    <w:rsid w:val="00D27132"/>
    <w:rsid w:val="00D27428"/>
    <w:rsid w:val="00D274B2"/>
    <w:rsid w:val="00D274B6"/>
    <w:rsid w:val="00D27B2D"/>
    <w:rsid w:val="00D301B1"/>
    <w:rsid w:val="00D3095D"/>
    <w:rsid w:val="00D30DD4"/>
    <w:rsid w:val="00D30FD3"/>
    <w:rsid w:val="00D3112C"/>
    <w:rsid w:val="00D31249"/>
    <w:rsid w:val="00D3156C"/>
    <w:rsid w:val="00D31685"/>
    <w:rsid w:val="00D31C5C"/>
    <w:rsid w:val="00D3250D"/>
    <w:rsid w:val="00D325F4"/>
    <w:rsid w:val="00D328BA"/>
    <w:rsid w:val="00D32FF4"/>
    <w:rsid w:val="00D334AF"/>
    <w:rsid w:val="00D33553"/>
    <w:rsid w:val="00D338BE"/>
    <w:rsid w:val="00D339D9"/>
    <w:rsid w:val="00D33CF5"/>
    <w:rsid w:val="00D33D45"/>
    <w:rsid w:val="00D34169"/>
    <w:rsid w:val="00D341F3"/>
    <w:rsid w:val="00D343AC"/>
    <w:rsid w:val="00D343CB"/>
    <w:rsid w:val="00D345E4"/>
    <w:rsid w:val="00D346DD"/>
    <w:rsid w:val="00D3509D"/>
    <w:rsid w:val="00D354E3"/>
    <w:rsid w:val="00D356BB"/>
    <w:rsid w:val="00D35882"/>
    <w:rsid w:val="00D3593C"/>
    <w:rsid w:val="00D35AA8"/>
    <w:rsid w:val="00D35C2B"/>
    <w:rsid w:val="00D360B4"/>
    <w:rsid w:val="00D361E6"/>
    <w:rsid w:val="00D3632A"/>
    <w:rsid w:val="00D36748"/>
    <w:rsid w:val="00D36CC1"/>
    <w:rsid w:val="00D36D40"/>
    <w:rsid w:val="00D374A8"/>
    <w:rsid w:val="00D37A19"/>
    <w:rsid w:val="00D37A21"/>
    <w:rsid w:val="00D37C1E"/>
    <w:rsid w:val="00D37C2F"/>
    <w:rsid w:val="00D37E1F"/>
    <w:rsid w:val="00D37E4C"/>
    <w:rsid w:val="00D401E0"/>
    <w:rsid w:val="00D40A2B"/>
    <w:rsid w:val="00D40C11"/>
    <w:rsid w:val="00D40FF6"/>
    <w:rsid w:val="00D41544"/>
    <w:rsid w:val="00D415C3"/>
    <w:rsid w:val="00D41A13"/>
    <w:rsid w:val="00D41D47"/>
    <w:rsid w:val="00D41F06"/>
    <w:rsid w:val="00D42240"/>
    <w:rsid w:val="00D42907"/>
    <w:rsid w:val="00D42EBD"/>
    <w:rsid w:val="00D42F82"/>
    <w:rsid w:val="00D44358"/>
    <w:rsid w:val="00D4435C"/>
    <w:rsid w:val="00D447A9"/>
    <w:rsid w:val="00D44CDD"/>
    <w:rsid w:val="00D44D69"/>
    <w:rsid w:val="00D452C0"/>
    <w:rsid w:val="00D45310"/>
    <w:rsid w:val="00D46188"/>
    <w:rsid w:val="00D46206"/>
    <w:rsid w:val="00D462EC"/>
    <w:rsid w:val="00D46577"/>
    <w:rsid w:val="00D46A92"/>
    <w:rsid w:val="00D47210"/>
    <w:rsid w:val="00D4783B"/>
    <w:rsid w:val="00D478C9"/>
    <w:rsid w:val="00D479B5"/>
    <w:rsid w:val="00D47A0D"/>
    <w:rsid w:val="00D47A28"/>
    <w:rsid w:val="00D47C4C"/>
    <w:rsid w:val="00D47F83"/>
    <w:rsid w:val="00D50020"/>
    <w:rsid w:val="00D502CB"/>
    <w:rsid w:val="00D5085D"/>
    <w:rsid w:val="00D509D5"/>
    <w:rsid w:val="00D50B4D"/>
    <w:rsid w:val="00D50C25"/>
    <w:rsid w:val="00D50CD2"/>
    <w:rsid w:val="00D50D19"/>
    <w:rsid w:val="00D50EE9"/>
    <w:rsid w:val="00D51050"/>
    <w:rsid w:val="00D511B3"/>
    <w:rsid w:val="00D51A3B"/>
    <w:rsid w:val="00D51B2A"/>
    <w:rsid w:val="00D51DAD"/>
    <w:rsid w:val="00D51EF0"/>
    <w:rsid w:val="00D5203B"/>
    <w:rsid w:val="00D523C4"/>
    <w:rsid w:val="00D5264C"/>
    <w:rsid w:val="00D526C4"/>
    <w:rsid w:val="00D52867"/>
    <w:rsid w:val="00D52CEA"/>
    <w:rsid w:val="00D52D7A"/>
    <w:rsid w:val="00D52DE0"/>
    <w:rsid w:val="00D52F17"/>
    <w:rsid w:val="00D52FF8"/>
    <w:rsid w:val="00D53098"/>
    <w:rsid w:val="00D53336"/>
    <w:rsid w:val="00D53701"/>
    <w:rsid w:val="00D538CF"/>
    <w:rsid w:val="00D5398F"/>
    <w:rsid w:val="00D54139"/>
    <w:rsid w:val="00D5437E"/>
    <w:rsid w:val="00D544F9"/>
    <w:rsid w:val="00D54EE7"/>
    <w:rsid w:val="00D55032"/>
    <w:rsid w:val="00D551C3"/>
    <w:rsid w:val="00D55593"/>
    <w:rsid w:val="00D55615"/>
    <w:rsid w:val="00D55685"/>
    <w:rsid w:val="00D55767"/>
    <w:rsid w:val="00D55D2D"/>
    <w:rsid w:val="00D55ECE"/>
    <w:rsid w:val="00D5620B"/>
    <w:rsid w:val="00D5620F"/>
    <w:rsid w:val="00D5669D"/>
    <w:rsid w:val="00D5678E"/>
    <w:rsid w:val="00D567C8"/>
    <w:rsid w:val="00D567D0"/>
    <w:rsid w:val="00D57584"/>
    <w:rsid w:val="00D5795D"/>
    <w:rsid w:val="00D5799D"/>
    <w:rsid w:val="00D57F1F"/>
    <w:rsid w:val="00D60515"/>
    <w:rsid w:val="00D60667"/>
    <w:rsid w:val="00D6090E"/>
    <w:rsid w:val="00D60A34"/>
    <w:rsid w:val="00D60B47"/>
    <w:rsid w:val="00D60F0C"/>
    <w:rsid w:val="00D61044"/>
    <w:rsid w:val="00D612F8"/>
    <w:rsid w:val="00D61810"/>
    <w:rsid w:val="00D61906"/>
    <w:rsid w:val="00D61C6C"/>
    <w:rsid w:val="00D61FC2"/>
    <w:rsid w:val="00D62313"/>
    <w:rsid w:val="00D623BD"/>
    <w:rsid w:val="00D62886"/>
    <w:rsid w:val="00D62922"/>
    <w:rsid w:val="00D62A6F"/>
    <w:rsid w:val="00D62BC8"/>
    <w:rsid w:val="00D62CA0"/>
    <w:rsid w:val="00D62E90"/>
    <w:rsid w:val="00D62E96"/>
    <w:rsid w:val="00D632A6"/>
    <w:rsid w:val="00D63432"/>
    <w:rsid w:val="00D636F7"/>
    <w:rsid w:val="00D6381A"/>
    <w:rsid w:val="00D63A64"/>
    <w:rsid w:val="00D644B5"/>
    <w:rsid w:val="00D64BDF"/>
    <w:rsid w:val="00D64C83"/>
    <w:rsid w:val="00D64DA3"/>
    <w:rsid w:val="00D64F18"/>
    <w:rsid w:val="00D6576F"/>
    <w:rsid w:val="00D659B9"/>
    <w:rsid w:val="00D659C7"/>
    <w:rsid w:val="00D65B8A"/>
    <w:rsid w:val="00D65E28"/>
    <w:rsid w:val="00D6624A"/>
    <w:rsid w:val="00D6631B"/>
    <w:rsid w:val="00D66532"/>
    <w:rsid w:val="00D66591"/>
    <w:rsid w:val="00D667FA"/>
    <w:rsid w:val="00D6686E"/>
    <w:rsid w:val="00D66973"/>
    <w:rsid w:val="00D66A68"/>
    <w:rsid w:val="00D66C35"/>
    <w:rsid w:val="00D67284"/>
    <w:rsid w:val="00D701AB"/>
    <w:rsid w:val="00D701C4"/>
    <w:rsid w:val="00D7034D"/>
    <w:rsid w:val="00D70AA8"/>
    <w:rsid w:val="00D70C93"/>
    <w:rsid w:val="00D70D61"/>
    <w:rsid w:val="00D70E8B"/>
    <w:rsid w:val="00D7104D"/>
    <w:rsid w:val="00D719AC"/>
    <w:rsid w:val="00D71B18"/>
    <w:rsid w:val="00D71C46"/>
    <w:rsid w:val="00D71D95"/>
    <w:rsid w:val="00D71E10"/>
    <w:rsid w:val="00D71F2F"/>
    <w:rsid w:val="00D72212"/>
    <w:rsid w:val="00D72672"/>
    <w:rsid w:val="00D7294F"/>
    <w:rsid w:val="00D731BB"/>
    <w:rsid w:val="00D7335C"/>
    <w:rsid w:val="00D73426"/>
    <w:rsid w:val="00D73960"/>
    <w:rsid w:val="00D73BA2"/>
    <w:rsid w:val="00D73FC2"/>
    <w:rsid w:val="00D740DC"/>
    <w:rsid w:val="00D7412E"/>
    <w:rsid w:val="00D742DA"/>
    <w:rsid w:val="00D74371"/>
    <w:rsid w:val="00D74468"/>
    <w:rsid w:val="00D74498"/>
    <w:rsid w:val="00D74C67"/>
    <w:rsid w:val="00D74CE3"/>
    <w:rsid w:val="00D74D94"/>
    <w:rsid w:val="00D75105"/>
    <w:rsid w:val="00D7569C"/>
    <w:rsid w:val="00D75C2C"/>
    <w:rsid w:val="00D76450"/>
    <w:rsid w:val="00D765B1"/>
    <w:rsid w:val="00D76B80"/>
    <w:rsid w:val="00D76CC9"/>
    <w:rsid w:val="00D76DAA"/>
    <w:rsid w:val="00D76DB5"/>
    <w:rsid w:val="00D76E37"/>
    <w:rsid w:val="00D7702E"/>
    <w:rsid w:val="00D77366"/>
    <w:rsid w:val="00D779D2"/>
    <w:rsid w:val="00D77FE9"/>
    <w:rsid w:val="00D80219"/>
    <w:rsid w:val="00D804E1"/>
    <w:rsid w:val="00D808E7"/>
    <w:rsid w:val="00D80B1F"/>
    <w:rsid w:val="00D80C6E"/>
    <w:rsid w:val="00D8105F"/>
    <w:rsid w:val="00D810F3"/>
    <w:rsid w:val="00D815F1"/>
    <w:rsid w:val="00D81655"/>
    <w:rsid w:val="00D81BF8"/>
    <w:rsid w:val="00D81CD0"/>
    <w:rsid w:val="00D825ED"/>
    <w:rsid w:val="00D82BA1"/>
    <w:rsid w:val="00D82C89"/>
    <w:rsid w:val="00D82F98"/>
    <w:rsid w:val="00D832C4"/>
    <w:rsid w:val="00D8331C"/>
    <w:rsid w:val="00D83600"/>
    <w:rsid w:val="00D8364C"/>
    <w:rsid w:val="00D8378B"/>
    <w:rsid w:val="00D83EBB"/>
    <w:rsid w:val="00D83F1B"/>
    <w:rsid w:val="00D84288"/>
    <w:rsid w:val="00D84658"/>
    <w:rsid w:val="00D84B48"/>
    <w:rsid w:val="00D84CFC"/>
    <w:rsid w:val="00D84F3D"/>
    <w:rsid w:val="00D853E4"/>
    <w:rsid w:val="00D85646"/>
    <w:rsid w:val="00D8568F"/>
    <w:rsid w:val="00D857EE"/>
    <w:rsid w:val="00D85D90"/>
    <w:rsid w:val="00D85E70"/>
    <w:rsid w:val="00D8601B"/>
    <w:rsid w:val="00D86105"/>
    <w:rsid w:val="00D869A5"/>
    <w:rsid w:val="00D86C7E"/>
    <w:rsid w:val="00D86C93"/>
    <w:rsid w:val="00D86F1E"/>
    <w:rsid w:val="00D8715A"/>
    <w:rsid w:val="00D87550"/>
    <w:rsid w:val="00D8776B"/>
    <w:rsid w:val="00D877F2"/>
    <w:rsid w:val="00D8799E"/>
    <w:rsid w:val="00D9020F"/>
    <w:rsid w:val="00D90513"/>
    <w:rsid w:val="00D906BC"/>
    <w:rsid w:val="00D909AA"/>
    <w:rsid w:val="00D90AA1"/>
    <w:rsid w:val="00D90C9E"/>
    <w:rsid w:val="00D90F25"/>
    <w:rsid w:val="00D90FEB"/>
    <w:rsid w:val="00D91091"/>
    <w:rsid w:val="00D910ED"/>
    <w:rsid w:val="00D91892"/>
    <w:rsid w:val="00D91E6F"/>
    <w:rsid w:val="00D91F31"/>
    <w:rsid w:val="00D9212B"/>
    <w:rsid w:val="00D921E0"/>
    <w:rsid w:val="00D92660"/>
    <w:rsid w:val="00D928EB"/>
    <w:rsid w:val="00D92A10"/>
    <w:rsid w:val="00D92BFC"/>
    <w:rsid w:val="00D92C11"/>
    <w:rsid w:val="00D92D6B"/>
    <w:rsid w:val="00D92E13"/>
    <w:rsid w:val="00D92F80"/>
    <w:rsid w:val="00D92FFA"/>
    <w:rsid w:val="00D932EC"/>
    <w:rsid w:val="00D93308"/>
    <w:rsid w:val="00D933D0"/>
    <w:rsid w:val="00D938C8"/>
    <w:rsid w:val="00D93A30"/>
    <w:rsid w:val="00D93DDA"/>
    <w:rsid w:val="00D93FCF"/>
    <w:rsid w:val="00D940A7"/>
    <w:rsid w:val="00D94111"/>
    <w:rsid w:val="00D94207"/>
    <w:rsid w:val="00D94360"/>
    <w:rsid w:val="00D9468B"/>
    <w:rsid w:val="00D94950"/>
    <w:rsid w:val="00D94AC0"/>
    <w:rsid w:val="00D94E88"/>
    <w:rsid w:val="00D950ED"/>
    <w:rsid w:val="00D9531C"/>
    <w:rsid w:val="00D95335"/>
    <w:rsid w:val="00D953EC"/>
    <w:rsid w:val="00D9553B"/>
    <w:rsid w:val="00D95669"/>
    <w:rsid w:val="00D95798"/>
    <w:rsid w:val="00D95AFD"/>
    <w:rsid w:val="00D95C2C"/>
    <w:rsid w:val="00D95E24"/>
    <w:rsid w:val="00D95EAD"/>
    <w:rsid w:val="00D96585"/>
    <w:rsid w:val="00D96810"/>
    <w:rsid w:val="00D96C3C"/>
    <w:rsid w:val="00D9706D"/>
    <w:rsid w:val="00D973AD"/>
    <w:rsid w:val="00D9778B"/>
    <w:rsid w:val="00D9780A"/>
    <w:rsid w:val="00D97981"/>
    <w:rsid w:val="00D979DC"/>
    <w:rsid w:val="00D97B9F"/>
    <w:rsid w:val="00DA0482"/>
    <w:rsid w:val="00DA0805"/>
    <w:rsid w:val="00DA0866"/>
    <w:rsid w:val="00DA0BB1"/>
    <w:rsid w:val="00DA0F1F"/>
    <w:rsid w:val="00DA109B"/>
    <w:rsid w:val="00DA18DD"/>
    <w:rsid w:val="00DA1C0C"/>
    <w:rsid w:val="00DA1C63"/>
    <w:rsid w:val="00DA1E5A"/>
    <w:rsid w:val="00DA2040"/>
    <w:rsid w:val="00DA228B"/>
    <w:rsid w:val="00DA251D"/>
    <w:rsid w:val="00DA25C4"/>
    <w:rsid w:val="00DA26F3"/>
    <w:rsid w:val="00DA27DF"/>
    <w:rsid w:val="00DA294B"/>
    <w:rsid w:val="00DA2D4F"/>
    <w:rsid w:val="00DA2FF6"/>
    <w:rsid w:val="00DA3224"/>
    <w:rsid w:val="00DA3493"/>
    <w:rsid w:val="00DA3BAF"/>
    <w:rsid w:val="00DA3DE6"/>
    <w:rsid w:val="00DA3DFC"/>
    <w:rsid w:val="00DA3F91"/>
    <w:rsid w:val="00DA43A3"/>
    <w:rsid w:val="00DA4990"/>
    <w:rsid w:val="00DA4A21"/>
    <w:rsid w:val="00DA4AB1"/>
    <w:rsid w:val="00DA4BA3"/>
    <w:rsid w:val="00DA4CB2"/>
    <w:rsid w:val="00DA4DA2"/>
    <w:rsid w:val="00DA5863"/>
    <w:rsid w:val="00DA5A14"/>
    <w:rsid w:val="00DA5B59"/>
    <w:rsid w:val="00DA6270"/>
    <w:rsid w:val="00DA6431"/>
    <w:rsid w:val="00DA6A6C"/>
    <w:rsid w:val="00DA6B99"/>
    <w:rsid w:val="00DA6BF3"/>
    <w:rsid w:val="00DA6D7B"/>
    <w:rsid w:val="00DA6FD3"/>
    <w:rsid w:val="00DA70AC"/>
    <w:rsid w:val="00DA735A"/>
    <w:rsid w:val="00DA7830"/>
    <w:rsid w:val="00DA7AA8"/>
    <w:rsid w:val="00DA7C57"/>
    <w:rsid w:val="00DA7FD0"/>
    <w:rsid w:val="00DB01CA"/>
    <w:rsid w:val="00DB04D3"/>
    <w:rsid w:val="00DB0536"/>
    <w:rsid w:val="00DB09FE"/>
    <w:rsid w:val="00DB0A99"/>
    <w:rsid w:val="00DB0B93"/>
    <w:rsid w:val="00DB0BCB"/>
    <w:rsid w:val="00DB0D49"/>
    <w:rsid w:val="00DB0F98"/>
    <w:rsid w:val="00DB1118"/>
    <w:rsid w:val="00DB1138"/>
    <w:rsid w:val="00DB1416"/>
    <w:rsid w:val="00DB19FA"/>
    <w:rsid w:val="00DB1E61"/>
    <w:rsid w:val="00DB2255"/>
    <w:rsid w:val="00DB23F0"/>
    <w:rsid w:val="00DB2A00"/>
    <w:rsid w:val="00DB2AF8"/>
    <w:rsid w:val="00DB2B86"/>
    <w:rsid w:val="00DB2BE8"/>
    <w:rsid w:val="00DB2C9E"/>
    <w:rsid w:val="00DB2F55"/>
    <w:rsid w:val="00DB345F"/>
    <w:rsid w:val="00DB36E5"/>
    <w:rsid w:val="00DB381F"/>
    <w:rsid w:val="00DB4097"/>
    <w:rsid w:val="00DB4507"/>
    <w:rsid w:val="00DB48EF"/>
    <w:rsid w:val="00DB4D72"/>
    <w:rsid w:val="00DB54F9"/>
    <w:rsid w:val="00DB55C0"/>
    <w:rsid w:val="00DB57BA"/>
    <w:rsid w:val="00DB5A22"/>
    <w:rsid w:val="00DB5A6D"/>
    <w:rsid w:val="00DB5C38"/>
    <w:rsid w:val="00DB5DC9"/>
    <w:rsid w:val="00DB637B"/>
    <w:rsid w:val="00DB65A2"/>
    <w:rsid w:val="00DB6638"/>
    <w:rsid w:val="00DB676B"/>
    <w:rsid w:val="00DB6850"/>
    <w:rsid w:val="00DB6E3E"/>
    <w:rsid w:val="00DB6F29"/>
    <w:rsid w:val="00DB7131"/>
    <w:rsid w:val="00DB72F7"/>
    <w:rsid w:val="00DB7431"/>
    <w:rsid w:val="00DB781C"/>
    <w:rsid w:val="00DB7962"/>
    <w:rsid w:val="00DB7A60"/>
    <w:rsid w:val="00DB7B7F"/>
    <w:rsid w:val="00DB7BB8"/>
    <w:rsid w:val="00DC00F2"/>
    <w:rsid w:val="00DC0637"/>
    <w:rsid w:val="00DC0733"/>
    <w:rsid w:val="00DC084B"/>
    <w:rsid w:val="00DC1198"/>
    <w:rsid w:val="00DC12E8"/>
    <w:rsid w:val="00DC169D"/>
    <w:rsid w:val="00DC16A3"/>
    <w:rsid w:val="00DC1714"/>
    <w:rsid w:val="00DC19AC"/>
    <w:rsid w:val="00DC1ABF"/>
    <w:rsid w:val="00DC1BC7"/>
    <w:rsid w:val="00DC2666"/>
    <w:rsid w:val="00DC2A13"/>
    <w:rsid w:val="00DC349D"/>
    <w:rsid w:val="00DC356B"/>
    <w:rsid w:val="00DC363F"/>
    <w:rsid w:val="00DC3871"/>
    <w:rsid w:val="00DC398B"/>
    <w:rsid w:val="00DC41A7"/>
    <w:rsid w:val="00DC431B"/>
    <w:rsid w:val="00DC46AC"/>
    <w:rsid w:val="00DC478D"/>
    <w:rsid w:val="00DC48AE"/>
    <w:rsid w:val="00DC4C99"/>
    <w:rsid w:val="00DC4E9E"/>
    <w:rsid w:val="00DC5394"/>
    <w:rsid w:val="00DC5450"/>
    <w:rsid w:val="00DC5AB7"/>
    <w:rsid w:val="00DC5BAB"/>
    <w:rsid w:val="00DC5BC4"/>
    <w:rsid w:val="00DC647D"/>
    <w:rsid w:val="00DC6ADE"/>
    <w:rsid w:val="00DC6C6D"/>
    <w:rsid w:val="00DC6EAE"/>
    <w:rsid w:val="00DC70AD"/>
    <w:rsid w:val="00DC7628"/>
    <w:rsid w:val="00DC77C0"/>
    <w:rsid w:val="00DC78DA"/>
    <w:rsid w:val="00DC7A5A"/>
    <w:rsid w:val="00DC7D49"/>
    <w:rsid w:val="00DD013E"/>
    <w:rsid w:val="00DD0340"/>
    <w:rsid w:val="00DD075D"/>
    <w:rsid w:val="00DD07ED"/>
    <w:rsid w:val="00DD0829"/>
    <w:rsid w:val="00DD0E5F"/>
    <w:rsid w:val="00DD12E6"/>
    <w:rsid w:val="00DD13BF"/>
    <w:rsid w:val="00DD154F"/>
    <w:rsid w:val="00DD15B1"/>
    <w:rsid w:val="00DD1659"/>
    <w:rsid w:val="00DD1988"/>
    <w:rsid w:val="00DD1F12"/>
    <w:rsid w:val="00DD2112"/>
    <w:rsid w:val="00DD216C"/>
    <w:rsid w:val="00DD2488"/>
    <w:rsid w:val="00DD24C5"/>
    <w:rsid w:val="00DD2510"/>
    <w:rsid w:val="00DD2959"/>
    <w:rsid w:val="00DD2C70"/>
    <w:rsid w:val="00DD2D0C"/>
    <w:rsid w:val="00DD2FCC"/>
    <w:rsid w:val="00DD3359"/>
    <w:rsid w:val="00DD356E"/>
    <w:rsid w:val="00DD3BB7"/>
    <w:rsid w:val="00DD4074"/>
    <w:rsid w:val="00DD42B0"/>
    <w:rsid w:val="00DD436E"/>
    <w:rsid w:val="00DD467A"/>
    <w:rsid w:val="00DD476D"/>
    <w:rsid w:val="00DD47E5"/>
    <w:rsid w:val="00DD4ABC"/>
    <w:rsid w:val="00DD4FBA"/>
    <w:rsid w:val="00DD5526"/>
    <w:rsid w:val="00DD587C"/>
    <w:rsid w:val="00DD597D"/>
    <w:rsid w:val="00DD5AB7"/>
    <w:rsid w:val="00DD5B70"/>
    <w:rsid w:val="00DD5BF9"/>
    <w:rsid w:val="00DD5E93"/>
    <w:rsid w:val="00DD645D"/>
    <w:rsid w:val="00DD64E8"/>
    <w:rsid w:val="00DD650A"/>
    <w:rsid w:val="00DD6535"/>
    <w:rsid w:val="00DD6B71"/>
    <w:rsid w:val="00DD6D97"/>
    <w:rsid w:val="00DD6E41"/>
    <w:rsid w:val="00DD6EDC"/>
    <w:rsid w:val="00DD7274"/>
    <w:rsid w:val="00DD767C"/>
    <w:rsid w:val="00DD77B9"/>
    <w:rsid w:val="00DD78EA"/>
    <w:rsid w:val="00DD7CCB"/>
    <w:rsid w:val="00DD7DE1"/>
    <w:rsid w:val="00DD7E52"/>
    <w:rsid w:val="00DD7FAD"/>
    <w:rsid w:val="00DE0029"/>
    <w:rsid w:val="00DE0188"/>
    <w:rsid w:val="00DE01DD"/>
    <w:rsid w:val="00DE030B"/>
    <w:rsid w:val="00DE0377"/>
    <w:rsid w:val="00DE0498"/>
    <w:rsid w:val="00DE059C"/>
    <w:rsid w:val="00DE0ACB"/>
    <w:rsid w:val="00DE0BCF"/>
    <w:rsid w:val="00DE0DA7"/>
    <w:rsid w:val="00DE0E2B"/>
    <w:rsid w:val="00DE1004"/>
    <w:rsid w:val="00DE2600"/>
    <w:rsid w:val="00DE26B9"/>
    <w:rsid w:val="00DE2A04"/>
    <w:rsid w:val="00DE2AAC"/>
    <w:rsid w:val="00DE2B4A"/>
    <w:rsid w:val="00DE2DB2"/>
    <w:rsid w:val="00DE2E73"/>
    <w:rsid w:val="00DE2EAE"/>
    <w:rsid w:val="00DE3261"/>
    <w:rsid w:val="00DE3510"/>
    <w:rsid w:val="00DE37DE"/>
    <w:rsid w:val="00DE3D0C"/>
    <w:rsid w:val="00DE413D"/>
    <w:rsid w:val="00DE4437"/>
    <w:rsid w:val="00DE461D"/>
    <w:rsid w:val="00DE477A"/>
    <w:rsid w:val="00DE4A69"/>
    <w:rsid w:val="00DE4B2E"/>
    <w:rsid w:val="00DE4C7C"/>
    <w:rsid w:val="00DE4E8C"/>
    <w:rsid w:val="00DE4ECE"/>
    <w:rsid w:val="00DE4F3A"/>
    <w:rsid w:val="00DE5097"/>
    <w:rsid w:val="00DE51C9"/>
    <w:rsid w:val="00DE54E6"/>
    <w:rsid w:val="00DE5657"/>
    <w:rsid w:val="00DE5718"/>
    <w:rsid w:val="00DE5849"/>
    <w:rsid w:val="00DE5A0F"/>
    <w:rsid w:val="00DE5A28"/>
    <w:rsid w:val="00DE5B48"/>
    <w:rsid w:val="00DE5E89"/>
    <w:rsid w:val="00DE647E"/>
    <w:rsid w:val="00DE66E6"/>
    <w:rsid w:val="00DE69E5"/>
    <w:rsid w:val="00DE6C0D"/>
    <w:rsid w:val="00DE6FA7"/>
    <w:rsid w:val="00DE72B0"/>
    <w:rsid w:val="00DE75ED"/>
    <w:rsid w:val="00DE77C7"/>
    <w:rsid w:val="00DE7B3C"/>
    <w:rsid w:val="00DE7E63"/>
    <w:rsid w:val="00DF0250"/>
    <w:rsid w:val="00DF0537"/>
    <w:rsid w:val="00DF079E"/>
    <w:rsid w:val="00DF07E9"/>
    <w:rsid w:val="00DF083B"/>
    <w:rsid w:val="00DF0B79"/>
    <w:rsid w:val="00DF0BD6"/>
    <w:rsid w:val="00DF0CC8"/>
    <w:rsid w:val="00DF1050"/>
    <w:rsid w:val="00DF1171"/>
    <w:rsid w:val="00DF1266"/>
    <w:rsid w:val="00DF1619"/>
    <w:rsid w:val="00DF1D35"/>
    <w:rsid w:val="00DF1E05"/>
    <w:rsid w:val="00DF205B"/>
    <w:rsid w:val="00DF249C"/>
    <w:rsid w:val="00DF2DBB"/>
    <w:rsid w:val="00DF2E2B"/>
    <w:rsid w:val="00DF3059"/>
    <w:rsid w:val="00DF3821"/>
    <w:rsid w:val="00DF387C"/>
    <w:rsid w:val="00DF3E7E"/>
    <w:rsid w:val="00DF49AC"/>
    <w:rsid w:val="00DF4A97"/>
    <w:rsid w:val="00DF4AE5"/>
    <w:rsid w:val="00DF4C6C"/>
    <w:rsid w:val="00DF4EF6"/>
    <w:rsid w:val="00DF53C0"/>
    <w:rsid w:val="00DF5453"/>
    <w:rsid w:val="00DF54DF"/>
    <w:rsid w:val="00DF56FC"/>
    <w:rsid w:val="00DF5934"/>
    <w:rsid w:val="00DF5AC4"/>
    <w:rsid w:val="00DF5C13"/>
    <w:rsid w:val="00DF6057"/>
    <w:rsid w:val="00DF60AB"/>
    <w:rsid w:val="00DF668C"/>
    <w:rsid w:val="00DF6747"/>
    <w:rsid w:val="00DF71F1"/>
    <w:rsid w:val="00DF749B"/>
    <w:rsid w:val="00DF76AD"/>
    <w:rsid w:val="00DF76C3"/>
    <w:rsid w:val="00DF78A7"/>
    <w:rsid w:val="00DF7C53"/>
    <w:rsid w:val="00DF7E2D"/>
    <w:rsid w:val="00E00313"/>
    <w:rsid w:val="00E00483"/>
    <w:rsid w:val="00E0053A"/>
    <w:rsid w:val="00E00671"/>
    <w:rsid w:val="00E00856"/>
    <w:rsid w:val="00E0085F"/>
    <w:rsid w:val="00E01689"/>
    <w:rsid w:val="00E0169F"/>
    <w:rsid w:val="00E016AC"/>
    <w:rsid w:val="00E018C6"/>
    <w:rsid w:val="00E01B0E"/>
    <w:rsid w:val="00E01CB4"/>
    <w:rsid w:val="00E01F0E"/>
    <w:rsid w:val="00E0206B"/>
    <w:rsid w:val="00E0231F"/>
    <w:rsid w:val="00E0245A"/>
    <w:rsid w:val="00E024A4"/>
    <w:rsid w:val="00E024CC"/>
    <w:rsid w:val="00E02665"/>
    <w:rsid w:val="00E02AC8"/>
    <w:rsid w:val="00E02D0A"/>
    <w:rsid w:val="00E02DB3"/>
    <w:rsid w:val="00E02EFB"/>
    <w:rsid w:val="00E0302E"/>
    <w:rsid w:val="00E030A4"/>
    <w:rsid w:val="00E0360E"/>
    <w:rsid w:val="00E03982"/>
    <w:rsid w:val="00E03B64"/>
    <w:rsid w:val="00E03D75"/>
    <w:rsid w:val="00E03E1D"/>
    <w:rsid w:val="00E0409C"/>
    <w:rsid w:val="00E042A4"/>
    <w:rsid w:val="00E042EC"/>
    <w:rsid w:val="00E04358"/>
    <w:rsid w:val="00E0464F"/>
    <w:rsid w:val="00E048AF"/>
    <w:rsid w:val="00E049F2"/>
    <w:rsid w:val="00E04E87"/>
    <w:rsid w:val="00E05087"/>
    <w:rsid w:val="00E0533C"/>
    <w:rsid w:val="00E0538E"/>
    <w:rsid w:val="00E0569D"/>
    <w:rsid w:val="00E056A4"/>
    <w:rsid w:val="00E056C5"/>
    <w:rsid w:val="00E05DDC"/>
    <w:rsid w:val="00E06039"/>
    <w:rsid w:val="00E0660A"/>
    <w:rsid w:val="00E0676A"/>
    <w:rsid w:val="00E069A2"/>
    <w:rsid w:val="00E06A1A"/>
    <w:rsid w:val="00E06BE1"/>
    <w:rsid w:val="00E06D88"/>
    <w:rsid w:val="00E06E15"/>
    <w:rsid w:val="00E10179"/>
    <w:rsid w:val="00E10205"/>
    <w:rsid w:val="00E1070B"/>
    <w:rsid w:val="00E1089F"/>
    <w:rsid w:val="00E10A33"/>
    <w:rsid w:val="00E10E67"/>
    <w:rsid w:val="00E10EA5"/>
    <w:rsid w:val="00E1132F"/>
    <w:rsid w:val="00E11A16"/>
    <w:rsid w:val="00E11D1B"/>
    <w:rsid w:val="00E11FD4"/>
    <w:rsid w:val="00E12027"/>
    <w:rsid w:val="00E12368"/>
    <w:rsid w:val="00E12492"/>
    <w:rsid w:val="00E128BC"/>
    <w:rsid w:val="00E128F8"/>
    <w:rsid w:val="00E13137"/>
    <w:rsid w:val="00E13283"/>
    <w:rsid w:val="00E132A3"/>
    <w:rsid w:val="00E135DE"/>
    <w:rsid w:val="00E13865"/>
    <w:rsid w:val="00E138F1"/>
    <w:rsid w:val="00E13AAC"/>
    <w:rsid w:val="00E13C9B"/>
    <w:rsid w:val="00E13DC5"/>
    <w:rsid w:val="00E13EDE"/>
    <w:rsid w:val="00E13F5B"/>
    <w:rsid w:val="00E14013"/>
    <w:rsid w:val="00E14226"/>
    <w:rsid w:val="00E14252"/>
    <w:rsid w:val="00E14669"/>
    <w:rsid w:val="00E1478A"/>
    <w:rsid w:val="00E147AA"/>
    <w:rsid w:val="00E14DFD"/>
    <w:rsid w:val="00E152DA"/>
    <w:rsid w:val="00E1594D"/>
    <w:rsid w:val="00E15F82"/>
    <w:rsid w:val="00E16243"/>
    <w:rsid w:val="00E16D52"/>
    <w:rsid w:val="00E16EDA"/>
    <w:rsid w:val="00E16F79"/>
    <w:rsid w:val="00E16F90"/>
    <w:rsid w:val="00E16FFF"/>
    <w:rsid w:val="00E17047"/>
    <w:rsid w:val="00E173A7"/>
    <w:rsid w:val="00E174AB"/>
    <w:rsid w:val="00E175E6"/>
    <w:rsid w:val="00E17717"/>
    <w:rsid w:val="00E17881"/>
    <w:rsid w:val="00E17B8F"/>
    <w:rsid w:val="00E17E6C"/>
    <w:rsid w:val="00E203E4"/>
    <w:rsid w:val="00E203EA"/>
    <w:rsid w:val="00E2066D"/>
    <w:rsid w:val="00E20727"/>
    <w:rsid w:val="00E20FF8"/>
    <w:rsid w:val="00E2102D"/>
    <w:rsid w:val="00E21397"/>
    <w:rsid w:val="00E2154C"/>
    <w:rsid w:val="00E21593"/>
    <w:rsid w:val="00E2178E"/>
    <w:rsid w:val="00E22310"/>
    <w:rsid w:val="00E22511"/>
    <w:rsid w:val="00E226A7"/>
    <w:rsid w:val="00E22B37"/>
    <w:rsid w:val="00E22BCC"/>
    <w:rsid w:val="00E22CAB"/>
    <w:rsid w:val="00E22F1C"/>
    <w:rsid w:val="00E22F29"/>
    <w:rsid w:val="00E2320C"/>
    <w:rsid w:val="00E232A0"/>
    <w:rsid w:val="00E23667"/>
    <w:rsid w:val="00E2368E"/>
    <w:rsid w:val="00E23759"/>
    <w:rsid w:val="00E237A6"/>
    <w:rsid w:val="00E24609"/>
    <w:rsid w:val="00E24710"/>
    <w:rsid w:val="00E24761"/>
    <w:rsid w:val="00E24982"/>
    <w:rsid w:val="00E249E0"/>
    <w:rsid w:val="00E24BA9"/>
    <w:rsid w:val="00E24E2D"/>
    <w:rsid w:val="00E2508C"/>
    <w:rsid w:val="00E25133"/>
    <w:rsid w:val="00E255B8"/>
    <w:rsid w:val="00E255D2"/>
    <w:rsid w:val="00E25DF5"/>
    <w:rsid w:val="00E261F2"/>
    <w:rsid w:val="00E26224"/>
    <w:rsid w:val="00E264C8"/>
    <w:rsid w:val="00E266B5"/>
    <w:rsid w:val="00E2676D"/>
    <w:rsid w:val="00E26903"/>
    <w:rsid w:val="00E26B5C"/>
    <w:rsid w:val="00E26DBD"/>
    <w:rsid w:val="00E26E0E"/>
    <w:rsid w:val="00E27CB9"/>
    <w:rsid w:val="00E30044"/>
    <w:rsid w:val="00E30137"/>
    <w:rsid w:val="00E3014F"/>
    <w:rsid w:val="00E30368"/>
    <w:rsid w:val="00E3038E"/>
    <w:rsid w:val="00E30457"/>
    <w:rsid w:val="00E305AE"/>
    <w:rsid w:val="00E3065F"/>
    <w:rsid w:val="00E30661"/>
    <w:rsid w:val="00E30BE2"/>
    <w:rsid w:val="00E3103A"/>
    <w:rsid w:val="00E316FF"/>
    <w:rsid w:val="00E318E9"/>
    <w:rsid w:val="00E31A99"/>
    <w:rsid w:val="00E31D61"/>
    <w:rsid w:val="00E321DB"/>
    <w:rsid w:val="00E32228"/>
    <w:rsid w:val="00E32D12"/>
    <w:rsid w:val="00E32EAB"/>
    <w:rsid w:val="00E330E7"/>
    <w:rsid w:val="00E334B5"/>
    <w:rsid w:val="00E33821"/>
    <w:rsid w:val="00E33B9E"/>
    <w:rsid w:val="00E346D5"/>
    <w:rsid w:val="00E34BFC"/>
    <w:rsid w:val="00E34CA7"/>
    <w:rsid w:val="00E350D6"/>
    <w:rsid w:val="00E35380"/>
    <w:rsid w:val="00E35899"/>
    <w:rsid w:val="00E35A72"/>
    <w:rsid w:val="00E35B33"/>
    <w:rsid w:val="00E35C6A"/>
    <w:rsid w:val="00E35D65"/>
    <w:rsid w:val="00E36131"/>
    <w:rsid w:val="00E361CC"/>
    <w:rsid w:val="00E366E1"/>
    <w:rsid w:val="00E36A78"/>
    <w:rsid w:val="00E370DC"/>
    <w:rsid w:val="00E37289"/>
    <w:rsid w:val="00E378D3"/>
    <w:rsid w:val="00E37A02"/>
    <w:rsid w:val="00E40417"/>
    <w:rsid w:val="00E4059A"/>
    <w:rsid w:val="00E4066F"/>
    <w:rsid w:val="00E40F5F"/>
    <w:rsid w:val="00E413D8"/>
    <w:rsid w:val="00E41DCC"/>
    <w:rsid w:val="00E41E8E"/>
    <w:rsid w:val="00E42591"/>
    <w:rsid w:val="00E42700"/>
    <w:rsid w:val="00E42789"/>
    <w:rsid w:val="00E42CBC"/>
    <w:rsid w:val="00E42D7F"/>
    <w:rsid w:val="00E4309A"/>
    <w:rsid w:val="00E43323"/>
    <w:rsid w:val="00E4353C"/>
    <w:rsid w:val="00E43666"/>
    <w:rsid w:val="00E4384D"/>
    <w:rsid w:val="00E439CE"/>
    <w:rsid w:val="00E43FDA"/>
    <w:rsid w:val="00E445B5"/>
    <w:rsid w:val="00E445D0"/>
    <w:rsid w:val="00E445E7"/>
    <w:rsid w:val="00E4492E"/>
    <w:rsid w:val="00E44A77"/>
    <w:rsid w:val="00E44B6C"/>
    <w:rsid w:val="00E44D9C"/>
    <w:rsid w:val="00E44FF0"/>
    <w:rsid w:val="00E45CFF"/>
    <w:rsid w:val="00E45FC3"/>
    <w:rsid w:val="00E46105"/>
    <w:rsid w:val="00E46382"/>
    <w:rsid w:val="00E4681B"/>
    <w:rsid w:val="00E468C3"/>
    <w:rsid w:val="00E469BB"/>
    <w:rsid w:val="00E46A13"/>
    <w:rsid w:val="00E46C0C"/>
    <w:rsid w:val="00E46D66"/>
    <w:rsid w:val="00E46E73"/>
    <w:rsid w:val="00E4742E"/>
    <w:rsid w:val="00E47504"/>
    <w:rsid w:val="00E4786A"/>
    <w:rsid w:val="00E47B21"/>
    <w:rsid w:val="00E47BC6"/>
    <w:rsid w:val="00E47F80"/>
    <w:rsid w:val="00E50022"/>
    <w:rsid w:val="00E50097"/>
    <w:rsid w:val="00E508A3"/>
    <w:rsid w:val="00E50AF8"/>
    <w:rsid w:val="00E50C07"/>
    <w:rsid w:val="00E50CD1"/>
    <w:rsid w:val="00E51102"/>
    <w:rsid w:val="00E5110F"/>
    <w:rsid w:val="00E5121F"/>
    <w:rsid w:val="00E514A8"/>
    <w:rsid w:val="00E516A2"/>
    <w:rsid w:val="00E51EA3"/>
    <w:rsid w:val="00E51F15"/>
    <w:rsid w:val="00E52192"/>
    <w:rsid w:val="00E523B3"/>
    <w:rsid w:val="00E52410"/>
    <w:rsid w:val="00E52960"/>
    <w:rsid w:val="00E529BE"/>
    <w:rsid w:val="00E52CC9"/>
    <w:rsid w:val="00E53364"/>
    <w:rsid w:val="00E53A5B"/>
    <w:rsid w:val="00E53B2B"/>
    <w:rsid w:val="00E53F2C"/>
    <w:rsid w:val="00E53FD9"/>
    <w:rsid w:val="00E5426E"/>
    <w:rsid w:val="00E54581"/>
    <w:rsid w:val="00E547E5"/>
    <w:rsid w:val="00E549BB"/>
    <w:rsid w:val="00E54E61"/>
    <w:rsid w:val="00E5512F"/>
    <w:rsid w:val="00E55BE7"/>
    <w:rsid w:val="00E55DE1"/>
    <w:rsid w:val="00E5622C"/>
    <w:rsid w:val="00E5636D"/>
    <w:rsid w:val="00E564B0"/>
    <w:rsid w:val="00E56597"/>
    <w:rsid w:val="00E568D8"/>
    <w:rsid w:val="00E568EA"/>
    <w:rsid w:val="00E56947"/>
    <w:rsid w:val="00E56BB5"/>
    <w:rsid w:val="00E575D0"/>
    <w:rsid w:val="00E57A4A"/>
    <w:rsid w:val="00E57F50"/>
    <w:rsid w:val="00E60488"/>
    <w:rsid w:val="00E60599"/>
    <w:rsid w:val="00E60D34"/>
    <w:rsid w:val="00E60DED"/>
    <w:rsid w:val="00E61036"/>
    <w:rsid w:val="00E6108F"/>
    <w:rsid w:val="00E6131B"/>
    <w:rsid w:val="00E61438"/>
    <w:rsid w:val="00E6158D"/>
    <w:rsid w:val="00E619DA"/>
    <w:rsid w:val="00E61A03"/>
    <w:rsid w:val="00E61A24"/>
    <w:rsid w:val="00E61A34"/>
    <w:rsid w:val="00E61B3D"/>
    <w:rsid w:val="00E61D6D"/>
    <w:rsid w:val="00E61D74"/>
    <w:rsid w:val="00E61E5B"/>
    <w:rsid w:val="00E62264"/>
    <w:rsid w:val="00E6294C"/>
    <w:rsid w:val="00E62DB0"/>
    <w:rsid w:val="00E630C9"/>
    <w:rsid w:val="00E632D7"/>
    <w:rsid w:val="00E6344E"/>
    <w:rsid w:val="00E6347E"/>
    <w:rsid w:val="00E6361A"/>
    <w:rsid w:val="00E638B1"/>
    <w:rsid w:val="00E63BF7"/>
    <w:rsid w:val="00E63D4C"/>
    <w:rsid w:val="00E63DAD"/>
    <w:rsid w:val="00E644A2"/>
    <w:rsid w:val="00E647E3"/>
    <w:rsid w:val="00E64849"/>
    <w:rsid w:val="00E64A8A"/>
    <w:rsid w:val="00E64C09"/>
    <w:rsid w:val="00E64D86"/>
    <w:rsid w:val="00E65530"/>
    <w:rsid w:val="00E6574F"/>
    <w:rsid w:val="00E6587B"/>
    <w:rsid w:val="00E65AAF"/>
    <w:rsid w:val="00E65B02"/>
    <w:rsid w:val="00E65C09"/>
    <w:rsid w:val="00E65CDC"/>
    <w:rsid w:val="00E661FE"/>
    <w:rsid w:val="00E6638C"/>
    <w:rsid w:val="00E663AA"/>
    <w:rsid w:val="00E66451"/>
    <w:rsid w:val="00E6664E"/>
    <w:rsid w:val="00E667BE"/>
    <w:rsid w:val="00E66928"/>
    <w:rsid w:val="00E6693E"/>
    <w:rsid w:val="00E6694A"/>
    <w:rsid w:val="00E6746C"/>
    <w:rsid w:val="00E67AF4"/>
    <w:rsid w:val="00E67DC2"/>
    <w:rsid w:val="00E67F3F"/>
    <w:rsid w:val="00E7042B"/>
    <w:rsid w:val="00E70560"/>
    <w:rsid w:val="00E70847"/>
    <w:rsid w:val="00E70B9F"/>
    <w:rsid w:val="00E7166F"/>
    <w:rsid w:val="00E71BAD"/>
    <w:rsid w:val="00E71C96"/>
    <w:rsid w:val="00E7211C"/>
    <w:rsid w:val="00E72124"/>
    <w:rsid w:val="00E72168"/>
    <w:rsid w:val="00E72291"/>
    <w:rsid w:val="00E7293E"/>
    <w:rsid w:val="00E72B58"/>
    <w:rsid w:val="00E72B72"/>
    <w:rsid w:val="00E72C2E"/>
    <w:rsid w:val="00E72CEA"/>
    <w:rsid w:val="00E72D48"/>
    <w:rsid w:val="00E72DEE"/>
    <w:rsid w:val="00E7355A"/>
    <w:rsid w:val="00E737E5"/>
    <w:rsid w:val="00E74017"/>
    <w:rsid w:val="00E74049"/>
    <w:rsid w:val="00E74076"/>
    <w:rsid w:val="00E7418D"/>
    <w:rsid w:val="00E745A4"/>
    <w:rsid w:val="00E75732"/>
    <w:rsid w:val="00E759A0"/>
    <w:rsid w:val="00E759D4"/>
    <w:rsid w:val="00E75AB2"/>
    <w:rsid w:val="00E75BD2"/>
    <w:rsid w:val="00E75C65"/>
    <w:rsid w:val="00E75ECC"/>
    <w:rsid w:val="00E76045"/>
    <w:rsid w:val="00E76941"/>
    <w:rsid w:val="00E7730B"/>
    <w:rsid w:val="00E7749D"/>
    <w:rsid w:val="00E77749"/>
    <w:rsid w:val="00E779EB"/>
    <w:rsid w:val="00E77C56"/>
    <w:rsid w:val="00E77FF0"/>
    <w:rsid w:val="00E80646"/>
    <w:rsid w:val="00E807EB"/>
    <w:rsid w:val="00E80A98"/>
    <w:rsid w:val="00E80D2C"/>
    <w:rsid w:val="00E81535"/>
    <w:rsid w:val="00E81938"/>
    <w:rsid w:val="00E81C0D"/>
    <w:rsid w:val="00E82A4B"/>
    <w:rsid w:val="00E82C6A"/>
    <w:rsid w:val="00E82D76"/>
    <w:rsid w:val="00E83900"/>
    <w:rsid w:val="00E83D9F"/>
    <w:rsid w:val="00E84226"/>
    <w:rsid w:val="00E842D8"/>
    <w:rsid w:val="00E84515"/>
    <w:rsid w:val="00E84624"/>
    <w:rsid w:val="00E846C5"/>
    <w:rsid w:val="00E84755"/>
    <w:rsid w:val="00E84780"/>
    <w:rsid w:val="00E84808"/>
    <w:rsid w:val="00E848A2"/>
    <w:rsid w:val="00E84946"/>
    <w:rsid w:val="00E84A5B"/>
    <w:rsid w:val="00E84C7C"/>
    <w:rsid w:val="00E85046"/>
    <w:rsid w:val="00E853CD"/>
    <w:rsid w:val="00E85465"/>
    <w:rsid w:val="00E854F8"/>
    <w:rsid w:val="00E855D2"/>
    <w:rsid w:val="00E85951"/>
    <w:rsid w:val="00E863A4"/>
    <w:rsid w:val="00E86A93"/>
    <w:rsid w:val="00E86BF6"/>
    <w:rsid w:val="00E870DC"/>
    <w:rsid w:val="00E87620"/>
    <w:rsid w:val="00E87C94"/>
    <w:rsid w:val="00E87CB6"/>
    <w:rsid w:val="00E87F3F"/>
    <w:rsid w:val="00E87FE8"/>
    <w:rsid w:val="00E90545"/>
    <w:rsid w:val="00E909C3"/>
    <w:rsid w:val="00E911E0"/>
    <w:rsid w:val="00E9127C"/>
    <w:rsid w:val="00E912E5"/>
    <w:rsid w:val="00E91514"/>
    <w:rsid w:val="00E916EB"/>
    <w:rsid w:val="00E919AA"/>
    <w:rsid w:val="00E91EB5"/>
    <w:rsid w:val="00E92055"/>
    <w:rsid w:val="00E9211B"/>
    <w:rsid w:val="00E92723"/>
    <w:rsid w:val="00E92B53"/>
    <w:rsid w:val="00E92B59"/>
    <w:rsid w:val="00E92E27"/>
    <w:rsid w:val="00E92ED4"/>
    <w:rsid w:val="00E93042"/>
    <w:rsid w:val="00E930BE"/>
    <w:rsid w:val="00E93590"/>
    <w:rsid w:val="00E937D6"/>
    <w:rsid w:val="00E938E4"/>
    <w:rsid w:val="00E93ADE"/>
    <w:rsid w:val="00E93E31"/>
    <w:rsid w:val="00E94228"/>
    <w:rsid w:val="00E942E3"/>
    <w:rsid w:val="00E94B96"/>
    <w:rsid w:val="00E94E6C"/>
    <w:rsid w:val="00E950BE"/>
    <w:rsid w:val="00E958B4"/>
    <w:rsid w:val="00E95995"/>
    <w:rsid w:val="00E95AF8"/>
    <w:rsid w:val="00E95D43"/>
    <w:rsid w:val="00E965B2"/>
    <w:rsid w:val="00E96B66"/>
    <w:rsid w:val="00E96BE4"/>
    <w:rsid w:val="00E96EB1"/>
    <w:rsid w:val="00E97140"/>
    <w:rsid w:val="00E97664"/>
    <w:rsid w:val="00E97811"/>
    <w:rsid w:val="00E97A3E"/>
    <w:rsid w:val="00E97D4F"/>
    <w:rsid w:val="00E97F17"/>
    <w:rsid w:val="00EA0031"/>
    <w:rsid w:val="00EA031B"/>
    <w:rsid w:val="00EA0362"/>
    <w:rsid w:val="00EA088C"/>
    <w:rsid w:val="00EA09CC"/>
    <w:rsid w:val="00EA0BA6"/>
    <w:rsid w:val="00EA0E40"/>
    <w:rsid w:val="00EA0F97"/>
    <w:rsid w:val="00EA119E"/>
    <w:rsid w:val="00EA154C"/>
    <w:rsid w:val="00EA1688"/>
    <w:rsid w:val="00EA17D7"/>
    <w:rsid w:val="00EA1BC3"/>
    <w:rsid w:val="00EA2A77"/>
    <w:rsid w:val="00EA2A88"/>
    <w:rsid w:val="00EA3075"/>
    <w:rsid w:val="00EA3595"/>
    <w:rsid w:val="00EA36D4"/>
    <w:rsid w:val="00EA37A2"/>
    <w:rsid w:val="00EA396D"/>
    <w:rsid w:val="00EA3A8E"/>
    <w:rsid w:val="00EA3ACB"/>
    <w:rsid w:val="00EA3BF7"/>
    <w:rsid w:val="00EA3DF4"/>
    <w:rsid w:val="00EA43F0"/>
    <w:rsid w:val="00EA469C"/>
    <w:rsid w:val="00EA4A3D"/>
    <w:rsid w:val="00EA4D07"/>
    <w:rsid w:val="00EA5097"/>
    <w:rsid w:val="00EA50D1"/>
    <w:rsid w:val="00EA5339"/>
    <w:rsid w:val="00EA55E9"/>
    <w:rsid w:val="00EA60FE"/>
    <w:rsid w:val="00EA6384"/>
    <w:rsid w:val="00EA6660"/>
    <w:rsid w:val="00EA6A1B"/>
    <w:rsid w:val="00EA6ACB"/>
    <w:rsid w:val="00EA6AFF"/>
    <w:rsid w:val="00EA6BDC"/>
    <w:rsid w:val="00EA6BEB"/>
    <w:rsid w:val="00EA6DC3"/>
    <w:rsid w:val="00EA715E"/>
    <w:rsid w:val="00EA74E5"/>
    <w:rsid w:val="00EA7813"/>
    <w:rsid w:val="00EA7936"/>
    <w:rsid w:val="00EA798E"/>
    <w:rsid w:val="00EA79B3"/>
    <w:rsid w:val="00EA7B1A"/>
    <w:rsid w:val="00EA7E49"/>
    <w:rsid w:val="00EA7FB3"/>
    <w:rsid w:val="00EB005D"/>
    <w:rsid w:val="00EB00E8"/>
    <w:rsid w:val="00EB0242"/>
    <w:rsid w:val="00EB0683"/>
    <w:rsid w:val="00EB0812"/>
    <w:rsid w:val="00EB08A8"/>
    <w:rsid w:val="00EB0D2C"/>
    <w:rsid w:val="00EB11EF"/>
    <w:rsid w:val="00EB1463"/>
    <w:rsid w:val="00EB16F4"/>
    <w:rsid w:val="00EB2088"/>
    <w:rsid w:val="00EB20A1"/>
    <w:rsid w:val="00EB22D0"/>
    <w:rsid w:val="00EB22FD"/>
    <w:rsid w:val="00EB2BED"/>
    <w:rsid w:val="00EB3001"/>
    <w:rsid w:val="00EB365E"/>
    <w:rsid w:val="00EB372A"/>
    <w:rsid w:val="00EB38E8"/>
    <w:rsid w:val="00EB3EEE"/>
    <w:rsid w:val="00EB42A9"/>
    <w:rsid w:val="00EB42F1"/>
    <w:rsid w:val="00EB4440"/>
    <w:rsid w:val="00EB457A"/>
    <w:rsid w:val="00EB459D"/>
    <w:rsid w:val="00EB4847"/>
    <w:rsid w:val="00EB494D"/>
    <w:rsid w:val="00EB4DD6"/>
    <w:rsid w:val="00EB5843"/>
    <w:rsid w:val="00EB5B9B"/>
    <w:rsid w:val="00EB6583"/>
    <w:rsid w:val="00EB6832"/>
    <w:rsid w:val="00EB68A1"/>
    <w:rsid w:val="00EB68F9"/>
    <w:rsid w:val="00EB6A6F"/>
    <w:rsid w:val="00EB6AC3"/>
    <w:rsid w:val="00EB6C05"/>
    <w:rsid w:val="00EB6C5B"/>
    <w:rsid w:val="00EB6D0B"/>
    <w:rsid w:val="00EB6DFD"/>
    <w:rsid w:val="00EB6F09"/>
    <w:rsid w:val="00EB6F59"/>
    <w:rsid w:val="00EB700D"/>
    <w:rsid w:val="00EB7624"/>
    <w:rsid w:val="00EB76A1"/>
    <w:rsid w:val="00EB76D9"/>
    <w:rsid w:val="00EB7776"/>
    <w:rsid w:val="00EB77B7"/>
    <w:rsid w:val="00EB796F"/>
    <w:rsid w:val="00EB7C4E"/>
    <w:rsid w:val="00EC0282"/>
    <w:rsid w:val="00EC0307"/>
    <w:rsid w:val="00EC0562"/>
    <w:rsid w:val="00EC0590"/>
    <w:rsid w:val="00EC07A3"/>
    <w:rsid w:val="00EC0844"/>
    <w:rsid w:val="00EC0F8F"/>
    <w:rsid w:val="00EC1206"/>
    <w:rsid w:val="00EC12A0"/>
    <w:rsid w:val="00EC184F"/>
    <w:rsid w:val="00EC18E8"/>
    <w:rsid w:val="00EC1B09"/>
    <w:rsid w:val="00EC1D5E"/>
    <w:rsid w:val="00EC204F"/>
    <w:rsid w:val="00EC2266"/>
    <w:rsid w:val="00EC2797"/>
    <w:rsid w:val="00EC2999"/>
    <w:rsid w:val="00EC2C7B"/>
    <w:rsid w:val="00EC3751"/>
    <w:rsid w:val="00EC3A89"/>
    <w:rsid w:val="00EC3B1D"/>
    <w:rsid w:val="00EC3B6C"/>
    <w:rsid w:val="00EC3CF7"/>
    <w:rsid w:val="00EC3EB7"/>
    <w:rsid w:val="00EC436C"/>
    <w:rsid w:val="00EC45E4"/>
    <w:rsid w:val="00EC4A68"/>
    <w:rsid w:val="00EC4AB1"/>
    <w:rsid w:val="00EC50FF"/>
    <w:rsid w:val="00EC5723"/>
    <w:rsid w:val="00EC61CD"/>
    <w:rsid w:val="00EC6413"/>
    <w:rsid w:val="00EC6774"/>
    <w:rsid w:val="00EC68A3"/>
    <w:rsid w:val="00EC6E79"/>
    <w:rsid w:val="00EC7855"/>
    <w:rsid w:val="00EC7C86"/>
    <w:rsid w:val="00EC7F2A"/>
    <w:rsid w:val="00EC7F5A"/>
    <w:rsid w:val="00EC7FC2"/>
    <w:rsid w:val="00ED0144"/>
    <w:rsid w:val="00ED028B"/>
    <w:rsid w:val="00ED06E9"/>
    <w:rsid w:val="00ED093C"/>
    <w:rsid w:val="00ED0A74"/>
    <w:rsid w:val="00ED0D76"/>
    <w:rsid w:val="00ED1453"/>
    <w:rsid w:val="00ED15D2"/>
    <w:rsid w:val="00ED1990"/>
    <w:rsid w:val="00ED1B82"/>
    <w:rsid w:val="00ED1BDB"/>
    <w:rsid w:val="00ED1CF9"/>
    <w:rsid w:val="00ED1D1A"/>
    <w:rsid w:val="00ED1D1B"/>
    <w:rsid w:val="00ED1E06"/>
    <w:rsid w:val="00ED22DF"/>
    <w:rsid w:val="00ED2560"/>
    <w:rsid w:val="00ED28FA"/>
    <w:rsid w:val="00ED2ABA"/>
    <w:rsid w:val="00ED31FA"/>
    <w:rsid w:val="00ED32DB"/>
    <w:rsid w:val="00ED33B0"/>
    <w:rsid w:val="00ED35A6"/>
    <w:rsid w:val="00ED3701"/>
    <w:rsid w:val="00ED3BE3"/>
    <w:rsid w:val="00ED4049"/>
    <w:rsid w:val="00ED437E"/>
    <w:rsid w:val="00ED4A5D"/>
    <w:rsid w:val="00ED4B2C"/>
    <w:rsid w:val="00ED4CEB"/>
    <w:rsid w:val="00ED4F67"/>
    <w:rsid w:val="00ED542E"/>
    <w:rsid w:val="00ED58B8"/>
    <w:rsid w:val="00ED5A29"/>
    <w:rsid w:val="00ED5A69"/>
    <w:rsid w:val="00ED6726"/>
    <w:rsid w:val="00ED6A4A"/>
    <w:rsid w:val="00ED6EFC"/>
    <w:rsid w:val="00ED77A6"/>
    <w:rsid w:val="00ED7988"/>
    <w:rsid w:val="00EE02BB"/>
    <w:rsid w:val="00EE0661"/>
    <w:rsid w:val="00EE0851"/>
    <w:rsid w:val="00EE135A"/>
    <w:rsid w:val="00EE1366"/>
    <w:rsid w:val="00EE136E"/>
    <w:rsid w:val="00EE17D8"/>
    <w:rsid w:val="00EE1A89"/>
    <w:rsid w:val="00EE1AEC"/>
    <w:rsid w:val="00EE1C3E"/>
    <w:rsid w:val="00EE2066"/>
    <w:rsid w:val="00EE20F0"/>
    <w:rsid w:val="00EE258E"/>
    <w:rsid w:val="00EE25BA"/>
    <w:rsid w:val="00EE2600"/>
    <w:rsid w:val="00EE2734"/>
    <w:rsid w:val="00EE3297"/>
    <w:rsid w:val="00EE338B"/>
    <w:rsid w:val="00EE40F9"/>
    <w:rsid w:val="00EE41EF"/>
    <w:rsid w:val="00EE4750"/>
    <w:rsid w:val="00EE49A5"/>
    <w:rsid w:val="00EE49CF"/>
    <w:rsid w:val="00EE4A6E"/>
    <w:rsid w:val="00EE4A71"/>
    <w:rsid w:val="00EE4C90"/>
    <w:rsid w:val="00EE4DC1"/>
    <w:rsid w:val="00EE4FD4"/>
    <w:rsid w:val="00EE515D"/>
    <w:rsid w:val="00EE5269"/>
    <w:rsid w:val="00EE532F"/>
    <w:rsid w:val="00EE564A"/>
    <w:rsid w:val="00EE5BCC"/>
    <w:rsid w:val="00EE5E89"/>
    <w:rsid w:val="00EE60BD"/>
    <w:rsid w:val="00EE60DC"/>
    <w:rsid w:val="00EE61C6"/>
    <w:rsid w:val="00EE6474"/>
    <w:rsid w:val="00EE67FD"/>
    <w:rsid w:val="00EE6976"/>
    <w:rsid w:val="00EE6A66"/>
    <w:rsid w:val="00EE6D20"/>
    <w:rsid w:val="00EE72F5"/>
    <w:rsid w:val="00EE745F"/>
    <w:rsid w:val="00EE753A"/>
    <w:rsid w:val="00EE79F2"/>
    <w:rsid w:val="00EE7A28"/>
    <w:rsid w:val="00EE7A87"/>
    <w:rsid w:val="00EE7A9E"/>
    <w:rsid w:val="00EE7E0B"/>
    <w:rsid w:val="00EF01D2"/>
    <w:rsid w:val="00EF06AE"/>
    <w:rsid w:val="00EF0C52"/>
    <w:rsid w:val="00EF0E38"/>
    <w:rsid w:val="00EF10FF"/>
    <w:rsid w:val="00EF113B"/>
    <w:rsid w:val="00EF121B"/>
    <w:rsid w:val="00EF13D9"/>
    <w:rsid w:val="00EF1487"/>
    <w:rsid w:val="00EF168A"/>
    <w:rsid w:val="00EF192A"/>
    <w:rsid w:val="00EF19B1"/>
    <w:rsid w:val="00EF1E73"/>
    <w:rsid w:val="00EF21D1"/>
    <w:rsid w:val="00EF2504"/>
    <w:rsid w:val="00EF257F"/>
    <w:rsid w:val="00EF27D1"/>
    <w:rsid w:val="00EF28E9"/>
    <w:rsid w:val="00EF2A47"/>
    <w:rsid w:val="00EF32EA"/>
    <w:rsid w:val="00EF3725"/>
    <w:rsid w:val="00EF3CF2"/>
    <w:rsid w:val="00EF3DD4"/>
    <w:rsid w:val="00EF44D1"/>
    <w:rsid w:val="00EF48C3"/>
    <w:rsid w:val="00EF4A94"/>
    <w:rsid w:val="00EF4B31"/>
    <w:rsid w:val="00EF4C0F"/>
    <w:rsid w:val="00EF4E4C"/>
    <w:rsid w:val="00EF518F"/>
    <w:rsid w:val="00EF51CB"/>
    <w:rsid w:val="00EF5285"/>
    <w:rsid w:val="00EF5544"/>
    <w:rsid w:val="00EF57AF"/>
    <w:rsid w:val="00EF5E78"/>
    <w:rsid w:val="00EF60E0"/>
    <w:rsid w:val="00EF613C"/>
    <w:rsid w:val="00EF659A"/>
    <w:rsid w:val="00EF665D"/>
    <w:rsid w:val="00EF6729"/>
    <w:rsid w:val="00EF673F"/>
    <w:rsid w:val="00EF68A5"/>
    <w:rsid w:val="00EF6AA8"/>
    <w:rsid w:val="00EF6AE1"/>
    <w:rsid w:val="00EF6BA3"/>
    <w:rsid w:val="00EF6FB1"/>
    <w:rsid w:val="00EF705E"/>
    <w:rsid w:val="00EF758D"/>
    <w:rsid w:val="00EF76DA"/>
    <w:rsid w:val="00EF7936"/>
    <w:rsid w:val="00EF7D26"/>
    <w:rsid w:val="00EF7DB5"/>
    <w:rsid w:val="00F00229"/>
    <w:rsid w:val="00F003F9"/>
    <w:rsid w:val="00F0115F"/>
    <w:rsid w:val="00F01693"/>
    <w:rsid w:val="00F0192D"/>
    <w:rsid w:val="00F01A90"/>
    <w:rsid w:val="00F01CD5"/>
    <w:rsid w:val="00F0259A"/>
    <w:rsid w:val="00F0268F"/>
    <w:rsid w:val="00F02806"/>
    <w:rsid w:val="00F02BC9"/>
    <w:rsid w:val="00F02C3C"/>
    <w:rsid w:val="00F02E6E"/>
    <w:rsid w:val="00F031FA"/>
    <w:rsid w:val="00F032FE"/>
    <w:rsid w:val="00F03586"/>
    <w:rsid w:val="00F03A8D"/>
    <w:rsid w:val="00F03B90"/>
    <w:rsid w:val="00F03DD7"/>
    <w:rsid w:val="00F03EAB"/>
    <w:rsid w:val="00F0420A"/>
    <w:rsid w:val="00F04213"/>
    <w:rsid w:val="00F04469"/>
    <w:rsid w:val="00F044C3"/>
    <w:rsid w:val="00F04819"/>
    <w:rsid w:val="00F048F2"/>
    <w:rsid w:val="00F04C88"/>
    <w:rsid w:val="00F04FAF"/>
    <w:rsid w:val="00F05309"/>
    <w:rsid w:val="00F053C3"/>
    <w:rsid w:val="00F05529"/>
    <w:rsid w:val="00F0597B"/>
    <w:rsid w:val="00F05EBC"/>
    <w:rsid w:val="00F063D2"/>
    <w:rsid w:val="00F06727"/>
    <w:rsid w:val="00F06A3E"/>
    <w:rsid w:val="00F06AC3"/>
    <w:rsid w:val="00F06CD5"/>
    <w:rsid w:val="00F06E88"/>
    <w:rsid w:val="00F06FD1"/>
    <w:rsid w:val="00F06FED"/>
    <w:rsid w:val="00F073D7"/>
    <w:rsid w:val="00F07662"/>
    <w:rsid w:val="00F079F9"/>
    <w:rsid w:val="00F07C49"/>
    <w:rsid w:val="00F10012"/>
    <w:rsid w:val="00F1052B"/>
    <w:rsid w:val="00F10B47"/>
    <w:rsid w:val="00F10E40"/>
    <w:rsid w:val="00F10F9B"/>
    <w:rsid w:val="00F11824"/>
    <w:rsid w:val="00F11F8E"/>
    <w:rsid w:val="00F122AB"/>
    <w:rsid w:val="00F128AB"/>
    <w:rsid w:val="00F13103"/>
    <w:rsid w:val="00F13279"/>
    <w:rsid w:val="00F1327E"/>
    <w:rsid w:val="00F13389"/>
    <w:rsid w:val="00F133C8"/>
    <w:rsid w:val="00F134D8"/>
    <w:rsid w:val="00F134E4"/>
    <w:rsid w:val="00F13FB0"/>
    <w:rsid w:val="00F14300"/>
    <w:rsid w:val="00F14440"/>
    <w:rsid w:val="00F14545"/>
    <w:rsid w:val="00F1468A"/>
    <w:rsid w:val="00F14A47"/>
    <w:rsid w:val="00F1530A"/>
    <w:rsid w:val="00F1588D"/>
    <w:rsid w:val="00F15A65"/>
    <w:rsid w:val="00F163F2"/>
    <w:rsid w:val="00F166A8"/>
    <w:rsid w:val="00F1674B"/>
    <w:rsid w:val="00F167CD"/>
    <w:rsid w:val="00F169CA"/>
    <w:rsid w:val="00F16E9D"/>
    <w:rsid w:val="00F17123"/>
    <w:rsid w:val="00F17186"/>
    <w:rsid w:val="00F17451"/>
    <w:rsid w:val="00F17527"/>
    <w:rsid w:val="00F200F3"/>
    <w:rsid w:val="00F2024F"/>
    <w:rsid w:val="00F20528"/>
    <w:rsid w:val="00F207C5"/>
    <w:rsid w:val="00F20C14"/>
    <w:rsid w:val="00F20D1D"/>
    <w:rsid w:val="00F20D24"/>
    <w:rsid w:val="00F20D3E"/>
    <w:rsid w:val="00F20E35"/>
    <w:rsid w:val="00F20FCB"/>
    <w:rsid w:val="00F210ED"/>
    <w:rsid w:val="00F21149"/>
    <w:rsid w:val="00F21219"/>
    <w:rsid w:val="00F21330"/>
    <w:rsid w:val="00F21377"/>
    <w:rsid w:val="00F21677"/>
    <w:rsid w:val="00F21A1A"/>
    <w:rsid w:val="00F21A63"/>
    <w:rsid w:val="00F22355"/>
    <w:rsid w:val="00F2239A"/>
    <w:rsid w:val="00F223A3"/>
    <w:rsid w:val="00F2276B"/>
    <w:rsid w:val="00F22899"/>
    <w:rsid w:val="00F229BE"/>
    <w:rsid w:val="00F22D9F"/>
    <w:rsid w:val="00F23181"/>
    <w:rsid w:val="00F233FF"/>
    <w:rsid w:val="00F23512"/>
    <w:rsid w:val="00F23E80"/>
    <w:rsid w:val="00F23F81"/>
    <w:rsid w:val="00F23FA9"/>
    <w:rsid w:val="00F24014"/>
    <w:rsid w:val="00F2423E"/>
    <w:rsid w:val="00F24DD0"/>
    <w:rsid w:val="00F2500E"/>
    <w:rsid w:val="00F25101"/>
    <w:rsid w:val="00F255EC"/>
    <w:rsid w:val="00F256A2"/>
    <w:rsid w:val="00F25AEA"/>
    <w:rsid w:val="00F25DEE"/>
    <w:rsid w:val="00F2607C"/>
    <w:rsid w:val="00F261D6"/>
    <w:rsid w:val="00F2621B"/>
    <w:rsid w:val="00F263AC"/>
    <w:rsid w:val="00F26546"/>
    <w:rsid w:val="00F265C7"/>
    <w:rsid w:val="00F266C6"/>
    <w:rsid w:val="00F267DD"/>
    <w:rsid w:val="00F26B96"/>
    <w:rsid w:val="00F26DFA"/>
    <w:rsid w:val="00F2713F"/>
    <w:rsid w:val="00F27432"/>
    <w:rsid w:val="00F274B2"/>
    <w:rsid w:val="00F274C0"/>
    <w:rsid w:val="00F2765F"/>
    <w:rsid w:val="00F2790C"/>
    <w:rsid w:val="00F279D1"/>
    <w:rsid w:val="00F27BDB"/>
    <w:rsid w:val="00F27CAE"/>
    <w:rsid w:val="00F27EB4"/>
    <w:rsid w:val="00F300A7"/>
    <w:rsid w:val="00F30120"/>
    <w:rsid w:val="00F3024D"/>
    <w:rsid w:val="00F305B6"/>
    <w:rsid w:val="00F306E1"/>
    <w:rsid w:val="00F30758"/>
    <w:rsid w:val="00F307F4"/>
    <w:rsid w:val="00F30903"/>
    <w:rsid w:val="00F30C0F"/>
    <w:rsid w:val="00F30E32"/>
    <w:rsid w:val="00F30E60"/>
    <w:rsid w:val="00F31123"/>
    <w:rsid w:val="00F313F7"/>
    <w:rsid w:val="00F315BB"/>
    <w:rsid w:val="00F31958"/>
    <w:rsid w:val="00F321C6"/>
    <w:rsid w:val="00F3221C"/>
    <w:rsid w:val="00F323B2"/>
    <w:rsid w:val="00F32AAE"/>
    <w:rsid w:val="00F337F0"/>
    <w:rsid w:val="00F338AE"/>
    <w:rsid w:val="00F3399C"/>
    <w:rsid w:val="00F33A26"/>
    <w:rsid w:val="00F34072"/>
    <w:rsid w:val="00F3419A"/>
    <w:rsid w:val="00F3420E"/>
    <w:rsid w:val="00F342FC"/>
    <w:rsid w:val="00F344E5"/>
    <w:rsid w:val="00F346E8"/>
    <w:rsid w:val="00F346F9"/>
    <w:rsid w:val="00F3483F"/>
    <w:rsid w:val="00F348A0"/>
    <w:rsid w:val="00F34D71"/>
    <w:rsid w:val="00F34DAE"/>
    <w:rsid w:val="00F34DC6"/>
    <w:rsid w:val="00F34E76"/>
    <w:rsid w:val="00F34FAE"/>
    <w:rsid w:val="00F3520D"/>
    <w:rsid w:val="00F35770"/>
    <w:rsid w:val="00F35B26"/>
    <w:rsid w:val="00F35EDE"/>
    <w:rsid w:val="00F35F1B"/>
    <w:rsid w:val="00F36284"/>
    <w:rsid w:val="00F36349"/>
    <w:rsid w:val="00F366B9"/>
    <w:rsid w:val="00F369A2"/>
    <w:rsid w:val="00F36D53"/>
    <w:rsid w:val="00F3770F"/>
    <w:rsid w:val="00F37778"/>
    <w:rsid w:val="00F37A69"/>
    <w:rsid w:val="00F37BD6"/>
    <w:rsid w:val="00F37EB4"/>
    <w:rsid w:val="00F40508"/>
    <w:rsid w:val="00F405AF"/>
    <w:rsid w:val="00F40BD3"/>
    <w:rsid w:val="00F40C27"/>
    <w:rsid w:val="00F41025"/>
    <w:rsid w:val="00F4106E"/>
    <w:rsid w:val="00F4125E"/>
    <w:rsid w:val="00F41620"/>
    <w:rsid w:val="00F416CE"/>
    <w:rsid w:val="00F4182A"/>
    <w:rsid w:val="00F41931"/>
    <w:rsid w:val="00F41C84"/>
    <w:rsid w:val="00F42037"/>
    <w:rsid w:val="00F42087"/>
    <w:rsid w:val="00F42142"/>
    <w:rsid w:val="00F42459"/>
    <w:rsid w:val="00F42819"/>
    <w:rsid w:val="00F42C23"/>
    <w:rsid w:val="00F43710"/>
    <w:rsid w:val="00F43D6D"/>
    <w:rsid w:val="00F43DBC"/>
    <w:rsid w:val="00F43F9B"/>
    <w:rsid w:val="00F4408F"/>
    <w:rsid w:val="00F44671"/>
    <w:rsid w:val="00F44763"/>
    <w:rsid w:val="00F44B40"/>
    <w:rsid w:val="00F45256"/>
    <w:rsid w:val="00F45393"/>
    <w:rsid w:val="00F454B6"/>
    <w:rsid w:val="00F4578E"/>
    <w:rsid w:val="00F458A4"/>
    <w:rsid w:val="00F45B9E"/>
    <w:rsid w:val="00F45C1F"/>
    <w:rsid w:val="00F45D13"/>
    <w:rsid w:val="00F46798"/>
    <w:rsid w:val="00F47129"/>
    <w:rsid w:val="00F471D4"/>
    <w:rsid w:val="00F47767"/>
    <w:rsid w:val="00F47992"/>
    <w:rsid w:val="00F47B9C"/>
    <w:rsid w:val="00F47E41"/>
    <w:rsid w:val="00F47FC3"/>
    <w:rsid w:val="00F50333"/>
    <w:rsid w:val="00F50348"/>
    <w:rsid w:val="00F5050C"/>
    <w:rsid w:val="00F50F43"/>
    <w:rsid w:val="00F51537"/>
    <w:rsid w:val="00F5158B"/>
    <w:rsid w:val="00F51851"/>
    <w:rsid w:val="00F51EC3"/>
    <w:rsid w:val="00F5231D"/>
    <w:rsid w:val="00F5237E"/>
    <w:rsid w:val="00F525DE"/>
    <w:rsid w:val="00F527D1"/>
    <w:rsid w:val="00F5285C"/>
    <w:rsid w:val="00F52C95"/>
    <w:rsid w:val="00F52E30"/>
    <w:rsid w:val="00F53656"/>
    <w:rsid w:val="00F53A37"/>
    <w:rsid w:val="00F53AD9"/>
    <w:rsid w:val="00F53F95"/>
    <w:rsid w:val="00F5423A"/>
    <w:rsid w:val="00F545AC"/>
    <w:rsid w:val="00F549C5"/>
    <w:rsid w:val="00F54A04"/>
    <w:rsid w:val="00F553AB"/>
    <w:rsid w:val="00F554A2"/>
    <w:rsid w:val="00F556AF"/>
    <w:rsid w:val="00F556D2"/>
    <w:rsid w:val="00F55B9C"/>
    <w:rsid w:val="00F55D0B"/>
    <w:rsid w:val="00F55EBC"/>
    <w:rsid w:val="00F561A8"/>
    <w:rsid w:val="00F563A8"/>
    <w:rsid w:val="00F564EA"/>
    <w:rsid w:val="00F5664C"/>
    <w:rsid w:val="00F56882"/>
    <w:rsid w:val="00F56B6F"/>
    <w:rsid w:val="00F56BB9"/>
    <w:rsid w:val="00F56CCB"/>
    <w:rsid w:val="00F56FC9"/>
    <w:rsid w:val="00F57344"/>
    <w:rsid w:val="00F5746A"/>
    <w:rsid w:val="00F57585"/>
    <w:rsid w:val="00F57811"/>
    <w:rsid w:val="00F6084E"/>
    <w:rsid w:val="00F608FC"/>
    <w:rsid w:val="00F609B3"/>
    <w:rsid w:val="00F60BCB"/>
    <w:rsid w:val="00F60FD9"/>
    <w:rsid w:val="00F61071"/>
    <w:rsid w:val="00F615E4"/>
    <w:rsid w:val="00F61750"/>
    <w:rsid w:val="00F619A9"/>
    <w:rsid w:val="00F61BB0"/>
    <w:rsid w:val="00F61FAB"/>
    <w:rsid w:val="00F62063"/>
    <w:rsid w:val="00F627A7"/>
    <w:rsid w:val="00F62BFC"/>
    <w:rsid w:val="00F62E6C"/>
    <w:rsid w:val="00F6337E"/>
    <w:rsid w:val="00F63584"/>
    <w:rsid w:val="00F6383D"/>
    <w:rsid w:val="00F639D2"/>
    <w:rsid w:val="00F63B31"/>
    <w:rsid w:val="00F63ECC"/>
    <w:rsid w:val="00F64620"/>
    <w:rsid w:val="00F64C57"/>
    <w:rsid w:val="00F65130"/>
    <w:rsid w:val="00F65224"/>
    <w:rsid w:val="00F65408"/>
    <w:rsid w:val="00F65DDE"/>
    <w:rsid w:val="00F66043"/>
    <w:rsid w:val="00F66271"/>
    <w:rsid w:val="00F66917"/>
    <w:rsid w:val="00F66AD4"/>
    <w:rsid w:val="00F66C8D"/>
    <w:rsid w:val="00F66D6C"/>
    <w:rsid w:val="00F66E4F"/>
    <w:rsid w:val="00F67141"/>
    <w:rsid w:val="00F67259"/>
    <w:rsid w:val="00F67328"/>
    <w:rsid w:val="00F6796F"/>
    <w:rsid w:val="00F67A99"/>
    <w:rsid w:val="00F67F9D"/>
    <w:rsid w:val="00F70047"/>
    <w:rsid w:val="00F70459"/>
    <w:rsid w:val="00F7087B"/>
    <w:rsid w:val="00F7092E"/>
    <w:rsid w:val="00F70ECE"/>
    <w:rsid w:val="00F70FF6"/>
    <w:rsid w:val="00F7147A"/>
    <w:rsid w:val="00F7161A"/>
    <w:rsid w:val="00F7163B"/>
    <w:rsid w:val="00F71663"/>
    <w:rsid w:val="00F71828"/>
    <w:rsid w:val="00F7185C"/>
    <w:rsid w:val="00F71988"/>
    <w:rsid w:val="00F71A7A"/>
    <w:rsid w:val="00F71B6F"/>
    <w:rsid w:val="00F71BF3"/>
    <w:rsid w:val="00F71D01"/>
    <w:rsid w:val="00F71D94"/>
    <w:rsid w:val="00F71F72"/>
    <w:rsid w:val="00F72271"/>
    <w:rsid w:val="00F72315"/>
    <w:rsid w:val="00F723F0"/>
    <w:rsid w:val="00F72623"/>
    <w:rsid w:val="00F72911"/>
    <w:rsid w:val="00F73250"/>
    <w:rsid w:val="00F734E4"/>
    <w:rsid w:val="00F7397C"/>
    <w:rsid w:val="00F739E3"/>
    <w:rsid w:val="00F739F7"/>
    <w:rsid w:val="00F73CE6"/>
    <w:rsid w:val="00F73E01"/>
    <w:rsid w:val="00F740BB"/>
    <w:rsid w:val="00F747F6"/>
    <w:rsid w:val="00F74B22"/>
    <w:rsid w:val="00F759FE"/>
    <w:rsid w:val="00F75CE1"/>
    <w:rsid w:val="00F76131"/>
    <w:rsid w:val="00F763A6"/>
    <w:rsid w:val="00F7642A"/>
    <w:rsid w:val="00F7644F"/>
    <w:rsid w:val="00F7661C"/>
    <w:rsid w:val="00F76B78"/>
    <w:rsid w:val="00F76DE5"/>
    <w:rsid w:val="00F76F6A"/>
    <w:rsid w:val="00F770F4"/>
    <w:rsid w:val="00F7737B"/>
    <w:rsid w:val="00F77BA4"/>
    <w:rsid w:val="00F8013E"/>
    <w:rsid w:val="00F8014B"/>
    <w:rsid w:val="00F801B2"/>
    <w:rsid w:val="00F801CA"/>
    <w:rsid w:val="00F803C5"/>
    <w:rsid w:val="00F804EB"/>
    <w:rsid w:val="00F80A56"/>
    <w:rsid w:val="00F80CAD"/>
    <w:rsid w:val="00F80EED"/>
    <w:rsid w:val="00F810A4"/>
    <w:rsid w:val="00F81605"/>
    <w:rsid w:val="00F8164B"/>
    <w:rsid w:val="00F817CC"/>
    <w:rsid w:val="00F81800"/>
    <w:rsid w:val="00F81B0F"/>
    <w:rsid w:val="00F81EDF"/>
    <w:rsid w:val="00F821C2"/>
    <w:rsid w:val="00F824C0"/>
    <w:rsid w:val="00F8253C"/>
    <w:rsid w:val="00F8254F"/>
    <w:rsid w:val="00F82D85"/>
    <w:rsid w:val="00F82E29"/>
    <w:rsid w:val="00F83012"/>
    <w:rsid w:val="00F832D0"/>
    <w:rsid w:val="00F83B49"/>
    <w:rsid w:val="00F83C4C"/>
    <w:rsid w:val="00F83E28"/>
    <w:rsid w:val="00F83ECA"/>
    <w:rsid w:val="00F841FC"/>
    <w:rsid w:val="00F8425A"/>
    <w:rsid w:val="00F84609"/>
    <w:rsid w:val="00F84A36"/>
    <w:rsid w:val="00F85053"/>
    <w:rsid w:val="00F8577D"/>
    <w:rsid w:val="00F85990"/>
    <w:rsid w:val="00F85A46"/>
    <w:rsid w:val="00F8640D"/>
    <w:rsid w:val="00F86825"/>
    <w:rsid w:val="00F86B01"/>
    <w:rsid w:val="00F86EAA"/>
    <w:rsid w:val="00F86F96"/>
    <w:rsid w:val="00F871B3"/>
    <w:rsid w:val="00F87D43"/>
    <w:rsid w:val="00F87F8B"/>
    <w:rsid w:val="00F901A4"/>
    <w:rsid w:val="00F9024D"/>
    <w:rsid w:val="00F904C2"/>
    <w:rsid w:val="00F9050C"/>
    <w:rsid w:val="00F906D9"/>
    <w:rsid w:val="00F9077C"/>
    <w:rsid w:val="00F910E0"/>
    <w:rsid w:val="00F9110B"/>
    <w:rsid w:val="00F9122A"/>
    <w:rsid w:val="00F91736"/>
    <w:rsid w:val="00F91739"/>
    <w:rsid w:val="00F9199E"/>
    <w:rsid w:val="00F91D07"/>
    <w:rsid w:val="00F91DB9"/>
    <w:rsid w:val="00F9218B"/>
    <w:rsid w:val="00F9243C"/>
    <w:rsid w:val="00F9244C"/>
    <w:rsid w:val="00F9248E"/>
    <w:rsid w:val="00F925B6"/>
    <w:rsid w:val="00F92880"/>
    <w:rsid w:val="00F928D3"/>
    <w:rsid w:val="00F92C20"/>
    <w:rsid w:val="00F92C92"/>
    <w:rsid w:val="00F930E5"/>
    <w:rsid w:val="00F93285"/>
    <w:rsid w:val="00F93420"/>
    <w:rsid w:val="00F93511"/>
    <w:rsid w:val="00F935BE"/>
    <w:rsid w:val="00F935D3"/>
    <w:rsid w:val="00F935D8"/>
    <w:rsid w:val="00F93EAE"/>
    <w:rsid w:val="00F942AF"/>
    <w:rsid w:val="00F943FC"/>
    <w:rsid w:val="00F94492"/>
    <w:rsid w:val="00F94535"/>
    <w:rsid w:val="00F94792"/>
    <w:rsid w:val="00F947F0"/>
    <w:rsid w:val="00F948F5"/>
    <w:rsid w:val="00F94C4D"/>
    <w:rsid w:val="00F94CF9"/>
    <w:rsid w:val="00F94D7F"/>
    <w:rsid w:val="00F94F54"/>
    <w:rsid w:val="00F95092"/>
    <w:rsid w:val="00F951A5"/>
    <w:rsid w:val="00F9523F"/>
    <w:rsid w:val="00F9540E"/>
    <w:rsid w:val="00F95494"/>
    <w:rsid w:val="00F954E8"/>
    <w:rsid w:val="00F95508"/>
    <w:rsid w:val="00F9578A"/>
    <w:rsid w:val="00F957E3"/>
    <w:rsid w:val="00F95B60"/>
    <w:rsid w:val="00F9629B"/>
    <w:rsid w:val="00F9630D"/>
    <w:rsid w:val="00F9647A"/>
    <w:rsid w:val="00F96515"/>
    <w:rsid w:val="00F96924"/>
    <w:rsid w:val="00F969D7"/>
    <w:rsid w:val="00F96A2E"/>
    <w:rsid w:val="00F9724A"/>
    <w:rsid w:val="00F9738D"/>
    <w:rsid w:val="00F97624"/>
    <w:rsid w:val="00F977EF"/>
    <w:rsid w:val="00F97CD3"/>
    <w:rsid w:val="00F97DB3"/>
    <w:rsid w:val="00FA0329"/>
    <w:rsid w:val="00FA0393"/>
    <w:rsid w:val="00FA0DB5"/>
    <w:rsid w:val="00FA114B"/>
    <w:rsid w:val="00FA11B8"/>
    <w:rsid w:val="00FA1511"/>
    <w:rsid w:val="00FA183A"/>
    <w:rsid w:val="00FA1897"/>
    <w:rsid w:val="00FA1C4E"/>
    <w:rsid w:val="00FA1DEB"/>
    <w:rsid w:val="00FA1E63"/>
    <w:rsid w:val="00FA2357"/>
    <w:rsid w:val="00FA2482"/>
    <w:rsid w:val="00FA28C6"/>
    <w:rsid w:val="00FA2D8F"/>
    <w:rsid w:val="00FA2DF3"/>
    <w:rsid w:val="00FA305D"/>
    <w:rsid w:val="00FA3587"/>
    <w:rsid w:val="00FA3848"/>
    <w:rsid w:val="00FA39D4"/>
    <w:rsid w:val="00FA3A58"/>
    <w:rsid w:val="00FA3CFE"/>
    <w:rsid w:val="00FA3D15"/>
    <w:rsid w:val="00FA3D73"/>
    <w:rsid w:val="00FA4012"/>
    <w:rsid w:val="00FA4056"/>
    <w:rsid w:val="00FA41A0"/>
    <w:rsid w:val="00FA457E"/>
    <w:rsid w:val="00FA45B8"/>
    <w:rsid w:val="00FA4820"/>
    <w:rsid w:val="00FA4B9F"/>
    <w:rsid w:val="00FA4C96"/>
    <w:rsid w:val="00FA4D54"/>
    <w:rsid w:val="00FA4E11"/>
    <w:rsid w:val="00FA528E"/>
    <w:rsid w:val="00FA5424"/>
    <w:rsid w:val="00FA59A3"/>
    <w:rsid w:val="00FA59E2"/>
    <w:rsid w:val="00FA5FA9"/>
    <w:rsid w:val="00FA63A6"/>
    <w:rsid w:val="00FA6874"/>
    <w:rsid w:val="00FA6A3B"/>
    <w:rsid w:val="00FA6D17"/>
    <w:rsid w:val="00FA6E9C"/>
    <w:rsid w:val="00FA6FFD"/>
    <w:rsid w:val="00FA70C1"/>
    <w:rsid w:val="00FA73B8"/>
    <w:rsid w:val="00FA7576"/>
    <w:rsid w:val="00FA75F2"/>
    <w:rsid w:val="00FA777B"/>
    <w:rsid w:val="00FA7A2C"/>
    <w:rsid w:val="00FA7C87"/>
    <w:rsid w:val="00FB019A"/>
    <w:rsid w:val="00FB036C"/>
    <w:rsid w:val="00FB05F2"/>
    <w:rsid w:val="00FB0672"/>
    <w:rsid w:val="00FB0704"/>
    <w:rsid w:val="00FB10DC"/>
    <w:rsid w:val="00FB11FC"/>
    <w:rsid w:val="00FB1686"/>
    <w:rsid w:val="00FB19C3"/>
    <w:rsid w:val="00FB1B1E"/>
    <w:rsid w:val="00FB1BAF"/>
    <w:rsid w:val="00FB1BCF"/>
    <w:rsid w:val="00FB1F44"/>
    <w:rsid w:val="00FB1F93"/>
    <w:rsid w:val="00FB214C"/>
    <w:rsid w:val="00FB22D0"/>
    <w:rsid w:val="00FB23D1"/>
    <w:rsid w:val="00FB2695"/>
    <w:rsid w:val="00FB26C7"/>
    <w:rsid w:val="00FB2858"/>
    <w:rsid w:val="00FB303F"/>
    <w:rsid w:val="00FB311F"/>
    <w:rsid w:val="00FB319D"/>
    <w:rsid w:val="00FB3430"/>
    <w:rsid w:val="00FB3442"/>
    <w:rsid w:val="00FB3481"/>
    <w:rsid w:val="00FB352A"/>
    <w:rsid w:val="00FB3AB0"/>
    <w:rsid w:val="00FB41CC"/>
    <w:rsid w:val="00FB4232"/>
    <w:rsid w:val="00FB4652"/>
    <w:rsid w:val="00FB4D40"/>
    <w:rsid w:val="00FB4D82"/>
    <w:rsid w:val="00FB5409"/>
    <w:rsid w:val="00FB5490"/>
    <w:rsid w:val="00FB5798"/>
    <w:rsid w:val="00FB5C3F"/>
    <w:rsid w:val="00FB600D"/>
    <w:rsid w:val="00FB6053"/>
    <w:rsid w:val="00FB611F"/>
    <w:rsid w:val="00FB6674"/>
    <w:rsid w:val="00FB68D2"/>
    <w:rsid w:val="00FB68DB"/>
    <w:rsid w:val="00FB6AE0"/>
    <w:rsid w:val="00FB6DF1"/>
    <w:rsid w:val="00FB6FE2"/>
    <w:rsid w:val="00FB7038"/>
    <w:rsid w:val="00FB74D0"/>
    <w:rsid w:val="00FB758A"/>
    <w:rsid w:val="00FB75CD"/>
    <w:rsid w:val="00FB7881"/>
    <w:rsid w:val="00FB7926"/>
    <w:rsid w:val="00FB7F02"/>
    <w:rsid w:val="00FB7F08"/>
    <w:rsid w:val="00FC0C2C"/>
    <w:rsid w:val="00FC0E4A"/>
    <w:rsid w:val="00FC1395"/>
    <w:rsid w:val="00FC1951"/>
    <w:rsid w:val="00FC1B2B"/>
    <w:rsid w:val="00FC1BF6"/>
    <w:rsid w:val="00FC1F57"/>
    <w:rsid w:val="00FC22EB"/>
    <w:rsid w:val="00FC239C"/>
    <w:rsid w:val="00FC247E"/>
    <w:rsid w:val="00FC2697"/>
    <w:rsid w:val="00FC27AC"/>
    <w:rsid w:val="00FC2F7C"/>
    <w:rsid w:val="00FC3366"/>
    <w:rsid w:val="00FC3506"/>
    <w:rsid w:val="00FC3B60"/>
    <w:rsid w:val="00FC3BE5"/>
    <w:rsid w:val="00FC3E6F"/>
    <w:rsid w:val="00FC3EC8"/>
    <w:rsid w:val="00FC430F"/>
    <w:rsid w:val="00FC4531"/>
    <w:rsid w:val="00FC4885"/>
    <w:rsid w:val="00FC4B27"/>
    <w:rsid w:val="00FC4B8E"/>
    <w:rsid w:val="00FC4E47"/>
    <w:rsid w:val="00FC51D3"/>
    <w:rsid w:val="00FC5353"/>
    <w:rsid w:val="00FC5664"/>
    <w:rsid w:val="00FC5B60"/>
    <w:rsid w:val="00FC5D81"/>
    <w:rsid w:val="00FC5EED"/>
    <w:rsid w:val="00FC65D6"/>
    <w:rsid w:val="00FC7413"/>
    <w:rsid w:val="00FC7425"/>
    <w:rsid w:val="00FC752F"/>
    <w:rsid w:val="00FC769B"/>
    <w:rsid w:val="00FC7854"/>
    <w:rsid w:val="00FC7B11"/>
    <w:rsid w:val="00FC7E80"/>
    <w:rsid w:val="00FD0560"/>
    <w:rsid w:val="00FD0CA4"/>
    <w:rsid w:val="00FD10CC"/>
    <w:rsid w:val="00FD1339"/>
    <w:rsid w:val="00FD1840"/>
    <w:rsid w:val="00FD187D"/>
    <w:rsid w:val="00FD1BDB"/>
    <w:rsid w:val="00FD1F6E"/>
    <w:rsid w:val="00FD2003"/>
    <w:rsid w:val="00FD2171"/>
    <w:rsid w:val="00FD21C0"/>
    <w:rsid w:val="00FD2513"/>
    <w:rsid w:val="00FD25CA"/>
    <w:rsid w:val="00FD2772"/>
    <w:rsid w:val="00FD2B32"/>
    <w:rsid w:val="00FD2C04"/>
    <w:rsid w:val="00FD2C58"/>
    <w:rsid w:val="00FD2C7A"/>
    <w:rsid w:val="00FD2E42"/>
    <w:rsid w:val="00FD2E58"/>
    <w:rsid w:val="00FD2F1D"/>
    <w:rsid w:val="00FD2F1E"/>
    <w:rsid w:val="00FD310F"/>
    <w:rsid w:val="00FD3191"/>
    <w:rsid w:val="00FD31B3"/>
    <w:rsid w:val="00FD32FD"/>
    <w:rsid w:val="00FD393C"/>
    <w:rsid w:val="00FD4100"/>
    <w:rsid w:val="00FD41DF"/>
    <w:rsid w:val="00FD4638"/>
    <w:rsid w:val="00FD46F1"/>
    <w:rsid w:val="00FD47DE"/>
    <w:rsid w:val="00FD4A05"/>
    <w:rsid w:val="00FD4A07"/>
    <w:rsid w:val="00FD4CC0"/>
    <w:rsid w:val="00FD4E4E"/>
    <w:rsid w:val="00FD54CC"/>
    <w:rsid w:val="00FD5684"/>
    <w:rsid w:val="00FD582E"/>
    <w:rsid w:val="00FD5972"/>
    <w:rsid w:val="00FD6009"/>
    <w:rsid w:val="00FD60A9"/>
    <w:rsid w:val="00FD612A"/>
    <w:rsid w:val="00FD614B"/>
    <w:rsid w:val="00FD6292"/>
    <w:rsid w:val="00FD62D9"/>
    <w:rsid w:val="00FD632A"/>
    <w:rsid w:val="00FD6BBF"/>
    <w:rsid w:val="00FD6C06"/>
    <w:rsid w:val="00FD7125"/>
    <w:rsid w:val="00FD7650"/>
    <w:rsid w:val="00FD781D"/>
    <w:rsid w:val="00FD7932"/>
    <w:rsid w:val="00FD7A22"/>
    <w:rsid w:val="00FD7F23"/>
    <w:rsid w:val="00FE00E9"/>
    <w:rsid w:val="00FE00FB"/>
    <w:rsid w:val="00FE012A"/>
    <w:rsid w:val="00FE017F"/>
    <w:rsid w:val="00FE0235"/>
    <w:rsid w:val="00FE03F7"/>
    <w:rsid w:val="00FE075B"/>
    <w:rsid w:val="00FE079F"/>
    <w:rsid w:val="00FE0ACE"/>
    <w:rsid w:val="00FE104D"/>
    <w:rsid w:val="00FE1746"/>
    <w:rsid w:val="00FE1773"/>
    <w:rsid w:val="00FE1940"/>
    <w:rsid w:val="00FE1B5E"/>
    <w:rsid w:val="00FE1C7D"/>
    <w:rsid w:val="00FE1DE2"/>
    <w:rsid w:val="00FE253D"/>
    <w:rsid w:val="00FE275C"/>
    <w:rsid w:val="00FE27ED"/>
    <w:rsid w:val="00FE2946"/>
    <w:rsid w:val="00FE29F7"/>
    <w:rsid w:val="00FE2CA2"/>
    <w:rsid w:val="00FE2E8F"/>
    <w:rsid w:val="00FE2EBB"/>
    <w:rsid w:val="00FE32D0"/>
    <w:rsid w:val="00FE3325"/>
    <w:rsid w:val="00FE3335"/>
    <w:rsid w:val="00FE39D8"/>
    <w:rsid w:val="00FE3A9A"/>
    <w:rsid w:val="00FE3B1D"/>
    <w:rsid w:val="00FE3B41"/>
    <w:rsid w:val="00FE3FAB"/>
    <w:rsid w:val="00FE41FE"/>
    <w:rsid w:val="00FE422D"/>
    <w:rsid w:val="00FE4BBC"/>
    <w:rsid w:val="00FE4EED"/>
    <w:rsid w:val="00FE512F"/>
    <w:rsid w:val="00FE5254"/>
    <w:rsid w:val="00FE534F"/>
    <w:rsid w:val="00FE5358"/>
    <w:rsid w:val="00FE5378"/>
    <w:rsid w:val="00FE54FA"/>
    <w:rsid w:val="00FE562A"/>
    <w:rsid w:val="00FE5631"/>
    <w:rsid w:val="00FE579E"/>
    <w:rsid w:val="00FE5941"/>
    <w:rsid w:val="00FE5A1C"/>
    <w:rsid w:val="00FE5B62"/>
    <w:rsid w:val="00FE5E9B"/>
    <w:rsid w:val="00FE5EB1"/>
    <w:rsid w:val="00FE5F5E"/>
    <w:rsid w:val="00FE635D"/>
    <w:rsid w:val="00FE6446"/>
    <w:rsid w:val="00FE646D"/>
    <w:rsid w:val="00FE654F"/>
    <w:rsid w:val="00FE67BC"/>
    <w:rsid w:val="00FE6B56"/>
    <w:rsid w:val="00FE6EFD"/>
    <w:rsid w:val="00FE6F55"/>
    <w:rsid w:val="00FE6F8D"/>
    <w:rsid w:val="00FE7032"/>
    <w:rsid w:val="00FE735B"/>
    <w:rsid w:val="00FE7406"/>
    <w:rsid w:val="00FE7513"/>
    <w:rsid w:val="00FE7572"/>
    <w:rsid w:val="00FE7591"/>
    <w:rsid w:val="00FE7A13"/>
    <w:rsid w:val="00FE7A87"/>
    <w:rsid w:val="00FE7F30"/>
    <w:rsid w:val="00FF01BE"/>
    <w:rsid w:val="00FF03E8"/>
    <w:rsid w:val="00FF0A8C"/>
    <w:rsid w:val="00FF0C08"/>
    <w:rsid w:val="00FF0DF5"/>
    <w:rsid w:val="00FF11DA"/>
    <w:rsid w:val="00FF12BF"/>
    <w:rsid w:val="00FF184F"/>
    <w:rsid w:val="00FF19A3"/>
    <w:rsid w:val="00FF1D13"/>
    <w:rsid w:val="00FF1FC5"/>
    <w:rsid w:val="00FF20BC"/>
    <w:rsid w:val="00FF2196"/>
    <w:rsid w:val="00FF21AD"/>
    <w:rsid w:val="00FF22EE"/>
    <w:rsid w:val="00FF255C"/>
    <w:rsid w:val="00FF273A"/>
    <w:rsid w:val="00FF2B87"/>
    <w:rsid w:val="00FF2B88"/>
    <w:rsid w:val="00FF2CB5"/>
    <w:rsid w:val="00FF2F74"/>
    <w:rsid w:val="00FF3055"/>
    <w:rsid w:val="00FF332F"/>
    <w:rsid w:val="00FF34A4"/>
    <w:rsid w:val="00FF3617"/>
    <w:rsid w:val="00FF3900"/>
    <w:rsid w:val="00FF3A83"/>
    <w:rsid w:val="00FF3C39"/>
    <w:rsid w:val="00FF3CFC"/>
    <w:rsid w:val="00FF42D5"/>
    <w:rsid w:val="00FF4433"/>
    <w:rsid w:val="00FF475C"/>
    <w:rsid w:val="00FF48B0"/>
    <w:rsid w:val="00FF4BB3"/>
    <w:rsid w:val="00FF4C1A"/>
    <w:rsid w:val="00FF4FEF"/>
    <w:rsid w:val="00FF53E7"/>
    <w:rsid w:val="00FF5563"/>
    <w:rsid w:val="00FF5741"/>
    <w:rsid w:val="00FF577B"/>
    <w:rsid w:val="00FF578B"/>
    <w:rsid w:val="00FF5AD7"/>
    <w:rsid w:val="00FF609B"/>
    <w:rsid w:val="00FF628C"/>
    <w:rsid w:val="00FF63A1"/>
    <w:rsid w:val="00FF645C"/>
    <w:rsid w:val="00FF6559"/>
    <w:rsid w:val="00FF66F5"/>
    <w:rsid w:val="00FF68D0"/>
    <w:rsid w:val="00FF71E2"/>
    <w:rsid w:val="00FF76D4"/>
    <w:rsid w:val="00FF774E"/>
    <w:rsid w:val="00FF7B31"/>
    <w:rsid w:val="00FF7BBD"/>
    <w:rsid w:val="00FF7B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13409"/>
    <o:shapelayout v:ext="edit">
      <o:idmap v:ext="edit" data="1"/>
    </o:shapelayout>
  </w:shapeDefaults>
  <w:decimalSymbol w:val="."/>
  <w:listSeparator w:val=";"/>
  <w14:docId w14:val="4AF48738"/>
  <w15:docId w15:val="{7E574C88-805E-4611-9BD7-88F5B4A5F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95BB1"/>
    <w:rPr>
      <w:rFonts w:ascii="Times New Roman" w:hAnsi="Times New Roman"/>
      <w:sz w:val="24"/>
    </w:rPr>
  </w:style>
  <w:style w:type="paragraph" w:styleId="Heading1">
    <w:name w:val="heading 1"/>
    <w:basedOn w:val="Normal"/>
    <w:next w:val="Normal"/>
    <w:link w:val="Heading1Char"/>
    <w:qFormat/>
    <w:rsid w:val="002B196D"/>
    <w:pPr>
      <w:keepNext/>
      <w:keepLines/>
      <w:spacing w:after="120" w:line="240" w:lineRule="auto"/>
      <w:jc w:val="center"/>
      <w:outlineLvl w:val="0"/>
    </w:pPr>
    <w:rPr>
      <w:rFonts w:eastAsiaTheme="majorEastAsia" w:cs="Times New Roman"/>
      <w:b/>
      <w:bCs/>
      <w:color w:val="244061" w:themeColor="accent1" w:themeShade="80"/>
      <w:sz w:val="28"/>
      <w:szCs w:val="28"/>
    </w:rPr>
  </w:style>
  <w:style w:type="paragraph" w:styleId="Heading2">
    <w:name w:val="heading 2"/>
    <w:aliases w:val="Heading1"/>
    <w:basedOn w:val="Normal"/>
    <w:next w:val="Normal"/>
    <w:link w:val="Heading2Char"/>
    <w:uiPriority w:val="9"/>
    <w:unhideWhenUsed/>
    <w:qFormat/>
    <w:rsid w:val="008515BB"/>
    <w:pPr>
      <w:keepNext/>
      <w:keepLines/>
      <w:spacing w:before="360" w:after="120" w:line="240" w:lineRule="auto"/>
      <w:outlineLvl w:val="1"/>
    </w:pPr>
    <w:rPr>
      <w:rFonts w:eastAsiaTheme="majorEastAsia" w:cs="Times New Roman"/>
      <w:b/>
      <w:bCs/>
      <w:color w:val="17365D"/>
      <w:szCs w:val="26"/>
      <w:u w:val="single"/>
    </w:rPr>
  </w:style>
  <w:style w:type="paragraph" w:styleId="Heading3">
    <w:name w:val="heading 3"/>
    <w:aliases w:val="Heading2"/>
    <w:basedOn w:val="Heading2"/>
    <w:next w:val="Normal"/>
    <w:link w:val="Heading3Char"/>
    <w:qFormat/>
    <w:rsid w:val="008515BB"/>
    <w:pPr>
      <w:keepNext w:val="0"/>
      <w:keepLines w:val="0"/>
      <w:spacing w:before="240"/>
      <w:ind w:firstLine="284"/>
      <w:outlineLvl w:val="2"/>
    </w:pPr>
    <w:rPr>
      <w:rFonts w:eastAsiaTheme="minorHAnsi"/>
      <w:iCs/>
      <w:szCs w:val="24"/>
      <w:u w:val="none"/>
    </w:rPr>
  </w:style>
  <w:style w:type="paragraph" w:styleId="Heading4">
    <w:name w:val="heading 4"/>
    <w:aliases w:val="Piezīme,4piezīme_bold"/>
    <w:basedOn w:val="Normal"/>
    <w:next w:val="Normal"/>
    <w:link w:val="Heading4Char"/>
    <w:unhideWhenUsed/>
    <w:qFormat/>
    <w:rsid w:val="005A3758"/>
    <w:pPr>
      <w:keepNext/>
      <w:keepLines/>
      <w:spacing w:before="240"/>
      <w:ind w:left="284"/>
      <w:outlineLvl w:val="3"/>
    </w:pPr>
    <w:rPr>
      <w:rFonts w:cstheme="majorBidi"/>
      <w:b/>
      <w:bCs/>
      <w:i/>
      <w:iCs/>
      <w:color w:val="17365D"/>
    </w:rPr>
  </w:style>
  <w:style w:type="paragraph" w:styleId="Heading5">
    <w:name w:val="heading 5"/>
    <w:aliases w:val="Piezīme2,5piezīme"/>
    <w:basedOn w:val="Normal"/>
    <w:next w:val="Normal"/>
    <w:link w:val="Heading5Char"/>
    <w:unhideWhenUsed/>
    <w:qFormat/>
    <w:rsid w:val="000D2C39"/>
    <w:pPr>
      <w:keepNext/>
      <w:keepLines/>
      <w:spacing w:before="240" w:after="120" w:line="240" w:lineRule="auto"/>
      <w:ind w:left="284"/>
      <w:outlineLvl w:val="4"/>
    </w:pPr>
    <w:rPr>
      <w:rFonts w:cs="Times New Roman"/>
      <w:i/>
      <w:color w:val="17365D"/>
    </w:rPr>
  </w:style>
  <w:style w:type="paragraph" w:styleId="Heading6">
    <w:name w:val="heading 6"/>
    <w:basedOn w:val="Normal"/>
    <w:next w:val="Normal"/>
    <w:link w:val="Heading6Char"/>
    <w:rsid w:val="00423745"/>
    <w:pPr>
      <w:keepNext/>
      <w:spacing w:after="0" w:line="240" w:lineRule="auto"/>
      <w:jc w:val="center"/>
      <w:outlineLvl w:val="5"/>
    </w:pPr>
    <w:rPr>
      <w:rFonts w:eastAsia="Times New Roman" w:cs="Times New Roman"/>
      <w:b/>
      <w:bCs/>
      <w:szCs w:val="24"/>
    </w:rPr>
  </w:style>
  <w:style w:type="paragraph" w:styleId="Heading7">
    <w:name w:val="heading 7"/>
    <w:basedOn w:val="Normal"/>
    <w:next w:val="Normal"/>
    <w:link w:val="Heading7Char"/>
    <w:unhideWhenUsed/>
    <w:rsid w:val="00D41F06"/>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rsid w:val="00423745"/>
    <w:p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rsid w:val="00423745"/>
    <w:p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E2CA4"/>
    <w:rPr>
      <w:sz w:val="16"/>
      <w:szCs w:val="16"/>
    </w:rPr>
  </w:style>
  <w:style w:type="paragraph" w:styleId="CommentText">
    <w:name w:val="annotation text"/>
    <w:basedOn w:val="Normal"/>
    <w:link w:val="CommentTextChar"/>
    <w:uiPriority w:val="99"/>
    <w:unhideWhenUsed/>
    <w:rsid w:val="009E2CA4"/>
    <w:rPr>
      <w:sz w:val="20"/>
      <w:szCs w:val="20"/>
    </w:rPr>
  </w:style>
  <w:style w:type="character" w:customStyle="1" w:styleId="CommentTextChar">
    <w:name w:val="Comment Text Char"/>
    <w:basedOn w:val="DefaultParagraphFont"/>
    <w:link w:val="CommentText"/>
    <w:uiPriority w:val="99"/>
    <w:rsid w:val="009E2CA4"/>
    <w:rPr>
      <w:sz w:val="20"/>
      <w:szCs w:val="20"/>
    </w:rPr>
  </w:style>
  <w:style w:type="paragraph" w:styleId="CommentSubject">
    <w:name w:val="annotation subject"/>
    <w:basedOn w:val="CommentText"/>
    <w:next w:val="CommentText"/>
    <w:link w:val="CommentSubjectChar"/>
    <w:uiPriority w:val="99"/>
    <w:semiHidden/>
    <w:unhideWhenUsed/>
    <w:rsid w:val="009E2CA4"/>
    <w:rPr>
      <w:b/>
      <w:bCs/>
    </w:rPr>
  </w:style>
  <w:style w:type="character" w:customStyle="1" w:styleId="CommentSubjectChar">
    <w:name w:val="Comment Subject Char"/>
    <w:basedOn w:val="CommentTextChar"/>
    <w:link w:val="CommentSubject"/>
    <w:uiPriority w:val="99"/>
    <w:semiHidden/>
    <w:rsid w:val="009E2CA4"/>
    <w:rPr>
      <w:b/>
      <w:bCs/>
      <w:sz w:val="20"/>
      <w:szCs w:val="20"/>
    </w:rPr>
  </w:style>
  <w:style w:type="paragraph" w:styleId="BalloonText">
    <w:name w:val="Balloon Text"/>
    <w:basedOn w:val="Normal"/>
    <w:link w:val="BalloonTextChar"/>
    <w:uiPriority w:val="99"/>
    <w:semiHidden/>
    <w:unhideWhenUsed/>
    <w:rsid w:val="009E2CA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CA4"/>
    <w:rPr>
      <w:rFonts w:ascii="Tahoma" w:hAnsi="Tahoma" w:cs="Tahoma"/>
      <w:sz w:val="16"/>
      <w:szCs w:val="16"/>
    </w:rPr>
  </w:style>
  <w:style w:type="paragraph" w:customStyle="1" w:styleId="Lielievirsraksti">
    <w:name w:val="Lielie virsraksti"/>
    <w:basedOn w:val="Normal"/>
    <w:rsid w:val="004A2B38"/>
    <w:pPr>
      <w:numPr>
        <w:numId w:val="1"/>
      </w:numPr>
      <w:spacing w:before="120"/>
    </w:pPr>
    <w:rPr>
      <w:rFonts w:eastAsia="Times New Roman" w:cs="Times New Roman"/>
      <w:b/>
      <w:szCs w:val="24"/>
    </w:rPr>
  </w:style>
  <w:style w:type="paragraph" w:customStyle="1" w:styleId="Apakvirsraksti">
    <w:name w:val="Apakšvirsraksti"/>
    <w:basedOn w:val="Normal"/>
    <w:rsid w:val="004A2B38"/>
    <w:pPr>
      <w:numPr>
        <w:ilvl w:val="1"/>
        <w:numId w:val="1"/>
      </w:numPr>
      <w:spacing w:before="120"/>
    </w:pPr>
    <w:rPr>
      <w:rFonts w:eastAsia="Times New Roman" w:cs="Times New Roman"/>
      <w:b/>
      <w:szCs w:val="24"/>
    </w:rPr>
  </w:style>
  <w:style w:type="paragraph" w:styleId="BodyText2">
    <w:name w:val="Body Text 2"/>
    <w:basedOn w:val="Normal"/>
    <w:link w:val="BodyText2Char"/>
    <w:unhideWhenUsed/>
    <w:rsid w:val="00081748"/>
    <w:pPr>
      <w:spacing w:line="480" w:lineRule="auto"/>
    </w:pPr>
  </w:style>
  <w:style w:type="character" w:customStyle="1" w:styleId="BodyText2Char">
    <w:name w:val="Body Text 2 Char"/>
    <w:basedOn w:val="DefaultParagraphFont"/>
    <w:link w:val="BodyText2"/>
    <w:rsid w:val="00081748"/>
  </w:style>
  <w:style w:type="paragraph" w:styleId="BodyTextIndent">
    <w:name w:val="Body Text Indent"/>
    <w:basedOn w:val="Normal"/>
    <w:link w:val="BodyTextIndentChar"/>
    <w:unhideWhenUsed/>
    <w:rsid w:val="00933EE3"/>
    <w:pPr>
      <w:ind w:left="283"/>
    </w:pPr>
  </w:style>
  <w:style w:type="character" w:customStyle="1" w:styleId="BodyTextIndentChar">
    <w:name w:val="Body Text Indent Char"/>
    <w:basedOn w:val="DefaultParagraphFont"/>
    <w:link w:val="BodyTextIndent"/>
    <w:rsid w:val="00933EE3"/>
  </w:style>
  <w:style w:type="paragraph" w:styleId="Header">
    <w:name w:val="header"/>
    <w:basedOn w:val="Normal"/>
    <w:link w:val="HeaderChar"/>
    <w:uiPriority w:val="99"/>
    <w:unhideWhenUsed/>
    <w:rsid w:val="00C25339"/>
    <w:pPr>
      <w:tabs>
        <w:tab w:val="center" w:pos="4153"/>
        <w:tab w:val="right" w:pos="8306"/>
      </w:tabs>
      <w:spacing w:after="0"/>
    </w:pPr>
  </w:style>
  <w:style w:type="character" w:customStyle="1" w:styleId="HeaderChar">
    <w:name w:val="Header Char"/>
    <w:basedOn w:val="DefaultParagraphFont"/>
    <w:link w:val="Header"/>
    <w:uiPriority w:val="99"/>
    <w:rsid w:val="00C25339"/>
  </w:style>
  <w:style w:type="paragraph" w:styleId="Footer">
    <w:name w:val="footer"/>
    <w:basedOn w:val="Normal"/>
    <w:link w:val="FooterChar"/>
    <w:uiPriority w:val="99"/>
    <w:unhideWhenUsed/>
    <w:rsid w:val="00C25339"/>
    <w:pPr>
      <w:tabs>
        <w:tab w:val="center" w:pos="4153"/>
        <w:tab w:val="right" w:pos="8306"/>
      </w:tabs>
      <w:spacing w:after="0"/>
    </w:pPr>
  </w:style>
  <w:style w:type="character" w:customStyle="1" w:styleId="FooterChar">
    <w:name w:val="Footer Char"/>
    <w:basedOn w:val="DefaultParagraphFont"/>
    <w:link w:val="Footer"/>
    <w:uiPriority w:val="99"/>
    <w:rsid w:val="00C25339"/>
  </w:style>
  <w:style w:type="paragraph" w:customStyle="1" w:styleId="tv2131">
    <w:name w:val="tv2131"/>
    <w:basedOn w:val="Normal"/>
    <w:rsid w:val="00B161AD"/>
    <w:pPr>
      <w:spacing w:after="0" w:line="360" w:lineRule="auto"/>
      <w:ind w:firstLine="300"/>
    </w:pPr>
    <w:rPr>
      <w:rFonts w:eastAsia="Times New Roman" w:cs="Times New Roman"/>
      <w:color w:val="414142"/>
      <w:sz w:val="20"/>
      <w:szCs w:val="20"/>
      <w:lang w:eastAsia="lv-LV"/>
    </w:rPr>
  </w:style>
  <w:style w:type="paragraph" w:customStyle="1" w:styleId="labojumupamats1">
    <w:name w:val="labojumu_pamats1"/>
    <w:basedOn w:val="Normal"/>
    <w:rsid w:val="008B79DC"/>
    <w:pPr>
      <w:spacing w:before="45" w:after="0" w:line="360" w:lineRule="auto"/>
      <w:ind w:firstLine="300"/>
    </w:pPr>
    <w:rPr>
      <w:rFonts w:eastAsia="Times New Roman" w:cs="Times New Roman"/>
      <w:i/>
      <w:iCs/>
      <w:color w:val="414142"/>
      <w:sz w:val="20"/>
      <w:szCs w:val="20"/>
      <w:lang w:eastAsia="lv-LV"/>
    </w:rPr>
  </w:style>
  <w:style w:type="paragraph" w:styleId="Revision">
    <w:name w:val="Revision"/>
    <w:hidden/>
    <w:uiPriority w:val="99"/>
    <w:semiHidden/>
    <w:rsid w:val="00533296"/>
    <w:pPr>
      <w:spacing w:after="0" w:line="240" w:lineRule="auto"/>
    </w:pPr>
  </w:style>
  <w:style w:type="paragraph" w:customStyle="1" w:styleId="tv2133">
    <w:name w:val="tv2133"/>
    <w:basedOn w:val="Normal"/>
    <w:rsid w:val="009F5E79"/>
    <w:pPr>
      <w:spacing w:after="0" w:line="360" w:lineRule="auto"/>
      <w:ind w:firstLine="300"/>
    </w:pPr>
    <w:rPr>
      <w:rFonts w:eastAsia="Times New Roman" w:cs="Times New Roman"/>
      <w:color w:val="414142"/>
      <w:sz w:val="20"/>
      <w:szCs w:val="20"/>
      <w:lang w:eastAsia="lv-LV"/>
    </w:rPr>
  </w:style>
  <w:style w:type="paragraph" w:styleId="ListParagraph">
    <w:name w:val="List Paragraph"/>
    <w:aliases w:val="2,Akapit z listą BS,H&amp;P List Paragraph,Strip,Syle 1,virsraksts3,Numbered Para 1,Dot pt,No Spacing1,List Paragraph Char Char Char,Indicator Text,Bullet 1,Bullet Points,MAIN CONTENT,IFCL - List Paragraph,List Paragraph12,OBC Bullet,リスト段"/>
    <w:basedOn w:val="Normal"/>
    <w:link w:val="ListParagraphChar"/>
    <w:uiPriority w:val="34"/>
    <w:rsid w:val="001E6F63"/>
    <w:pPr>
      <w:ind w:left="720"/>
      <w:contextualSpacing/>
    </w:pPr>
  </w:style>
  <w:style w:type="character" w:customStyle="1" w:styleId="Heading3Char">
    <w:name w:val="Heading 3 Char"/>
    <w:aliases w:val="Heading2 Char"/>
    <w:basedOn w:val="DefaultParagraphFont"/>
    <w:link w:val="Heading3"/>
    <w:rsid w:val="008515BB"/>
    <w:rPr>
      <w:rFonts w:ascii="Times New Roman" w:hAnsi="Times New Roman" w:cs="Times New Roman"/>
      <w:b/>
      <w:bCs/>
      <w:iCs/>
      <w:color w:val="17365D"/>
      <w:sz w:val="24"/>
      <w:szCs w:val="24"/>
    </w:rPr>
  </w:style>
  <w:style w:type="character" w:customStyle="1" w:styleId="Heading2Char">
    <w:name w:val="Heading 2 Char"/>
    <w:aliases w:val="Heading1 Char"/>
    <w:basedOn w:val="DefaultParagraphFont"/>
    <w:link w:val="Heading2"/>
    <w:uiPriority w:val="9"/>
    <w:rsid w:val="008515BB"/>
    <w:rPr>
      <w:rFonts w:ascii="Times New Roman" w:eastAsiaTheme="majorEastAsia" w:hAnsi="Times New Roman" w:cs="Times New Roman"/>
      <w:b/>
      <w:bCs/>
      <w:color w:val="17365D"/>
      <w:sz w:val="24"/>
      <w:szCs w:val="26"/>
      <w:u w:val="single"/>
    </w:rPr>
  </w:style>
  <w:style w:type="paragraph" w:styleId="ListBullet">
    <w:name w:val="List Bullet"/>
    <w:basedOn w:val="Normal"/>
    <w:uiPriority w:val="99"/>
    <w:unhideWhenUsed/>
    <w:rsid w:val="004F3003"/>
    <w:pPr>
      <w:spacing w:before="60" w:after="60"/>
      <w:ind w:left="1701" w:hanging="357"/>
    </w:pPr>
    <w:rPr>
      <w:rFonts w:cs="Times New Roman"/>
    </w:rPr>
  </w:style>
  <w:style w:type="paragraph" w:styleId="NormalWeb">
    <w:name w:val="Normal (Web)"/>
    <w:aliases w:val="Parastais (Web)"/>
    <w:basedOn w:val="Normal"/>
    <w:uiPriority w:val="99"/>
    <w:unhideWhenUsed/>
    <w:rsid w:val="00576D71"/>
    <w:pPr>
      <w:spacing w:before="100" w:beforeAutospacing="1" w:after="100" w:afterAutospacing="1"/>
    </w:pPr>
    <w:rPr>
      <w:rFonts w:eastAsia="Times New Roman" w:cs="Times New Roman"/>
      <w:szCs w:val="24"/>
      <w:lang w:eastAsia="lv-LV"/>
    </w:rPr>
  </w:style>
  <w:style w:type="character" w:styleId="Hyperlink">
    <w:name w:val="Hyperlink"/>
    <w:basedOn w:val="DefaultParagraphFont"/>
    <w:uiPriority w:val="99"/>
    <w:unhideWhenUsed/>
    <w:rsid w:val="00801297"/>
    <w:rPr>
      <w:color w:val="0000FF" w:themeColor="hyperlink"/>
      <w:u w:val="single"/>
    </w:rPr>
  </w:style>
  <w:style w:type="character" w:customStyle="1" w:styleId="Heading1Char">
    <w:name w:val="Heading 1 Char"/>
    <w:basedOn w:val="DefaultParagraphFont"/>
    <w:link w:val="Heading1"/>
    <w:rsid w:val="002B196D"/>
    <w:rPr>
      <w:rFonts w:ascii="Times New Roman" w:eastAsiaTheme="majorEastAsia" w:hAnsi="Times New Roman" w:cs="Times New Roman"/>
      <w:b/>
      <w:bCs/>
      <w:color w:val="244061" w:themeColor="accent1" w:themeShade="80"/>
      <w:sz w:val="28"/>
      <w:szCs w:val="28"/>
    </w:rPr>
  </w:style>
  <w:style w:type="paragraph" w:customStyle="1" w:styleId="Tabulasnosaukums1">
    <w:name w:val="Tabulas nosaukums1"/>
    <w:basedOn w:val="Normal"/>
    <w:link w:val="Tabulasnosaukums1Char"/>
    <w:rsid w:val="00A1037E"/>
    <w:pPr>
      <w:spacing w:before="240" w:after="0"/>
      <w:jc w:val="right"/>
    </w:pPr>
    <w:rPr>
      <w:sz w:val="20"/>
      <w:szCs w:val="24"/>
    </w:rPr>
  </w:style>
  <w:style w:type="paragraph" w:customStyle="1" w:styleId="Tabulasvirsraksts">
    <w:name w:val="Tabulas virsraksts"/>
    <w:basedOn w:val="Normal"/>
    <w:link w:val="TabulasvirsrakstsChar"/>
    <w:rsid w:val="00A1037E"/>
    <w:pPr>
      <w:spacing w:before="240" w:after="0"/>
      <w:jc w:val="center"/>
    </w:pPr>
    <w:rPr>
      <w:b/>
      <w:sz w:val="20"/>
      <w:szCs w:val="24"/>
    </w:rPr>
  </w:style>
  <w:style w:type="character" w:customStyle="1" w:styleId="Tabulasnosaukums1Char">
    <w:name w:val="Tabulas nosaukums1 Char"/>
    <w:basedOn w:val="DefaultParagraphFont"/>
    <w:link w:val="Tabulasnosaukums1"/>
    <w:rsid w:val="00A1037E"/>
    <w:rPr>
      <w:rFonts w:ascii="Times New Roman" w:hAnsi="Times New Roman"/>
      <w:sz w:val="20"/>
      <w:szCs w:val="24"/>
    </w:rPr>
  </w:style>
  <w:style w:type="character" w:customStyle="1" w:styleId="Heading7Char">
    <w:name w:val="Heading 7 Char"/>
    <w:basedOn w:val="DefaultParagraphFont"/>
    <w:link w:val="Heading7"/>
    <w:rsid w:val="00D41F06"/>
    <w:rPr>
      <w:rFonts w:asciiTheme="majorHAnsi" w:eastAsiaTheme="majorEastAsia" w:hAnsiTheme="majorHAnsi" w:cstheme="majorBidi"/>
      <w:i/>
      <w:iCs/>
      <w:color w:val="404040" w:themeColor="text1" w:themeTint="BF"/>
    </w:rPr>
  </w:style>
  <w:style w:type="character" w:customStyle="1" w:styleId="TabulasvirsrakstsChar">
    <w:name w:val="Tabulas virsraksts Char"/>
    <w:basedOn w:val="DefaultParagraphFont"/>
    <w:link w:val="Tabulasvirsraksts"/>
    <w:rsid w:val="00A1037E"/>
    <w:rPr>
      <w:rFonts w:ascii="Times New Roman" w:hAnsi="Times New Roman"/>
      <w:b/>
      <w:sz w:val="20"/>
      <w:szCs w:val="24"/>
    </w:rPr>
  </w:style>
  <w:style w:type="paragraph" w:styleId="BodyText">
    <w:name w:val="Body Text"/>
    <w:basedOn w:val="Normal"/>
    <w:link w:val="BodyTextChar"/>
    <w:uiPriority w:val="99"/>
    <w:unhideWhenUsed/>
    <w:rsid w:val="00D41F06"/>
    <w:rPr>
      <w:rFonts w:asciiTheme="minorHAnsi" w:hAnsiTheme="minorHAnsi"/>
      <w:sz w:val="22"/>
    </w:rPr>
  </w:style>
  <w:style w:type="character" w:customStyle="1" w:styleId="BodyTextChar">
    <w:name w:val="Body Text Char"/>
    <w:basedOn w:val="DefaultParagraphFont"/>
    <w:link w:val="BodyText"/>
    <w:uiPriority w:val="99"/>
    <w:rsid w:val="00D41F06"/>
  </w:style>
  <w:style w:type="paragraph" w:styleId="Title">
    <w:name w:val="Title"/>
    <w:basedOn w:val="Normal"/>
    <w:link w:val="TitleChar"/>
    <w:uiPriority w:val="10"/>
    <w:qFormat/>
    <w:rsid w:val="00F53AD9"/>
    <w:pPr>
      <w:spacing w:after="300" w:line="240" w:lineRule="auto"/>
      <w:jc w:val="center"/>
    </w:pPr>
    <w:rPr>
      <w:rFonts w:eastAsia="Times New Roman" w:cs="Times New Roman"/>
      <w:b/>
      <w:color w:val="17365D"/>
      <w:sz w:val="28"/>
      <w:szCs w:val="20"/>
    </w:rPr>
  </w:style>
  <w:style w:type="character" w:customStyle="1" w:styleId="TitleChar">
    <w:name w:val="Title Char"/>
    <w:basedOn w:val="DefaultParagraphFont"/>
    <w:link w:val="Title"/>
    <w:uiPriority w:val="10"/>
    <w:rsid w:val="00F53AD9"/>
    <w:rPr>
      <w:rFonts w:ascii="Times New Roman" w:eastAsia="Times New Roman" w:hAnsi="Times New Roman" w:cs="Times New Roman"/>
      <w:b/>
      <w:color w:val="17365D"/>
      <w:sz w:val="28"/>
      <w:szCs w:val="20"/>
    </w:rPr>
  </w:style>
  <w:style w:type="paragraph" w:styleId="BodyTextIndent2">
    <w:name w:val="Body Text Indent 2"/>
    <w:basedOn w:val="Normal"/>
    <w:link w:val="BodyTextIndent2Char"/>
    <w:unhideWhenUsed/>
    <w:rsid w:val="00D41F06"/>
    <w:pPr>
      <w:spacing w:line="480" w:lineRule="auto"/>
      <w:ind w:left="283"/>
    </w:pPr>
    <w:rPr>
      <w:rFonts w:asciiTheme="minorHAnsi" w:hAnsiTheme="minorHAnsi"/>
      <w:sz w:val="22"/>
    </w:rPr>
  </w:style>
  <w:style w:type="character" w:customStyle="1" w:styleId="BodyTextIndent2Char">
    <w:name w:val="Body Text Indent 2 Char"/>
    <w:basedOn w:val="DefaultParagraphFont"/>
    <w:link w:val="BodyTextIndent2"/>
    <w:rsid w:val="00D41F06"/>
  </w:style>
  <w:style w:type="character" w:customStyle="1" w:styleId="Heading4Char">
    <w:name w:val="Heading 4 Char"/>
    <w:aliases w:val="Piezīme Char,4piezīme_bold Char"/>
    <w:basedOn w:val="DefaultParagraphFont"/>
    <w:link w:val="Heading4"/>
    <w:rsid w:val="005A3758"/>
    <w:rPr>
      <w:rFonts w:ascii="Times New Roman" w:hAnsi="Times New Roman" w:cstheme="majorBidi"/>
      <w:b/>
      <w:bCs/>
      <w:i/>
      <w:iCs/>
      <w:color w:val="17365D"/>
      <w:sz w:val="24"/>
    </w:rPr>
  </w:style>
  <w:style w:type="character" w:customStyle="1" w:styleId="Heading5Char">
    <w:name w:val="Heading 5 Char"/>
    <w:aliases w:val="Piezīme2 Char,5piezīme Char"/>
    <w:basedOn w:val="DefaultParagraphFont"/>
    <w:link w:val="Heading5"/>
    <w:rsid w:val="000D2C39"/>
    <w:rPr>
      <w:rFonts w:ascii="Times New Roman" w:hAnsi="Times New Roman" w:cs="Times New Roman"/>
      <w:i/>
      <w:color w:val="17365D"/>
      <w:sz w:val="24"/>
    </w:rPr>
  </w:style>
  <w:style w:type="character" w:customStyle="1" w:styleId="tvhtml">
    <w:name w:val="tv_html"/>
    <w:basedOn w:val="DefaultParagraphFont"/>
    <w:rsid w:val="004726F6"/>
  </w:style>
  <w:style w:type="character" w:styleId="FollowedHyperlink">
    <w:name w:val="FollowedHyperlink"/>
    <w:basedOn w:val="DefaultParagraphFont"/>
    <w:uiPriority w:val="99"/>
    <w:semiHidden/>
    <w:unhideWhenUsed/>
    <w:rsid w:val="00624421"/>
    <w:rPr>
      <w:color w:val="800080" w:themeColor="followedHyperlink"/>
      <w:u w:val="single"/>
    </w:rPr>
  </w:style>
  <w:style w:type="paragraph" w:customStyle="1" w:styleId="tv2132">
    <w:name w:val="tv2132"/>
    <w:basedOn w:val="Normal"/>
    <w:rsid w:val="00A2465E"/>
    <w:pPr>
      <w:spacing w:after="0" w:line="360" w:lineRule="auto"/>
      <w:ind w:firstLine="300"/>
    </w:pPr>
    <w:rPr>
      <w:rFonts w:eastAsia="Times New Roman" w:cs="Times New Roman"/>
      <w:color w:val="414142"/>
      <w:sz w:val="20"/>
      <w:szCs w:val="20"/>
      <w:lang w:eastAsia="lv-LV"/>
    </w:rPr>
  </w:style>
  <w:style w:type="paragraph" w:styleId="FootnoteText">
    <w:name w:val="footnote text"/>
    <w:aliases w:val="Footnote,Fußnote,Fußnote Rakstz.,Char,Char Rakstz. Rakstz. Rakstz.,Footnote Text Char2,Footnote Text Char1 Char,Footnote Text Char1 Char Char Char,Footnote Text Char1 Char Char Char Rakstz. Rakstz.,Fußnote Char Char Char Char Char Char, Ch"/>
    <w:basedOn w:val="Normal"/>
    <w:link w:val="FootnoteTextChar"/>
    <w:unhideWhenUsed/>
    <w:qFormat/>
    <w:rsid w:val="007E7321"/>
    <w:pPr>
      <w:spacing w:after="0" w:line="240" w:lineRule="auto"/>
      <w:jc w:val="both"/>
    </w:pPr>
    <w:rPr>
      <w:color w:val="17365D"/>
      <w:sz w:val="20"/>
      <w:szCs w:val="20"/>
    </w:rPr>
  </w:style>
  <w:style w:type="character" w:customStyle="1" w:styleId="FootnoteTextChar">
    <w:name w:val="Footnote Text Char"/>
    <w:aliases w:val="Footnote Char,Fußnote Char,Fußnote Rakstz. Char,Char Char,Char Rakstz. Rakstz. Rakstz. Char,Footnote Text Char2 Char,Footnote Text Char1 Char Char,Footnote Text Char1 Char Char Char Char,Fußnote Char Char Char Char Char Char Char"/>
    <w:basedOn w:val="DefaultParagraphFont"/>
    <w:link w:val="FootnoteText"/>
    <w:rsid w:val="007E7321"/>
    <w:rPr>
      <w:rFonts w:ascii="Times New Roman" w:hAnsi="Times New Roman"/>
      <w:color w:val="17365D"/>
      <w:sz w:val="20"/>
      <w:szCs w:val="20"/>
    </w:rPr>
  </w:style>
  <w:style w:type="character" w:styleId="FootnoteReference">
    <w:name w:val="footnote reference"/>
    <w:aliases w:val="Footnote Reference Number,Footnote symbol,SUPERS,Footnote Reference Superscript,Footnote Refernece,ftref,Odwołanie przypisu,BVI fnr,Footnotes refss,Ref,de nota al pie,-E Fußnotenzeichen,Footnote reference number,E,E FNZ,number"/>
    <w:basedOn w:val="DefaultParagraphFont"/>
    <w:unhideWhenUsed/>
    <w:rsid w:val="002B72EF"/>
    <w:rPr>
      <w:vertAlign w:val="superscript"/>
    </w:rPr>
  </w:style>
  <w:style w:type="character" w:styleId="Emphasis">
    <w:name w:val="Emphasis"/>
    <w:basedOn w:val="DefaultParagraphFont"/>
    <w:uiPriority w:val="20"/>
    <w:rsid w:val="000D277E"/>
    <w:rPr>
      <w:i/>
      <w:iCs/>
    </w:rPr>
  </w:style>
  <w:style w:type="table" w:styleId="TableGrid">
    <w:name w:val="Table Grid"/>
    <w:basedOn w:val="TableNormal"/>
    <w:uiPriority w:val="39"/>
    <w:rsid w:val="00D74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sts">
    <w:name w:val="parasts"/>
    <w:basedOn w:val="Normal"/>
    <w:rsid w:val="002C5730"/>
    <w:pPr>
      <w:tabs>
        <w:tab w:val="num" w:pos="360"/>
      </w:tabs>
      <w:spacing w:after="0"/>
      <w:ind w:left="1154" w:hanging="794"/>
    </w:pPr>
    <w:rPr>
      <w:rFonts w:eastAsia="Times New Roman" w:cs="Times New Roman"/>
      <w:szCs w:val="24"/>
      <w:lang w:eastAsia="lv-LV"/>
    </w:rPr>
  </w:style>
  <w:style w:type="paragraph" w:styleId="NormalIndent">
    <w:name w:val="Normal Indent"/>
    <w:basedOn w:val="Normal"/>
    <w:rsid w:val="002C5730"/>
    <w:pPr>
      <w:tabs>
        <w:tab w:val="num" w:pos="1739"/>
      </w:tabs>
      <w:spacing w:after="0"/>
      <w:ind w:left="1739" w:hanging="839"/>
    </w:pPr>
    <w:rPr>
      <w:rFonts w:eastAsia="Times New Roman" w:cs="Times New Roman"/>
      <w:szCs w:val="24"/>
      <w:lang w:eastAsia="lv-LV"/>
    </w:rPr>
  </w:style>
  <w:style w:type="paragraph" w:styleId="List">
    <w:name w:val="List"/>
    <w:basedOn w:val="Normal"/>
    <w:rsid w:val="002C5730"/>
    <w:pPr>
      <w:tabs>
        <w:tab w:val="num" w:pos="3686"/>
      </w:tabs>
      <w:spacing w:after="0"/>
      <w:ind w:left="3686" w:hanging="1134"/>
    </w:pPr>
    <w:rPr>
      <w:rFonts w:eastAsia="Times New Roman" w:cs="Times New Roman"/>
      <w:szCs w:val="24"/>
      <w:lang w:eastAsia="lv-LV"/>
    </w:rPr>
  </w:style>
  <w:style w:type="paragraph" w:styleId="EndnoteText">
    <w:name w:val="endnote text"/>
    <w:basedOn w:val="Normal"/>
    <w:link w:val="EndnoteTextChar"/>
    <w:uiPriority w:val="99"/>
    <w:semiHidden/>
    <w:unhideWhenUsed/>
    <w:rsid w:val="00B82F61"/>
    <w:pPr>
      <w:spacing w:after="0"/>
    </w:pPr>
    <w:rPr>
      <w:sz w:val="20"/>
      <w:szCs w:val="20"/>
    </w:rPr>
  </w:style>
  <w:style w:type="character" w:customStyle="1" w:styleId="EndnoteTextChar">
    <w:name w:val="Endnote Text Char"/>
    <w:basedOn w:val="DefaultParagraphFont"/>
    <w:link w:val="EndnoteText"/>
    <w:uiPriority w:val="99"/>
    <w:semiHidden/>
    <w:rsid w:val="00B82F61"/>
    <w:rPr>
      <w:rFonts w:ascii="Times New Roman" w:hAnsi="Times New Roman"/>
      <w:sz w:val="20"/>
      <w:szCs w:val="20"/>
    </w:rPr>
  </w:style>
  <w:style w:type="character" w:styleId="EndnoteReference">
    <w:name w:val="endnote reference"/>
    <w:basedOn w:val="DefaultParagraphFont"/>
    <w:uiPriority w:val="99"/>
    <w:semiHidden/>
    <w:unhideWhenUsed/>
    <w:rsid w:val="00B82F61"/>
    <w:rPr>
      <w:vertAlign w:val="superscript"/>
    </w:rPr>
  </w:style>
  <w:style w:type="paragraph" w:customStyle="1" w:styleId="tv213">
    <w:name w:val="tv213"/>
    <w:basedOn w:val="Normal"/>
    <w:rsid w:val="00CE15EC"/>
    <w:pPr>
      <w:spacing w:before="100" w:beforeAutospacing="1" w:after="100" w:afterAutospacing="1" w:line="240" w:lineRule="auto"/>
    </w:pPr>
    <w:rPr>
      <w:rFonts w:eastAsia="Times New Roman" w:cs="Times New Roman"/>
      <w:szCs w:val="24"/>
      <w:lang w:eastAsia="lv-LV"/>
    </w:rPr>
  </w:style>
  <w:style w:type="paragraph" w:customStyle="1" w:styleId="msonormal0">
    <w:name w:val="msonormal"/>
    <w:basedOn w:val="Normal"/>
    <w:rsid w:val="003E7CEB"/>
    <w:pPr>
      <w:spacing w:before="100" w:beforeAutospacing="1" w:after="100" w:afterAutospacing="1" w:line="240" w:lineRule="auto"/>
    </w:pPr>
    <w:rPr>
      <w:rFonts w:eastAsia="Times New Roman" w:cs="Times New Roman"/>
      <w:szCs w:val="24"/>
      <w:lang w:eastAsia="lv-LV"/>
    </w:rPr>
  </w:style>
  <w:style w:type="paragraph" w:customStyle="1" w:styleId="xl67">
    <w:name w:val="xl67"/>
    <w:basedOn w:val="Normal"/>
    <w:rsid w:val="003E7CEB"/>
    <w:pPr>
      <w:spacing w:before="100" w:beforeAutospacing="1" w:after="100" w:afterAutospacing="1" w:line="240" w:lineRule="auto"/>
    </w:pPr>
    <w:rPr>
      <w:rFonts w:eastAsia="Times New Roman" w:cs="Times New Roman"/>
      <w:sz w:val="22"/>
      <w:lang w:eastAsia="lv-LV"/>
    </w:rPr>
  </w:style>
  <w:style w:type="paragraph" w:customStyle="1" w:styleId="xl68">
    <w:name w:val="xl68"/>
    <w:basedOn w:val="Normal"/>
    <w:rsid w:val="003E7CEB"/>
    <w:pPr>
      <w:pBdr>
        <w:top w:val="single" w:sz="4" w:space="0" w:color="000000"/>
        <w:left w:val="single" w:sz="4" w:space="0" w:color="000000"/>
        <w:bottom w:val="single" w:sz="4" w:space="0" w:color="000000"/>
        <w:right w:val="single" w:sz="4" w:space="0" w:color="000000"/>
      </w:pBdr>
      <w:shd w:val="clear" w:color="FFFFFF" w:fill="F2F2F2"/>
      <w:spacing w:before="100" w:beforeAutospacing="1" w:after="100" w:afterAutospacing="1" w:line="240" w:lineRule="auto"/>
      <w:jc w:val="center"/>
      <w:textAlignment w:val="center"/>
    </w:pPr>
    <w:rPr>
      <w:rFonts w:eastAsia="Times New Roman" w:cs="Times New Roman"/>
      <w:szCs w:val="24"/>
      <w:lang w:eastAsia="lv-LV"/>
    </w:rPr>
  </w:style>
  <w:style w:type="paragraph" w:customStyle="1" w:styleId="xl69">
    <w:name w:val="xl69"/>
    <w:basedOn w:val="Normal"/>
    <w:rsid w:val="003E7CEB"/>
    <w:pPr>
      <w:pBdr>
        <w:top w:val="single" w:sz="4" w:space="0" w:color="000000"/>
        <w:left w:val="single" w:sz="4" w:space="0" w:color="000000"/>
        <w:right w:val="single" w:sz="4" w:space="0" w:color="000000"/>
      </w:pBdr>
      <w:shd w:val="clear" w:color="FFFFFF" w:fill="F2F2F2"/>
      <w:spacing w:before="100" w:beforeAutospacing="1" w:after="100" w:afterAutospacing="1" w:line="240" w:lineRule="auto"/>
      <w:jc w:val="center"/>
      <w:textAlignment w:val="center"/>
    </w:pPr>
    <w:rPr>
      <w:rFonts w:eastAsia="Times New Roman" w:cs="Times New Roman"/>
      <w:szCs w:val="24"/>
      <w:lang w:eastAsia="lv-LV"/>
    </w:rPr>
  </w:style>
  <w:style w:type="paragraph" w:customStyle="1" w:styleId="xl70">
    <w:name w:val="xl70"/>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szCs w:val="24"/>
      <w:lang w:eastAsia="lv-LV"/>
    </w:rPr>
  </w:style>
  <w:style w:type="paragraph" w:customStyle="1" w:styleId="xl71">
    <w:name w:val="xl71"/>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szCs w:val="24"/>
      <w:lang w:eastAsia="lv-LV"/>
    </w:rPr>
  </w:style>
  <w:style w:type="paragraph" w:customStyle="1" w:styleId="xl72">
    <w:name w:val="xl72"/>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szCs w:val="24"/>
      <w:lang w:eastAsia="lv-LV"/>
    </w:rPr>
  </w:style>
  <w:style w:type="paragraph" w:customStyle="1" w:styleId="xl73">
    <w:name w:val="xl73"/>
    <w:basedOn w:val="Normal"/>
    <w:rsid w:val="003E7CEB"/>
    <w:pPr>
      <w:pBdr>
        <w:top w:val="single" w:sz="4" w:space="0" w:color="000000"/>
        <w:left w:val="single" w:sz="4" w:space="9" w:color="000000"/>
        <w:bottom w:val="single" w:sz="4" w:space="0" w:color="000000"/>
        <w:right w:val="single" w:sz="4" w:space="0" w:color="000000"/>
      </w:pBdr>
      <w:spacing w:before="100" w:beforeAutospacing="1" w:after="100" w:afterAutospacing="1" w:line="240" w:lineRule="auto"/>
      <w:ind w:firstLineChars="100" w:firstLine="100"/>
      <w:textAlignment w:val="center"/>
    </w:pPr>
    <w:rPr>
      <w:rFonts w:eastAsia="Times New Roman" w:cs="Times New Roman"/>
      <w:szCs w:val="24"/>
      <w:lang w:eastAsia="lv-LV"/>
    </w:rPr>
  </w:style>
  <w:style w:type="paragraph" w:customStyle="1" w:styleId="xl74">
    <w:name w:val="xl74"/>
    <w:basedOn w:val="Normal"/>
    <w:rsid w:val="003E7CEB"/>
    <w:pPr>
      <w:spacing w:before="100" w:beforeAutospacing="1" w:after="100" w:afterAutospacing="1" w:line="240" w:lineRule="auto"/>
    </w:pPr>
    <w:rPr>
      <w:rFonts w:ascii="Calibri" w:eastAsia="Times New Roman" w:hAnsi="Calibri" w:cs="Calibri"/>
      <w:sz w:val="22"/>
      <w:lang w:eastAsia="lv-LV"/>
    </w:rPr>
  </w:style>
  <w:style w:type="paragraph" w:customStyle="1" w:styleId="xl75">
    <w:name w:val="xl75"/>
    <w:basedOn w:val="Normal"/>
    <w:rsid w:val="003E7CEB"/>
    <w:pPr>
      <w:pBdr>
        <w:top w:val="single" w:sz="4" w:space="0" w:color="000000"/>
        <w:left w:val="single" w:sz="4" w:space="0" w:color="000000"/>
        <w:bottom w:val="single" w:sz="4" w:space="0" w:color="000000"/>
        <w:right w:val="single" w:sz="4" w:space="0" w:color="000000"/>
      </w:pBdr>
      <w:shd w:val="clear" w:color="F2F2F2" w:fill="FFFFFF"/>
      <w:spacing w:before="100" w:beforeAutospacing="1" w:after="100" w:afterAutospacing="1" w:line="240" w:lineRule="auto"/>
      <w:jc w:val="right"/>
      <w:textAlignment w:val="center"/>
    </w:pPr>
    <w:rPr>
      <w:rFonts w:eastAsia="Times New Roman" w:cs="Times New Roman"/>
      <w:b/>
      <w:bCs/>
      <w:szCs w:val="24"/>
      <w:lang w:eastAsia="lv-LV"/>
    </w:rPr>
  </w:style>
  <w:style w:type="paragraph" w:customStyle="1" w:styleId="xl76">
    <w:name w:val="xl76"/>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b/>
      <w:bCs/>
      <w:szCs w:val="24"/>
      <w:lang w:eastAsia="lv-LV"/>
    </w:rPr>
  </w:style>
  <w:style w:type="paragraph" w:customStyle="1" w:styleId="Default">
    <w:name w:val="Default"/>
    <w:rsid w:val="00AB2439"/>
    <w:pPr>
      <w:autoSpaceDE w:val="0"/>
      <w:autoSpaceDN w:val="0"/>
      <w:adjustRightInd w:val="0"/>
      <w:spacing w:after="0" w:line="240" w:lineRule="auto"/>
    </w:pPr>
    <w:rPr>
      <w:rFonts w:ascii="Times New Roman" w:hAnsi="Times New Roman" w:cs="Times New Roman"/>
      <w:color w:val="000000"/>
      <w:sz w:val="24"/>
      <w:szCs w:val="24"/>
    </w:rPr>
  </w:style>
  <w:style w:type="paragraph" w:styleId="TOCHeading">
    <w:name w:val="TOC Heading"/>
    <w:basedOn w:val="Heading1"/>
    <w:next w:val="Normal"/>
    <w:uiPriority w:val="39"/>
    <w:unhideWhenUsed/>
    <w:rsid w:val="00954F0C"/>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954F0C"/>
    <w:pPr>
      <w:spacing w:after="100"/>
    </w:pPr>
  </w:style>
  <w:style w:type="paragraph" w:styleId="TOC2">
    <w:name w:val="toc 2"/>
    <w:basedOn w:val="Normal"/>
    <w:next w:val="Normal"/>
    <w:autoRedefine/>
    <w:uiPriority w:val="39"/>
    <w:unhideWhenUsed/>
    <w:rsid w:val="00954F0C"/>
    <w:pPr>
      <w:spacing w:after="100"/>
      <w:ind w:left="240"/>
    </w:pPr>
  </w:style>
  <w:style w:type="paragraph" w:styleId="TOC3">
    <w:name w:val="toc 3"/>
    <w:basedOn w:val="Normal"/>
    <w:next w:val="Normal"/>
    <w:autoRedefine/>
    <w:uiPriority w:val="39"/>
    <w:unhideWhenUsed/>
    <w:rsid w:val="00954F0C"/>
    <w:pPr>
      <w:spacing w:after="100"/>
      <w:ind w:left="480"/>
    </w:pPr>
  </w:style>
  <w:style w:type="paragraph" w:customStyle="1" w:styleId="Pamatteksts1">
    <w:name w:val="Pamatteksts1"/>
    <w:link w:val="Pamatteksts1Char"/>
    <w:qFormat/>
    <w:rsid w:val="00F53AD9"/>
    <w:pPr>
      <w:spacing w:after="120" w:line="240" w:lineRule="auto"/>
      <w:ind w:firstLine="567"/>
      <w:jc w:val="both"/>
    </w:pPr>
    <w:rPr>
      <w:rFonts w:ascii="Times New Roman" w:hAnsi="Times New Roman" w:cs="Times New Roman"/>
      <w:color w:val="17365D"/>
      <w:sz w:val="24"/>
    </w:rPr>
  </w:style>
  <w:style w:type="character" w:customStyle="1" w:styleId="ListParagraphChar">
    <w:name w:val="List Paragraph Char"/>
    <w:aliases w:val="2 Char,Akapit z listą BS Char,H&amp;P List Paragraph Char,Strip Char,Syle 1 Char,virsraksts3 Char,Numbered Para 1 Char,Dot pt Char,No Spacing1 Char,List Paragraph Char Char Char Char,Indicator Text Char,Bullet 1 Char,Bullet Points Char"/>
    <w:link w:val="ListParagraph"/>
    <w:uiPriority w:val="34"/>
    <w:qFormat/>
    <w:locked/>
    <w:rsid w:val="00954F0C"/>
    <w:rPr>
      <w:rFonts w:ascii="Times New Roman" w:hAnsi="Times New Roman"/>
      <w:sz w:val="24"/>
    </w:rPr>
  </w:style>
  <w:style w:type="character" w:customStyle="1" w:styleId="Heading6Char">
    <w:name w:val="Heading 6 Char"/>
    <w:basedOn w:val="DefaultParagraphFont"/>
    <w:link w:val="Heading6"/>
    <w:rsid w:val="00423745"/>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rsid w:val="00423745"/>
    <w:rPr>
      <w:rFonts w:ascii="Arial" w:eastAsia="Times New Roman" w:hAnsi="Arial" w:cs="Times New Roman"/>
      <w:i/>
      <w:sz w:val="20"/>
      <w:szCs w:val="20"/>
    </w:rPr>
  </w:style>
  <w:style w:type="character" w:customStyle="1" w:styleId="Heading9Char">
    <w:name w:val="Heading 9 Char"/>
    <w:basedOn w:val="DefaultParagraphFont"/>
    <w:link w:val="Heading9"/>
    <w:rsid w:val="00423745"/>
    <w:rPr>
      <w:rFonts w:ascii="Arial" w:eastAsia="Times New Roman" w:hAnsi="Arial" w:cs="Times New Roman"/>
      <w:b/>
      <w:i/>
      <w:sz w:val="18"/>
      <w:szCs w:val="20"/>
    </w:rPr>
  </w:style>
  <w:style w:type="character" w:customStyle="1" w:styleId="AdreseProgramm">
    <w:name w:val="Adrese Programmā"/>
    <w:basedOn w:val="DefaultParagraphFont"/>
    <w:uiPriority w:val="1"/>
    <w:rsid w:val="00423745"/>
    <w:rPr>
      <w:rFonts w:ascii="Times New Roman" w:hAnsi="Times New Roman"/>
      <w:b/>
      <w:i w:val="0"/>
      <w:color w:val="auto"/>
      <w:sz w:val="20"/>
      <w:u w:val="none"/>
    </w:rPr>
  </w:style>
  <w:style w:type="numbering" w:customStyle="1" w:styleId="Secganumercija">
    <w:name w:val="Secīga numerācija"/>
    <w:basedOn w:val="NoList"/>
    <w:rsid w:val="00423745"/>
    <w:pPr>
      <w:numPr>
        <w:numId w:val="13"/>
      </w:numPr>
    </w:pPr>
  </w:style>
  <w:style w:type="character" w:customStyle="1" w:styleId="Izceltsteksts">
    <w:name w:val="Izcelts teksts"/>
    <w:basedOn w:val="DefaultParagraphFont"/>
    <w:uiPriority w:val="1"/>
    <w:rsid w:val="00423745"/>
    <w:rPr>
      <w:b/>
      <w:i/>
      <w:u w:val="single"/>
    </w:rPr>
  </w:style>
  <w:style w:type="character" w:customStyle="1" w:styleId="Piemrstxt">
    <w:name w:val="Piemērs txt"/>
    <w:basedOn w:val="DefaultParagraphFont"/>
    <w:uiPriority w:val="1"/>
    <w:rsid w:val="00423745"/>
    <w:rPr>
      <w:rFonts w:ascii="Courier New" w:hAnsi="Courier New"/>
      <w:w w:val="100"/>
      <w:sz w:val="20"/>
    </w:rPr>
  </w:style>
  <w:style w:type="numbering" w:customStyle="1" w:styleId="Numercija">
    <w:name w:val="Numerācija"/>
    <w:basedOn w:val="NoList"/>
    <w:uiPriority w:val="99"/>
    <w:rsid w:val="00423745"/>
    <w:pPr>
      <w:numPr>
        <w:numId w:val="14"/>
      </w:numPr>
    </w:pPr>
  </w:style>
  <w:style w:type="numbering" w:customStyle="1" w:styleId="StyleOutlinenumberedLeft0cmHanging063cm">
    <w:name w:val="Style Outline numbered Left:  0 cm Hanging:  0.63 cm"/>
    <w:basedOn w:val="NoList"/>
    <w:rsid w:val="00423745"/>
    <w:pPr>
      <w:numPr>
        <w:numId w:val="15"/>
      </w:numPr>
    </w:pPr>
  </w:style>
  <w:style w:type="numbering" w:customStyle="1" w:styleId="StyleOutlinenumberedLeft0cmHanging063cm1">
    <w:name w:val="Style Outline numbered Left:  0 cm Hanging:  0.63 cm1"/>
    <w:basedOn w:val="NoList"/>
    <w:rsid w:val="00423745"/>
    <w:pPr>
      <w:numPr>
        <w:numId w:val="16"/>
      </w:numPr>
    </w:pPr>
  </w:style>
  <w:style w:type="paragraph" w:customStyle="1" w:styleId="Tabulasgalvene">
    <w:name w:val="Tabulas galvene"/>
    <w:basedOn w:val="Pamatteksts1"/>
    <w:rsid w:val="00423745"/>
    <w:pPr>
      <w:spacing w:after="0"/>
      <w:ind w:firstLine="0"/>
      <w:jc w:val="center"/>
    </w:pPr>
    <w:rPr>
      <w:b/>
      <w:sz w:val="20"/>
      <w:szCs w:val="20"/>
    </w:rPr>
  </w:style>
  <w:style w:type="paragraph" w:customStyle="1" w:styleId="Bullets">
    <w:name w:val="Bullets"/>
    <w:basedOn w:val="tv2131"/>
    <w:qFormat/>
    <w:rsid w:val="000D2C39"/>
    <w:pPr>
      <w:numPr>
        <w:numId w:val="10"/>
      </w:numPr>
      <w:spacing w:after="120" w:line="240" w:lineRule="auto"/>
      <w:ind w:left="777" w:hanging="284"/>
      <w:jc w:val="both"/>
    </w:pPr>
    <w:rPr>
      <w:color w:val="17365D"/>
      <w:sz w:val="24"/>
      <w:szCs w:val="24"/>
    </w:rPr>
  </w:style>
  <w:style w:type="paragraph" w:customStyle="1" w:styleId="Tabnosauk">
    <w:name w:val="Tab.nosauk"/>
    <w:basedOn w:val="Normal"/>
    <w:next w:val="Pamatteksts1"/>
    <w:qFormat/>
    <w:rsid w:val="00324AC5"/>
    <w:pPr>
      <w:spacing w:after="0" w:line="240" w:lineRule="auto"/>
      <w:jc w:val="right"/>
    </w:pPr>
    <w:rPr>
      <w:rFonts w:eastAsia="Arial Unicode MS" w:cs="Times New Roman"/>
      <w:i/>
      <w:color w:val="17365D"/>
      <w:sz w:val="20"/>
      <w:szCs w:val="24"/>
    </w:rPr>
  </w:style>
  <w:style w:type="character" w:styleId="IntenseReference">
    <w:name w:val="Intense Reference"/>
    <w:basedOn w:val="DefaultParagraphFont"/>
    <w:uiPriority w:val="32"/>
    <w:rsid w:val="00423745"/>
    <w:rPr>
      <w:b/>
      <w:bCs/>
      <w:smallCaps/>
      <w:color w:val="C0504D" w:themeColor="accent2"/>
      <w:spacing w:val="5"/>
      <w:u w:val="single"/>
    </w:rPr>
  </w:style>
  <w:style w:type="paragraph" w:customStyle="1" w:styleId="Attlanosaukums">
    <w:name w:val="Attēla nosaukums"/>
    <w:basedOn w:val="Pamatteksts1"/>
    <w:next w:val="Pamatteksts1"/>
    <w:qFormat/>
    <w:rsid w:val="00423745"/>
    <w:pPr>
      <w:jc w:val="center"/>
    </w:pPr>
    <w:rPr>
      <w:i/>
    </w:rPr>
  </w:style>
  <w:style w:type="table" w:customStyle="1" w:styleId="Noformtatabula1">
    <w:name w:val="Noformēta tabula1"/>
    <w:basedOn w:val="TableGrid"/>
    <w:uiPriority w:val="99"/>
    <w:rsid w:val="00423745"/>
    <w:pPr>
      <w:jc w:val="both"/>
    </w:pPr>
    <w:rPr>
      <w:rFonts w:ascii="Times New Roman" w:eastAsia="Times New Roman" w:hAnsi="Times New Roman" w:cs="Times New Roman"/>
      <w:color w:val="000000" w:themeColor="text1"/>
      <w:sz w:val="20"/>
      <w:szCs w:val="20"/>
      <w:lang w:eastAsia="lv-LV"/>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LightShading-Accent3">
    <w:name w:val="Light Shading Accent 3"/>
    <w:basedOn w:val="TableNormal"/>
    <w:uiPriority w:val="60"/>
    <w:rsid w:val="0042374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List1">
    <w:name w:val="Light List1"/>
    <w:basedOn w:val="TableNormal"/>
    <w:uiPriority w:val="61"/>
    <w:rsid w:val="0042374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42374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styleId="PageNumber">
    <w:name w:val="page number"/>
    <w:basedOn w:val="DefaultParagraphFont"/>
    <w:rsid w:val="00423745"/>
  </w:style>
  <w:style w:type="paragraph" w:customStyle="1" w:styleId="Balonteksts1">
    <w:name w:val="Balonteksts1"/>
    <w:basedOn w:val="Normal"/>
    <w:semiHidden/>
    <w:rsid w:val="00423745"/>
    <w:pPr>
      <w:spacing w:after="0" w:line="240" w:lineRule="auto"/>
    </w:pPr>
    <w:rPr>
      <w:rFonts w:ascii="Tahoma" w:eastAsia="Times New Roman" w:hAnsi="Tahoma" w:cs="Tahoma"/>
      <w:sz w:val="16"/>
      <w:szCs w:val="16"/>
    </w:rPr>
  </w:style>
  <w:style w:type="paragraph" w:styleId="BodyTextIndent3">
    <w:name w:val="Body Text Indent 3"/>
    <w:basedOn w:val="Normal"/>
    <w:link w:val="BodyTextIndent3Char"/>
    <w:rsid w:val="00423745"/>
    <w:pPr>
      <w:spacing w:after="0" w:line="240" w:lineRule="auto"/>
      <w:ind w:firstLine="540"/>
    </w:pPr>
    <w:rPr>
      <w:rFonts w:eastAsia="Times New Roman" w:cs="Times New Roman"/>
      <w:szCs w:val="24"/>
    </w:rPr>
  </w:style>
  <w:style w:type="character" w:customStyle="1" w:styleId="BodyTextIndent3Char">
    <w:name w:val="Body Text Indent 3 Char"/>
    <w:basedOn w:val="DefaultParagraphFont"/>
    <w:link w:val="BodyTextIndent3"/>
    <w:rsid w:val="00423745"/>
    <w:rPr>
      <w:rFonts w:ascii="Times New Roman" w:eastAsia="Times New Roman" w:hAnsi="Times New Roman" w:cs="Times New Roman"/>
      <w:sz w:val="24"/>
      <w:szCs w:val="24"/>
    </w:rPr>
  </w:style>
  <w:style w:type="paragraph" w:styleId="BodyText3">
    <w:name w:val="Body Text 3"/>
    <w:basedOn w:val="BodyText"/>
    <w:link w:val="BodyText3Char"/>
    <w:rsid w:val="00423745"/>
    <w:pPr>
      <w:numPr>
        <w:ilvl w:val="5"/>
        <w:numId w:val="17"/>
      </w:numPr>
      <w:tabs>
        <w:tab w:val="left" w:pos="227"/>
        <w:tab w:val="right" w:pos="9214"/>
      </w:tabs>
      <w:spacing w:before="60" w:after="120" w:line="240" w:lineRule="atLeast"/>
    </w:pPr>
    <w:rPr>
      <w:rFonts w:ascii="Times New Roman" w:eastAsia="Times New Roman" w:hAnsi="Times New Roman" w:cs="Times New Roman"/>
      <w:szCs w:val="20"/>
    </w:rPr>
  </w:style>
  <w:style w:type="character" w:customStyle="1" w:styleId="BodyText3Char">
    <w:name w:val="Body Text 3 Char"/>
    <w:basedOn w:val="DefaultParagraphFont"/>
    <w:link w:val="BodyText3"/>
    <w:rsid w:val="00423745"/>
    <w:rPr>
      <w:rFonts w:ascii="Times New Roman" w:eastAsia="Times New Roman" w:hAnsi="Times New Roman" w:cs="Times New Roman"/>
      <w:szCs w:val="20"/>
    </w:rPr>
  </w:style>
  <w:style w:type="paragraph" w:customStyle="1" w:styleId="Bodytext4">
    <w:name w:val="Body text 4"/>
    <w:basedOn w:val="Normal"/>
    <w:rsid w:val="00423745"/>
    <w:pPr>
      <w:tabs>
        <w:tab w:val="num" w:pos="720"/>
        <w:tab w:val="right" w:pos="9214"/>
      </w:tabs>
      <w:spacing w:before="60" w:after="60" w:line="240" w:lineRule="atLeast"/>
      <w:ind w:left="720" w:hanging="720"/>
    </w:pPr>
    <w:rPr>
      <w:rFonts w:eastAsia="Times New Roman" w:cs="Times New Roman"/>
      <w:sz w:val="22"/>
      <w:szCs w:val="20"/>
    </w:rPr>
  </w:style>
  <w:style w:type="paragraph" w:customStyle="1" w:styleId="StyleFirstline063cm">
    <w:name w:val="Style First line:  0.63 cm"/>
    <w:basedOn w:val="Normal"/>
    <w:rsid w:val="00423745"/>
    <w:pPr>
      <w:spacing w:after="0" w:line="360" w:lineRule="auto"/>
      <w:ind w:firstLine="357"/>
      <w:jc w:val="both"/>
    </w:pPr>
    <w:rPr>
      <w:rFonts w:eastAsia="Times New Roman" w:cs="Times New Roman"/>
      <w:szCs w:val="20"/>
    </w:rPr>
  </w:style>
  <w:style w:type="paragraph" w:styleId="Subtitle">
    <w:name w:val="Subtitle"/>
    <w:basedOn w:val="Normal"/>
    <w:link w:val="SubtitleChar"/>
    <w:uiPriority w:val="11"/>
    <w:rsid w:val="00423745"/>
    <w:pPr>
      <w:spacing w:after="0" w:line="240" w:lineRule="auto"/>
      <w:jc w:val="both"/>
    </w:pPr>
    <w:rPr>
      <w:rFonts w:eastAsia="Times New Roman" w:cs="Times New Roman"/>
      <w:b/>
      <w:bCs/>
      <w:i/>
      <w:iCs/>
      <w:szCs w:val="24"/>
    </w:rPr>
  </w:style>
  <w:style w:type="character" w:customStyle="1" w:styleId="SubtitleChar">
    <w:name w:val="Subtitle Char"/>
    <w:basedOn w:val="DefaultParagraphFont"/>
    <w:link w:val="Subtitle"/>
    <w:uiPriority w:val="11"/>
    <w:rsid w:val="00423745"/>
    <w:rPr>
      <w:rFonts w:ascii="Times New Roman" w:eastAsia="Times New Roman" w:hAnsi="Times New Roman" w:cs="Times New Roman"/>
      <w:b/>
      <w:bCs/>
      <w:i/>
      <w:iCs/>
      <w:sz w:val="24"/>
      <w:szCs w:val="24"/>
    </w:rPr>
  </w:style>
  <w:style w:type="paragraph" w:customStyle="1" w:styleId="xl29">
    <w:name w:val="xl29"/>
    <w:basedOn w:val="Normal"/>
    <w:rsid w:val="00423745"/>
    <w:pPr>
      <w:spacing w:before="100" w:beforeAutospacing="1" w:after="100" w:afterAutospacing="1" w:line="240" w:lineRule="auto"/>
    </w:pPr>
    <w:rPr>
      <w:rFonts w:eastAsia="Arial Unicode MS" w:cs="Times New Roman"/>
      <w:sz w:val="22"/>
      <w:lang w:val="en-GB"/>
    </w:rPr>
  </w:style>
  <w:style w:type="paragraph" w:customStyle="1" w:styleId="xl30">
    <w:name w:val="xl30"/>
    <w:basedOn w:val="Normal"/>
    <w:rsid w:val="00423745"/>
    <w:pPr>
      <w:spacing w:before="100" w:beforeAutospacing="1" w:after="100" w:afterAutospacing="1" w:line="240" w:lineRule="auto"/>
      <w:jc w:val="center"/>
    </w:pPr>
    <w:rPr>
      <w:rFonts w:eastAsia="Arial Unicode MS" w:cs="Times New Roman"/>
      <w:i/>
      <w:iCs/>
      <w:szCs w:val="24"/>
      <w:lang w:val="en-GB"/>
    </w:rPr>
  </w:style>
  <w:style w:type="paragraph" w:customStyle="1" w:styleId="xl31">
    <w:name w:val="xl31"/>
    <w:basedOn w:val="Normal"/>
    <w:rsid w:val="00423745"/>
    <w:pPr>
      <w:spacing w:before="100" w:beforeAutospacing="1" w:after="100" w:afterAutospacing="1" w:line="240" w:lineRule="auto"/>
    </w:pPr>
    <w:rPr>
      <w:rFonts w:eastAsia="Arial Unicode MS" w:cs="Times New Roman"/>
      <w:szCs w:val="24"/>
      <w:lang w:val="en-GB"/>
    </w:rPr>
  </w:style>
  <w:style w:type="paragraph" w:customStyle="1" w:styleId="xl32">
    <w:name w:val="xl32"/>
    <w:basedOn w:val="Normal"/>
    <w:rsid w:val="00423745"/>
    <w:pPr>
      <w:spacing w:before="100" w:beforeAutospacing="1" w:after="100" w:afterAutospacing="1" w:line="240" w:lineRule="auto"/>
      <w:jc w:val="right"/>
    </w:pPr>
    <w:rPr>
      <w:rFonts w:eastAsia="Arial Unicode MS" w:cs="Times New Roman"/>
      <w:szCs w:val="24"/>
      <w:lang w:val="en-GB"/>
    </w:rPr>
  </w:style>
  <w:style w:type="paragraph" w:customStyle="1" w:styleId="xl33">
    <w:name w:val="xl33"/>
    <w:basedOn w:val="Normal"/>
    <w:rsid w:val="00423745"/>
    <w:pPr>
      <w:spacing w:before="100" w:beforeAutospacing="1" w:after="100" w:afterAutospacing="1" w:line="240" w:lineRule="auto"/>
    </w:pPr>
    <w:rPr>
      <w:rFonts w:eastAsia="Arial Unicode MS" w:cs="Times New Roman"/>
      <w:b/>
      <w:bCs/>
      <w:sz w:val="22"/>
      <w:lang w:val="en-GB"/>
    </w:rPr>
  </w:style>
  <w:style w:type="paragraph" w:customStyle="1" w:styleId="xl34">
    <w:name w:val="xl34"/>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Times New Roman"/>
      <w:szCs w:val="24"/>
      <w:lang w:val="en-GB"/>
    </w:rPr>
  </w:style>
  <w:style w:type="paragraph" w:customStyle="1" w:styleId="xl35">
    <w:name w:val="xl35"/>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Times New Roman"/>
      <w:szCs w:val="24"/>
      <w:lang w:val="en-GB"/>
    </w:rPr>
  </w:style>
  <w:style w:type="paragraph" w:customStyle="1" w:styleId="xl36">
    <w:name w:val="xl36"/>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b/>
      <w:bCs/>
      <w:szCs w:val="24"/>
      <w:lang w:val="en-GB"/>
    </w:rPr>
  </w:style>
  <w:style w:type="paragraph" w:customStyle="1" w:styleId="xl37">
    <w:name w:val="xl37"/>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szCs w:val="24"/>
      <w:lang w:val="en-GB"/>
    </w:rPr>
  </w:style>
  <w:style w:type="paragraph" w:customStyle="1" w:styleId="xl38">
    <w:name w:val="xl38"/>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Cs w:val="24"/>
      <w:lang w:val="en-GB"/>
    </w:rPr>
  </w:style>
  <w:style w:type="paragraph" w:customStyle="1" w:styleId="xl39">
    <w:name w:val="xl39"/>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Arial Unicode MS" w:cs="Times New Roman"/>
      <w:szCs w:val="24"/>
      <w:lang w:val="en-GB"/>
    </w:rPr>
  </w:style>
  <w:style w:type="paragraph" w:customStyle="1" w:styleId="xl40">
    <w:name w:val="xl40"/>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Cs w:val="24"/>
      <w:lang w:val="en-GB"/>
    </w:rPr>
  </w:style>
  <w:style w:type="paragraph" w:customStyle="1" w:styleId="xl41">
    <w:name w:val="xl41"/>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Arial Unicode MS" w:cs="Times New Roman"/>
      <w:szCs w:val="24"/>
      <w:lang w:val="en-GB"/>
    </w:rPr>
  </w:style>
  <w:style w:type="paragraph" w:customStyle="1" w:styleId="xl42">
    <w:name w:val="xl42"/>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szCs w:val="24"/>
      <w:lang w:val="en-GB"/>
    </w:rPr>
  </w:style>
  <w:style w:type="paragraph" w:customStyle="1" w:styleId="xl43">
    <w:name w:val="xl43"/>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i/>
      <w:iCs/>
      <w:szCs w:val="24"/>
      <w:lang w:val="en-GB"/>
    </w:rPr>
  </w:style>
  <w:style w:type="paragraph" w:customStyle="1" w:styleId="xl44">
    <w:name w:val="xl44"/>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 w:val="16"/>
      <w:szCs w:val="16"/>
      <w:lang w:val="en-GB"/>
    </w:rPr>
  </w:style>
  <w:style w:type="paragraph" w:customStyle="1" w:styleId="xl45">
    <w:name w:val="xl45"/>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Arial Unicode MS" w:cs="Times New Roman"/>
      <w:sz w:val="16"/>
      <w:szCs w:val="16"/>
      <w:lang w:val="en-GB"/>
    </w:rPr>
  </w:style>
  <w:style w:type="paragraph" w:customStyle="1" w:styleId="xl46">
    <w:name w:val="xl46"/>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b/>
      <w:bCs/>
      <w:sz w:val="16"/>
      <w:szCs w:val="16"/>
      <w:lang w:val="en-GB"/>
    </w:rPr>
  </w:style>
  <w:style w:type="paragraph" w:customStyle="1" w:styleId="xl47">
    <w:name w:val="xl47"/>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 w:val="16"/>
      <w:szCs w:val="16"/>
      <w:lang w:val="en-GB"/>
    </w:rPr>
  </w:style>
  <w:style w:type="character" w:styleId="Strong">
    <w:name w:val="Strong"/>
    <w:aliases w:val="Bold"/>
    <w:uiPriority w:val="22"/>
    <w:rsid w:val="00423745"/>
    <w:rPr>
      <w:b/>
      <w:bCs/>
    </w:rPr>
  </w:style>
  <w:style w:type="character" w:styleId="PlaceholderText">
    <w:name w:val="Placeholder Text"/>
    <w:uiPriority w:val="99"/>
    <w:semiHidden/>
    <w:rsid w:val="00423745"/>
    <w:rPr>
      <w:color w:val="808080"/>
    </w:rPr>
  </w:style>
  <w:style w:type="paragraph" w:customStyle="1" w:styleId="ListParagraph1">
    <w:name w:val="List Paragraph1"/>
    <w:basedOn w:val="Normal"/>
    <w:rsid w:val="00423745"/>
    <w:pPr>
      <w:spacing w:after="0" w:line="240" w:lineRule="auto"/>
      <w:ind w:left="720"/>
      <w:contextualSpacing/>
    </w:pPr>
    <w:rPr>
      <w:rFonts w:eastAsia="Times New Roman" w:cs="Times New Roman"/>
      <w:szCs w:val="24"/>
      <w:lang w:eastAsia="lv-LV"/>
    </w:rPr>
  </w:style>
  <w:style w:type="character" w:styleId="SubtleEmphasis">
    <w:name w:val="Subtle Emphasis"/>
    <w:basedOn w:val="DefaultParagraphFont"/>
    <w:uiPriority w:val="19"/>
    <w:rsid w:val="00423745"/>
    <w:rPr>
      <w:i/>
      <w:iCs/>
      <w:color w:val="808080" w:themeColor="text1" w:themeTint="7F"/>
    </w:rPr>
  </w:style>
  <w:style w:type="paragraph" w:customStyle="1" w:styleId="CharChar3CharCharCharCharCharChar">
    <w:name w:val="Char Char3 Char Char Char Char Char Char"/>
    <w:basedOn w:val="Normal"/>
    <w:semiHidden/>
    <w:rsid w:val="00423745"/>
    <w:pPr>
      <w:spacing w:after="160" w:line="240" w:lineRule="exact"/>
      <w:ind w:firstLine="720"/>
      <w:jc w:val="both"/>
    </w:pPr>
    <w:rPr>
      <w:rFonts w:ascii="Verdana" w:eastAsia="Times New Roman" w:hAnsi="Verdana" w:cs="Times New Roman"/>
      <w:sz w:val="20"/>
      <w:szCs w:val="20"/>
    </w:rPr>
  </w:style>
  <w:style w:type="paragraph" w:customStyle="1" w:styleId="CharChar3CharCharCharCharCharCharCharCharCharCharCharChar">
    <w:name w:val="Char Char3 Char Char Char Char Char Char Char Char Char Char Char Char"/>
    <w:basedOn w:val="Normal"/>
    <w:semiHidden/>
    <w:rsid w:val="00423745"/>
    <w:pPr>
      <w:spacing w:after="160" w:line="240" w:lineRule="exact"/>
      <w:ind w:firstLine="720"/>
      <w:jc w:val="both"/>
    </w:pPr>
    <w:rPr>
      <w:rFonts w:ascii="Verdana" w:eastAsia="Times New Roman" w:hAnsi="Verdana" w:cs="Times New Roman"/>
      <w:sz w:val="20"/>
      <w:szCs w:val="20"/>
    </w:rPr>
  </w:style>
  <w:style w:type="character" w:customStyle="1" w:styleId="apple-converted-space">
    <w:name w:val="apple-converted-space"/>
    <w:basedOn w:val="DefaultParagraphFont"/>
    <w:rsid w:val="00423745"/>
  </w:style>
  <w:style w:type="paragraph" w:styleId="PlainText">
    <w:name w:val="Plain Text"/>
    <w:basedOn w:val="Normal"/>
    <w:link w:val="PlainTextChar"/>
    <w:uiPriority w:val="99"/>
    <w:unhideWhenUsed/>
    <w:rsid w:val="00423745"/>
    <w:pPr>
      <w:spacing w:after="0" w:line="240" w:lineRule="auto"/>
    </w:pPr>
    <w:rPr>
      <w:rFonts w:ascii="Calibri" w:eastAsia="Calibri" w:hAnsi="Calibri" w:cs="Times New Roman"/>
      <w:sz w:val="22"/>
      <w:szCs w:val="21"/>
    </w:rPr>
  </w:style>
  <w:style w:type="character" w:customStyle="1" w:styleId="PlainTextChar">
    <w:name w:val="Plain Text Char"/>
    <w:basedOn w:val="DefaultParagraphFont"/>
    <w:link w:val="PlainText"/>
    <w:uiPriority w:val="99"/>
    <w:rsid w:val="00423745"/>
    <w:rPr>
      <w:rFonts w:ascii="Calibri" w:eastAsia="Calibri" w:hAnsi="Calibri" w:cs="Times New Roman"/>
      <w:szCs w:val="21"/>
    </w:rPr>
  </w:style>
  <w:style w:type="paragraph" w:customStyle="1" w:styleId="Italic">
    <w:name w:val="Italic"/>
    <w:basedOn w:val="Normal"/>
    <w:link w:val="ItalicChar"/>
    <w:rsid w:val="00720CDA"/>
    <w:pPr>
      <w:spacing w:after="120" w:line="240" w:lineRule="auto"/>
    </w:pPr>
    <w:rPr>
      <w:rFonts w:ascii="Georgia" w:eastAsia="Arial" w:hAnsi="Georgia" w:cs="Arial"/>
      <w:i/>
      <w:sz w:val="20"/>
      <w:szCs w:val="20"/>
      <w:lang w:val="en-GB"/>
    </w:rPr>
  </w:style>
  <w:style w:type="character" w:customStyle="1" w:styleId="ItalicChar">
    <w:name w:val="Italic Char"/>
    <w:basedOn w:val="DefaultParagraphFont"/>
    <w:link w:val="Italic"/>
    <w:rsid w:val="00720CDA"/>
    <w:rPr>
      <w:rFonts w:ascii="Georgia" w:eastAsia="Arial" w:hAnsi="Georgia" w:cs="Arial"/>
      <w:i/>
      <w:sz w:val="20"/>
      <w:szCs w:val="20"/>
      <w:lang w:val="en-GB"/>
    </w:rPr>
  </w:style>
  <w:style w:type="paragraph" w:customStyle="1" w:styleId="Heading">
    <w:name w:val="Heading"/>
    <w:basedOn w:val="ListParagraph"/>
    <w:link w:val="HeadingChar"/>
    <w:rsid w:val="004D7F66"/>
    <w:pPr>
      <w:keepNext/>
      <w:keepLines/>
      <w:spacing w:after="120" w:line="240" w:lineRule="auto"/>
      <w:ind w:hanging="360"/>
      <w:outlineLvl w:val="3"/>
    </w:pPr>
    <w:rPr>
      <w:rFonts w:ascii="Georgia" w:eastAsia="Times New Roman" w:hAnsi="Georgia" w:cs="Times New Roman"/>
      <w:b/>
      <w:i/>
      <w:szCs w:val="20"/>
      <w:lang w:val="en-GB"/>
    </w:rPr>
  </w:style>
  <w:style w:type="character" w:customStyle="1" w:styleId="HeadingChar">
    <w:name w:val="Heading Char"/>
    <w:basedOn w:val="DefaultParagraphFont"/>
    <w:link w:val="Heading"/>
    <w:rsid w:val="004D7F66"/>
    <w:rPr>
      <w:rFonts w:ascii="Georgia" w:eastAsia="Times New Roman" w:hAnsi="Georgia" w:cs="Times New Roman"/>
      <w:b/>
      <w:i/>
      <w:sz w:val="24"/>
      <w:szCs w:val="20"/>
      <w:lang w:val="en-GB"/>
    </w:rPr>
  </w:style>
  <w:style w:type="paragraph" w:customStyle="1" w:styleId="font5">
    <w:name w:val="font5"/>
    <w:basedOn w:val="Normal"/>
    <w:rsid w:val="00B02C11"/>
    <w:pPr>
      <w:spacing w:before="100" w:beforeAutospacing="1" w:after="100" w:afterAutospacing="1" w:line="240" w:lineRule="auto"/>
    </w:pPr>
    <w:rPr>
      <w:rFonts w:eastAsia="Times New Roman" w:cs="Times New Roman"/>
      <w:color w:val="203764"/>
      <w:sz w:val="18"/>
      <w:szCs w:val="18"/>
      <w:lang w:eastAsia="lv-LV"/>
    </w:rPr>
  </w:style>
  <w:style w:type="paragraph" w:customStyle="1" w:styleId="font6">
    <w:name w:val="font6"/>
    <w:basedOn w:val="Normal"/>
    <w:rsid w:val="00B02C11"/>
    <w:pPr>
      <w:spacing w:before="100" w:beforeAutospacing="1" w:after="100" w:afterAutospacing="1" w:line="240" w:lineRule="auto"/>
    </w:pPr>
    <w:rPr>
      <w:rFonts w:eastAsia="Times New Roman" w:cs="Times New Roman"/>
      <w:color w:val="203764"/>
      <w:sz w:val="18"/>
      <w:szCs w:val="18"/>
      <w:lang w:eastAsia="lv-LV"/>
    </w:rPr>
  </w:style>
  <w:style w:type="paragraph" w:customStyle="1" w:styleId="font7">
    <w:name w:val="font7"/>
    <w:basedOn w:val="Normal"/>
    <w:rsid w:val="00B02C11"/>
    <w:pPr>
      <w:spacing w:before="100" w:beforeAutospacing="1" w:after="100" w:afterAutospacing="1" w:line="240" w:lineRule="auto"/>
    </w:pPr>
    <w:rPr>
      <w:rFonts w:ascii="Calibri" w:eastAsia="Times New Roman" w:hAnsi="Calibri" w:cs="Calibri"/>
      <w:color w:val="203764"/>
      <w:sz w:val="18"/>
      <w:szCs w:val="18"/>
      <w:lang w:eastAsia="lv-LV"/>
    </w:rPr>
  </w:style>
  <w:style w:type="paragraph" w:customStyle="1" w:styleId="xl128">
    <w:name w:val="xl128"/>
    <w:basedOn w:val="Normal"/>
    <w:rsid w:val="00B02C11"/>
    <w:pPr>
      <w:spacing w:before="100" w:beforeAutospacing="1" w:after="100" w:afterAutospacing="1" w:line="240" w:lineRule="auto"/>
    </w:pPr>
    <w:rPr>
      <w:rFonts w:eastAsia="Times New Roman" w:cs="Times New Roman"/>
      <w:color w:val="203764"/>
      <w:sz w:val="18"/>
      <w:szCs w:val="18"/>
      <w:lang w:eastAsia="lv-LV"/>
    </w:rPr>
  </w:style>
  <w:style w:type="paragraph" w:customStyle="1" w:styleId="xl129">
    <w:name w:val="xl129"/>
    <w:basedOn w:val="Normal"/>
    <w:rsid w:val="00B02C11"/>
    <w:pPr>
      <w:spacing w:before="100" w:beforeAutospacing="1" w:after="100" w:afterAutospacing="1" w:line="240" w:lineRule="auto"/>
      <w:jc w:val="both"/>
      <w:textAlignment w:val="top"/>
    </w:pPr>
    <w:rPr>
      <w:rFonts w:eastAsia="Times New Roman" w:cs="Times New Roman"/>
      <w:color w:val="203764"/>
      <w:sz w:val="18"/>
      <w:szCs w:val="18"/>
      <w:lang w:eastAsia="lv-LV"/>
    </w:rPr>
  </w:style>
  <w:style w:type="paragraph" w:customStyle="1" w:styleId="xl130">
    <w:name w:val="xl130"/>
    <w:basedOn w:val="Normal"/>
    <w:rsid w:val="00B02C1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1">
    <w:name w:val="xl131"/>
    <w:basedOn w:val="Normal"/>
    <w:rsid w:val="00B02C11"/>
    <w:pP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2">
    <w:name w:val="xl132"/>
    <w:basedOn w:val="Normal"/>
    <w:rsid w:val="00B02C11"/>
    <w:pPr>
      <w:pBdr>
        <w:left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3">
    <w:name w:val="xl133"/>
    <w:basedOn w:val="Normal"/>
    <w:rsid w:val="00B02C11"/>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4">
    <w:name w:val="xl134"/>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5">
    <w:name w:val="xl135"/>
    <w:basedOn w:val="Normal"/>
    <w:rsid w:val="00B02C11"/>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36">
    <w:name w:val="xl136"/>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color w:val="203764"/>
      <w:sz w:val="18"/>
      <w:szCs w:val="18"/>
      <w:lang w:eastAsia="lv-LV"/>
    </w:rPr>
  </w:style>
  <w:style w:type="paragraph" w:customStyle="1" w:styleId="xl137">
    <w:name w:val="xl137"/>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38">
    <w:name w:val="xl138"/>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39">
    <w:name w:val="xl139"/>
    <w:basedOn w:val="Normal"/>
    <w:rsid w:val="00B02C11"/>
    <w:pPr>
      <w:spacing w:before="100" w:beforeAutospacing="1" w:after="100" w:afterAutospacing="1" w:line="240" w:lineRule="auto"/>
    </w:pPr>
    <w:rPr>
      <w:rFonts w:eastAsia="Times New Roman" w:cs="Times New Roman"/>
      <w:b/>
      <w:bCs/>
      <w:color w:val="203764"/>
      <w:sz w:val="18"/>
      <w:szCs w:val="18"/>
      <w:lang w:eastAsia="lv-LV"/>
    </w:rPr>
  </w:style>
  <w:style w:type="paragraph" w:customStyle="1" w:styleId="xl140">
    <w:name w:val="xl140"/>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41">
    <w:name w:val="xl141"/>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42">
    <w:name w:val="xl142"/>
    <w:basedOn w:val="Normal"/>
    <w:rsid w:val="00B02C11"/>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43">
    <w:name w:val="xl143"/>
    <w:basedOn w:val="Normal"/>
    <w:rsid w:val="00B02C11"/>
    <w:pPr>
      <w:spacing w:before="100" w:beforeAutospacing="1" w:after="100" w:afterAutospacing="1" w:line="240" w:lineRule="auto"/>
      <w:jc w:val="both"/>
      <w:textAlignment w:val="top"/>
    </w:pPr>
    <w:rPr>
      <w:rFonts w:eastAsia="Times New Roman" w:cs="Times New Roman"/>
      <w:b/>
      <w:bCs/>
      <w:color w:val="203764"/>
      <w:sz w:val="18"/>
      <w:szCs w:val="18"/>
      <w:lang w:eastAsia="lv-LV"/>
    </w:rPr>
  </w:style>
  <w:style w:type="paragraph" w:customStyle="1" w:styleId="xl144">
    <w:name w:val="xl144"/>
    <w:basedOn w:val="Normal"/>
    <w:rsid w:val="00B02C11"/>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45">
    <w:name w:val="xl145"/>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46">
    <w:name w:val="xl146"/>
    <w:basedOn w:val="Normal"/>
    <w:rsid w:val="00B02C11"/>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47">
    <w:name w:val="xl147"/>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48">
    <w:name w:val="xl148"/>
    <w:basedOn w:val="Normal"/>
    <w:rsid w:val="00B02C11"/>
    <w:pPr>
      <w:pBdr>
        <w:top w:val="single" w:sz="4" w:space="0" w:color="000000"/>
        <w:left w:val="single" w:sz="4" w:space="11" w:color="000000"/>
        <w:bottom w:val="single" w:sz="4" w:space="0" w:color="000000"/>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49">
    <w:name w:val="xl149"/>
    <w:basedOn w:val="Normal"/>
    <w:rsid w:val="00B02C11"/>
    <w:pPr>
      <w:pBdr>
        <w:top w:val="single" w:sz="4" w:space="0" w:color="000000"/>
        <w:left w:val="single" w:sz="4" w:space="11" w:color="000000"/>
        <w:bottom w:val="single" w:sz="4" w:space="0" w:color="auto"/>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50">
    <w:name w:val="xl150"/>
    <w:basedOn w:val="Normal"/>
    <w:rsid w:val="00B02C11"/>
    <w:pP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51">
    <w:name w:val="xl151"/>
    <w:basedOn w:val="Normal"/>
    <w:rsid w:val="00B02C11"/>
    <w:pP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52">
    <w:name w:val="xl152"/>
    <w:basedOn w:val="Normal"/>
    <w:rsid w:val="00B02C11"/>
    <w:pPr>
      <w:spacing w:before="100" w:beforeAutospacing="1" w:after="100" w:afterAutospacing="1" w:line="240" w:lineRule="auto"/>
      <w:textAlignment w:val="center"/>
    </w:pPr>
    <w:rPr>
      <w:rFonts w:eastAsia="Times New Roman" w:cs="Times New Roman"/>
      <w:color w:val="203764"/>
      <w:sz w:val="18"/>
      <w:szCs w:val="18"/>
      <w:lang w:eastAsia="lv-LV"/>
    </w:rPr>
  </w:style>
  <w:style w:type="paragraph" w:customStyle="1" w:styleId="xl153">
    <w:name w:val="xl153"/>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54">
    <w:name w:val="xl154"/>
    <w:basedOn w:val="Normal"/>
    <w:rsid w:val="00B02C11"/>
    <w:pPr>
      <w:pBdr>
        <w:top w:val="single" w:sz="4" w:space="0" w:color="000000"/>
        <w:left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55">
    <w:name w:val="xl155"/>
    <w:basedOn w:val="Normal"/>
    <w:rsid w:val="00B02C11"/>
    <w:pPr>
      <w:pBdr>
        <w:left w:val="single" w:sz="4" w:space="0" w:color="000000"/>
        <w:bottom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56">
    <w:name w:val="xl156"/>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57">
    <w:name w:val="xl157"/>
    <w:basedOn w:val="Normal"/>
    <w:rsid w:val="00B02C11"/>
    <w:pPr>
      <w:pBdr>
        <w:left w:val="single" w:sz="4" w:space="0" w:color="000000"/>
        <w:bottom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58">
    <w:name w:val="xl158"/>
    <w:basedOn w:val="Normal"/>
    <w:rsid w:val="00B02C11"/>
    <w:pPr>
      <w:pBdr>
        <w:top w:val="single" w:sz="4" w:space="0" w:color="000000"/>
        <w:left w:val="single" w:sz="4" w:space="23" w:color="000000"/>
        <w:bottom w:val="single" w:sz="4" w:space="0" w:color="000000"/>
      </w:pBdr>
      <w:spacing w:before="100" w:beforeAutospacing="1" w:after="100" w:afterAutospacing="1" w:line="240" w:lineRule="auto"/>
      <w:ind w:firstLineChars="200" w:firstLine="200"/>
      <w:textAlignment w:val="center"/>
    </w:pPr>
    <w:rPr>
      <w:rFonts w:eastAsia="Times New Roman" w:cs="Times New Roman"/>
      <w:color w:val="203764"/>
      <w:sz w:val="18"/>
      <w:szCs w:val="18"/>
      <w:lang w:eastAsia="lv-LV"/>
    </w:rPr>
  </w:style>
  <w:style w:type="paragraph" w:customStyle="1" w:styleId="xl159">
    <w:name w:val="xl159"/>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60">
    <w:name w:val="xl160"/>
    <w:basedOn w:val="Normal"/>
    <w:rsid w:val="00B02C11"/>
    <w:pPr>
      <w:pBdr>
        <w:top w:val="single" w:sz="4" w:space="0" w:color="000000"/>
        <w:left w:val="single" w:sz="4" w:space="0" w:color="000000"/>
        <w:bottom w:val="single" w:sz="4" w:space="0" w:color="auto"/>
      </w:pBdr>
      <w:spacing w:before="100" w:beforeAutospacing="1" w:after="100" w:afterAutospacing="1" w:line="240" w:lineRule="auto"/>
      <w:jc w:val="both"/>
      <w:textAlignment w:val="center"/>
    </w:pPr>
    <w:rPr>
      <w:rFonts w:eastAsia="Times New Roman" w:cs="Times New Roman"/>
      <w:b/>
      <w:bCs/>
      <w:color w:val="203764"/>
      <w:sz w:val="18"/>
      <w:szCs w:val="18"/>
      <w:lang w:eastAsia="lv-LV"/>
    </w:rPr>
  </w:style>
  <w:style w:type="paragraph" w:customStyle="1" w:styleId="xl161">
    <w:name w:val="xl161"/>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62">
    <w:name w:val="xl162"/>
    <w:basedOn w:val="Normal"/>
    <w:rsid w:val="00B02C11"/>
    <w:pPr>
      <w:pBdr>
        <w:top w:val="single" w:sz="4" w:space="0" w:color="000000"/>
        <w:lef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63">
    <w:name w:val="xl163"/>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jc w:val="both"/>
      <w:textAlignment w:val="center"/>
    </w:pPr>
    <w:rPr>
      <w:rFonts w:eastAsia="Times New Roman" w:cs="Times New Roman"/>
      <w:b/>
      <w:bCs/>
      <w:color w:val="203764"/>
      <w:sz w:val="18"/>
      <w:szCs w:val="18"/>
      <w:lang w:eastAsia="lv-LV"/>
    </w:rPr>
  </w:style>
  <w:style w:type="paragraph" w:customStyle="1" w:styleId="xl164">
    <w:name w:val="xl164"/>
    <w:basedOn w:val="Normal"/>
    <w:rsid w:val="00B02C11"/>
    <w:pPr>
      <w:pBdr>
        <w:top w:val="single" w:sz="4" w:space="0" w:color="000000"/>
        <w:left w:val="single" w:sz="4" w:space="11" w:color="000000"/>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65">
    <w:name w:val="xl165"/>
    <w:basedOn w:val="Normal"/>
    <w:rsid w:val="00B02C11"/>
    <w:pPr>
      <w:pBdr>
        <w:top w:val="single" w:sz="4" w:space="0" w:color="000000"/>
        <w:left w:val="single" w:sz="4" w:space="11" w:color="000000"/>
        <w:bottom w:val="single" w:sz="4" w:space="0" w:color="000000"/>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66">
    <w:name w:val="xl166"/>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203764"/>
      <w:sz w:val="18"/>
      <w:szCs w:val="18"/>
      <w:lang w:eastAsia="lv-LV"/>
    </w:rPr>
  </w:style>
  <w:style w:type="paragraph" w:customStyle="1" w:styleId="xl167">
    <w:name w:val="xl167"/>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color w:val="203764"/>
      <w:sz w:val="18"/>
      <w:szCs w:val="18"/>
      <w:lang w:eastAsia="lv-LV"/>
    </w:rPr>
  </w:style>
  <w:style w:type="paragraph" w:customStyle="1" w:styleId="xl168">
    <w:name w:val="xl168"/>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69">
    <w:name w:val="xl169"/>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70">
    <w:name w:val="xl170"/>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71">
    <w:name w:val="xl171"/>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i/>
      <w:iCs/>
      <w:color w:val="203764"/>
      <w:sz w:val="18"/>
      <w:szCs w:val="18"/>
      <w:lang w:eastAsia="lv-LV"/>
    </w:rPr>
  </w:style>
  <w:style w:type="character" w:customStyle="1" w:styleId="ui-provider">
    <w:name w:val="ui-provider"/>
    <w:basedOn w:val="DefaultParagraphFont"/>
    <w:rsid w:val="005B15DD"/>
  </w:style>
  <w:style w:type="paragraph" w:customStyle="1" w:styleId="Pamatteksts2">
    <w:name w:val="Pamatteksts2"/>
    <w:rsid w:val="006B0E02"/>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paragraph" w:customStyle="1" w:styleId="Bullets2">
    <w:name w:val="Bullets2"/>
    <w:basedOn w:val="Pamatteksts1"/>
    <w:link w:val="Bullets2Char"/>
    <w:qFormat/>
    <w:rsid w:val="000D2C39"/>
    <w:pPr>
      <w:numPr>
        <w:ilvl w:val="1"/>
        <w:numId w:val="20"/>
      </w:numPr>
      <w:ind w:left="1276" w:hanging="283"/>
    </w:pPr>
  </w:style>
  <w:style w:type="paragraph" w:customStyle="1" w:styleId="Tabteksti">
    <w:name w:val="Tab.teksti"/>
    <w:basedOn w:val="Normal"/>
    <w:link w:val="TabtekstiChar"/>
    <w:qFormat/>
    <w:rsid w:val="00342571"/>
    <w:pPr>
      <w:spacing w:after="0" w:line="240" w:lineRule="auto"/>
    </w:pPr>
    <w:rPr>
      <w:bCs/>
      <w:noProof/>
      <w:color w:val="17365D"/>
      <w:sz w:val="18"/>
      <w:szCs w:val="18"/>
      <w:lang w:eastAsia="lv-LV"/>
    </w:rPr>
  </w:style>
  <w:style w:type="character" w:customStyle="1" w:styleId="Pamatteksts1Char">
    <w:name w:val="Pamatteksts1 Char"/>
    <w:basedOn w:val="DefaultParagraphFont"/>
    <w:link w:val="Pamatteksts1"/>
    <w:rsid w:val="000D2C39"/>
    <w:rPr>
      <w:rFonts w:ascii="Times New Roman" w:hAnsi="Times New Roman" w:cs="Times New Roman"/>
      <w:color w:val="17365D"/>
      <w:sz w:val="24"/>
    </w:rPr>
  </w:style>
  <w:style w:type="character" w:customStyle="1" w:styleId="Bullets2Char">
    <w:name w:val="Bullets2 Char"/>
    <w:basedOn w:val="Pamatteksts1Char"/>
    <w:link w:val="Bullets2"/>
    <w:rsid w:val="000D2C39"/>
    <w:rPr>
      <w:rFonts w:ascii="Times New Roman" w:hAnsi="Times New Roman" w:cs="Times New Roman"/>
      <w:color w:val="17365D"/>
      <w:sz w:val="24"/>
    </w:rPr>
  </w:style>
  <w:style w:type="paragraph" w:customStyle="1" w:styleId="Tabskaiti">
    <w:name w:val="Tab.skaitļi"/>
    <w:basedOn w:val="Normal"/>
    <w:link w:val="TabskaitiChar"/>
    <w:qFormat/>
    <w:rsid w:val="00342571"/>
    <w:pPr>
      <w:spacing w:after="0" w:line="240" w:lineRule="auto"/>
      <w:jc w:val="right"/>
    </w:pPr>
    <w:rPr>
      <w:bCs/>
      <w:color w:val="17365D"/>
      <w:sz w:val="18"/>
      <w:szCs w:val="18"/>
      <w:lang w:eastAsia="lv-LV"/>
    </w:rPr>
  </w:style>
  <w:style w:type="character" w:customStyle="1" w:styleId="TabtekstiChar">
    <w:name w:val="Tab.teksti Char"/>
    <w:basedOn w:val="DefaultParagraphFont"/>
    <w:link w:val="Tabteksti"/>
    <w:rsid w:val="00342571"/>
    <w:rPr>
      <w:rFonts w:ascii="Times New Roman" w:hAnsi="Times New Roman"/>
      <w:bCs/>
      <w:noProof/>
      <w:color w:val="17365D"/>
      <w:sz w:val="18"/>
      <w:szCs w:val="18"/>
      <w:lang w:eastAsia="lv-LV"/>
    </w:rPr>
  </w:style>
  <w:style w:type="paragraph" w:customStyle="1" w:styleId="Tabgalva">
    <w:name w:val="Tab.galva"/>
    <w:basedOn w:val="Normal"/>
    <w:link w:val="TabgalvaChar"/>
    <w:qFormat/>
    <w:rsid w:val="00597DB1"/>
    <w:pPr>
      <w:spacing w:after="0" w:line="240" w:lineRule="auto"/>
      <w:jc w:val="center"/>
    </w:pPr>
    <w:rPr>
      <w:rFonts w:eastAsia="Times New Roman" w:cs="Times New Roman"/>
      <w:b/>
      <w:color w:val="17365D"/>
      <w:sz w:val="18"/>
      <w:szCs w:val="18"/>
      <w:lang w:eastAsia="lv-LV"/>
    </w:rPr>
  </w:style>
  <w:style w:type="character" w:customStyle="1" w:styleId="TabskaitiChar">
    <w:name w:val="Tab.skaitļi Char"/>
    <w:basedOn w:val="DefaultParagraphFont"/>
    <w:link w:val="Tabskaiti"/>
    <w:rsid w:val="00342571"/>
    <w:rPr>
      <w:rFonts w:ascii="Times New Roman" w:hAnsi="Times New Roman"/>
      <w:bCs/>
      <w:color w:val="17365D"/>
      <w:sz w:val="18"/>
      <w:szCs w:val="18"/>
      <w:lang w:eastAsia="lv-LV"/>
    </w:rPr>
  </w:style>
  <w:style w:type="character" w:customStyle="1" w:styleId="TabgalvaChar">
    <w:name w:val="Tab.galva Char"/>
    <w:basedOn w:val="DefaultParagraphFont"/>
    <w:link w:val="Tabgalva"/>
    <w:rsid w:val="00597DB1"/>
    <w:rPr>
      <w:rFonts w:ascii="Times New Roman" w:eastAsia="Times New Roman" w:hAnsi="Times New Roman" w:cs="Times New Roman"/>
      <w:b/>
      <w:color w:val="17365D"/>
      <w:sz w:val="18"/>
      <w:szCs w:val="18"/>
      <w:lang w:eastAsia="lv-LV"/>
    </w:rPr>
  </w:style>
  <w:style w:type="character" w:customStyle="1" w:styleId="UnresolvedMention1">
    <w:name w:val="Unresolved Mention1"/>
    <w:basedOn w:val="DefaultParagraphFont"/>
    <w:uiPriority w:val="99"/>
    <w:semiHidden/>
    <w:unhideWhenUsed/>
    <w:rsid w:val="00140D89"/>
    <w:rPr>
      <w:color w:val="605E5C"/>
      <w:shd w:val="clear" w:color="auto" w:fill="E1DFDD"/>
    </w:rPr>
  </w:style>
  <w:style w:type="paragraph" w:customStyle="1" w:styleId="Tabulasteksts">
    <w:name w:val="Tabulas teksts"/>
    <w:basedOn w:val="Normal"/>
    <w:rsid w:val="00FB11FC"/>
    <w:pPr>
      <w:spacing w:after="0" w:line="240" w:lineRule="auto"/>
    </w:pPr>
    <w:rPr>
      <w:rFonts w:eastAsia="Times New Roman" w:cs="Times New Roman"/>
      <w:sz w:val="20"/>
      <w:szCs w:val="24"/>
    </w:rPr>
  </w:style>
  <w:style w:type="paragraph" w:customStyle="1" w:styleId="Tabulasnosaukums">
    <w:name w:val="Tabulas nosaukums"/>
    <w:basedOn w:val="Pamatteksts1"/>
    <w:next w:val="Pamatteksts1"/>
    <w:rsid w:val="00FB11FC"/>
    <w:pPr>
      <w:spacing w:before="240" w:after="0"/>
      <w:ind w:firstLine="0"/>
      <w:jc w:val="right"/>
    </w:pPr>
    <w:rPr>
      <w:rFonts w:eastAsia="Times New Roman"/>
      <w:i/>
      <w:noProof/>
      <w:color w:val="000000" w:themeColor="text1"/>
      <w:sz w:val="20"/>
      <w:szCs w:val="24"/>
      <w:lang w:eastAsia="lv-LV"/>
    </w:rPr>
  </w:style>
  <w:style w:type="paragraph" w:customStyle="1" w:styleId="Pamatteksts3">
    <w:name w:val="Pamatteksts3"/>
    <w:rsid w:val="00FB11FC"/>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character" w:customStyle="1" w:styleId="UnresolvedMention2">
    <w:name w:val="Unresolved Mention2"/>
    <w:basedOn w:val="DefaultParagraphFont"/>
    <w:uiPriority w:val="99"/>
    <w:semiHidden/>
    <w:unhideWhenUsed/>
    <w:rsid w:val="00B1750B"/>
    <w:rPr>
      <w:color w:val="605E5C"/>
      <w:shd w:val="clear" w:color="auto" w:fill="E1DFDD"/>
    </w:rPr>
  </w:style>
  <w:style w:type="character" w:customStyle="1" w:styleId="UnresolvedMention3">
    <w:name w:val="Unresolved Mention3"/>
    <w:basedOn w:val="DefaultParagraphFont"/>
    <w:uiPriority w:val="99"/>
    <w:semiHidden/>
    <w:unhideWhenUsed/>
    <w:rsid w:val="007C78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3143">
      <w:bodyDiv w:val="1"/>
      <w:marLeft w:val="0"/>
      <w:marRight w:val="0"/>
      <w:marTop w:val="0"/>
      <w:marBottom w:val="0"/>
      <w:divBdr>
        <w:top w:val="none" w:sz="0" w:space="0" w:color="auto"/>
        <w:left w:val="none" w:sz="0" w:space="0" w:color="auto"/>
        <w:bottom w:val="none" w:sz="0" w:space="0" w:color="auto"/>
        <w:right w:val="none" w:sz="0" w:space="0" w:color="auto"/>
      </w:divBdr>
    </w:div>
    <w:div w:id="8725621">
      <w:bodyDiv w:val="1"/>
      <w:marLeft w:val="0"/>
      <w:marRight w:val="0"/>
      <w:marTop w:val="0"/>
      <w:marBottom w:val="0"/>
      <w:divBdr>
        <w:top w:val="none" w:sz="0" w:space="0" w:color="auto"/>
        <w:left w:val="none" w:sz="0" w:space="0" w:color="auto"/>
        <w:bottom w:val="none" w:sz="0" w:space="0" w:color="auto"/>
        <w:right w:val="none" w:sz="0" w:space="0" w:color="auto"/>
      </w:divBdr>
    </w:div>
    <w:div w:id="8799550">
      <w:bodyDiv w:val="1"/>
      <w:marLeft w:val="0"/>
      <w:marRight w:val="0"/>
      <w:marTop w:val="0"/>
      <w:marBottom w:val="0"/>
      <w:divBdr>
        <w:top w:val="none" w:sz="0" w:space="0" w:color="auto"/>
        <w:left w:val="none" w:sz="0" w:space="0" w:color="auto"/>
        <w:bottom w:val="none" w:sz="0" w:space="0" w:color="auto"/>
        <w:right w:val="none" w:sz="0" w:space="0" w:color="auto"/>
      </w:divBdr>
    </w:div>
    <w:div w:id="9069035">
      <w:bodyDiv w:val="1"/>
      <w:marLeft w:val="0"/>
      <w:marRight w:val="0"/>
      <w:marTop w:val="0"/>
      <w:marBottom w:val="0"/>
      <w:divBdr>
        <w:top w:val="none" w:sz="0" w:space="0" w:color="auto"/>
        <w:left w:val="none" w:sz="0" w:space="0" w:color="auto"/>
        <w:bottom w:val="none" w:sz="0" w:space="0" w:color="auto"/>
        <w:right w:val="none" w:sz="0" w:space="0" w:color="auto"/>
      </w:divBdr>
    </w:div>
    <w:div w:id="10686358">
      <w:bodyDiv w:val="1"/>
      <w:marLeft w:val="0"/>
      <w:marRight w:val="0"/>
      <w:marTop w:val="0"/>
      <w:marBottom w:val="0"/>
      <w:divBdr>
        <w:top w:val="none" w:sz="0" w:space="0" w:color="auto"/>
        <w:left w:val="none" w:sz="0" w:space="0" w:color="auto"/>
        <w:bottom w:val="none" w:sz="0" w:space="0" w:color="auto"/>
        <w:right w:val="none" w:sz="0" w:space="0" w:color="auto"/>
      </w:divBdr>
    </w:div>
    <w:div w:id="13725477">
      <w:bodyDiv w:val="1"/>
      <w:marLeft w:val="0"/>
      <w:marRight w:val="0"/>
      <w:marTop w:val="0"/>
      <w:marBottom w:val="0"/>
      <w:divBdr>
        <w:top w:val="none" w:sz="0" w:space="0" w:color="auto"/>
        <w:left w:val="none" w:sz="0" w:space="0" w:color="auto"/>
        <w:bottom w:val="none" w:sz="0" w:space="0" w:color="auto"/>
        <w:right w:val="none" w:sz="0" w:space="0" w:color="auto"/>
      </w:divBdr>
    </w:div>
    <w:div w:id="17005750">
      <w:bodyDiv w:val="1"/>
      <w:marLeft w:val="0"/>
      <w:marRight w:val="0"/>
      <w:marTop w:val="0"/>
      <w:marBottom w:val="0"/>
      <w:divBdr>
        <w:top w:val="none" w:sz="0" w:space="0" w:color="auto"/>
        <w:left w:val="none" w:sz="0" w:space="0" w:color="auto"/>
        <w:bottom w:val="none" w:sz="0" w:space="0" w:color="auto"/>
        <w:right w:val="none" w:sz="0" w:space="0" w:color="auto"/>
      </w:divBdr>
    </w:div>
    <w:div w:id="17974056">
      <w:bodyDiv w:val="1"/>
      <w:marLeft w:val="0"/>
      <w:marRight w:val="0"/>
      <w:marTop w:val="0"/>
      <w:marBottom w:val="0"/>
      <w:divBdr>
        <w:top w:val="none" w:sz="0" w:space="0" w:color="auto"/>
        <w:left w:val="none" w:sz="0" w:space="0" w:color="auto"/>
        <w:bottom w:val="none" w:sz="0" w:space="0" w:color="auto"/>
        <w:right w:val="none" w:sz="0" w:space="0" w:color="auto"/>
      </w:divBdr>
    </w:div>
    <w:div w:id="18242644">
      <w:bodyDiv w:val="1"/>
      <w:marLeft w:val="0"/>
      <w:marRight w:val="0"/>
      <w:marTop w:val="0"/>
      <w:marBottom w:val="0"/>
      <w:divBdr>
        <w:top w:val="none" w:sz="0" w:space="0" w:color="auto"/>
        <w:left w:val="none" w:sz="0" w:space="0" w:color="auto"/>
        <w:bottom w:val="none" w:sz="0" w:space="0" w:color="auto"/>
        <w:right w:val="none" w:sz="0" w:space="0" w:color="auto"/>
      </w:divBdr>
    </w:div>
    <w:div w:id="27341617">
      <w:bodyDiv w:val="1"/>
      <w:marLeft w:val="0"/>
      <w:marRight w:val="0"/>
      <w:marTop w:val="0"/>
      <w:marBottom w:val="0"/>
      <w:divBdr>
        <w:top w:val="none" w:sz="0" w:space="0" w:color="auto"/>
        <w:left w:val="none" w:sz="0" w:space="0" w:color="auto"/>
        <w:bottom w:val="none" w:sz="0" w:space="0" w:color="auto"/>
        <w:right w:val="none" w:sz="0" w:space="0" w:color="auto"/>
      </w:divBdr>
    </w:div>
    <w:div w:id="30038219">
      <w:bodyDiv w:val="1"/>
      <w:marLeft w:val="0"/>
      <w:marRight w:val="0"/>
      <w:marTop w:val="0"/>
      <w:marBottom w:val="0"/>
      <w:divBdr>
        <w:top w:val="none" w:sz="0" w:space="0" w:color="auto"/>
        <w:left w:val="none" w:sz="0" w:space="0" w:color="auto"/>
        <w:bottom w:val="none" w:sz="0" w:space="0" w:color="auto"/>
        <w:right w:val="none" w:sz="0" w:space="0" w:color="auto"/>
      </w:divBdr>
    </w:div>
    <w:div w:id="30737107">
      <w:bodyDiv w:val="1"/>
      <w:marLeft w:val="0"/>
      <w:marRight w:val="0"/>
      <w:marTop w:val="0"/>
      <w:marBottom w:val="0"/>
      <w:divBdr>
        <w:top w:val="none" w:sz="0" w:space="0" w:color="auto"/>
        <w:left w:val="none" w:sz="0" w:space="0" w:color="auto"/>
        <w:bottom w:val="none" w:sz="0" w:space="0" w:color="auto"/>
        <w:right w:val="none" w:sz="0" w:space="0" w:color="auto"/>
      </w:divBdr>
    </w:div>
    <w:div w:id="32004053">
      <w:bodyDiv w:val="1"/>
      <w:marLeft w:val="0"/>
      <w:marRight w:val="0"/>
      <w:marTop w:val="0"/>
      <w:marBottom w:val="0"/>
      <w:divBdr>
        <w:top w:val="none" w:sz="0" w:space="0" w:color="auto"/>
        <w:left w:val="none" w:sz="0" w:space="0" w:color="auto"/>
        <w:bottom w:val="none" w:sz="0" w:space="0" w:color="auto"/>
        <w:right w:val="none" w:sz="0" w:space="0" w:color="auto"/>
      </w:divBdr>
    </w:div>
    <w:div w:id="34696778">
      <w:bodyDiv w:val="1"/>
      <w:marLeft w:val="0"/>
      <w:marRight w:val="0"/>
      <w:marTop w:val="0"/>
      <w:marBottom w:val="0"/>
      <w:divBdr>
        <w:top w:val="none" w:sz="0" w:space="0" w:color="auto"/>
        <w:left w:val="none" w:sz="0" w:space="0" w:color="auto"/>
        <w:bottom w:val="none" w:sz="0" w:space="0" w:color="auto"/>
        <w:right w:val="none" w:sz="0" w:space="0" w:color="auto"/>
      </w:divBdr>
    </w:div>
    <w:div w:id="35277919">
      <w:bodyDiv w:val="1"/>
      <w:marLeft w:val="0"/>
      <w:marRight w:val="0"/>
      <w:marTop w:val="0"/>
      <w:marBottom w:val="0"/>
      <w:divBdr>
        <w:top w:val="none" w:sz="0" w:space="0" w:color="auto"/>
        <w:left w:val="none" w:sz="0" w:space="0" w:color="auto"/>
        <w:bottom w:val="none" w:sz="0" w:space="0" w:color="auto"/>
        <w:right w:val="none" w:sz="0" w:space="0" w:color="auto"/>
      </w:divBdr>
    </w:div>
    <w:div w:id="35398195">
      <w:bodyDiv w:val="1"/>
      <w:marLeft w:val="0"/>
      <w:marRight w:val="0"/>
      <w:marTop w:val="0"/>
      <w:marBottom w:val="0"/>
      <w:divBdr>
        <w:top w:val="none" w:sz="0" w:space="0" w:color="auto"/>
        <w:left w:val="none" w:sz="0" w:space="0" w:color="auto"/>
        <w:bottom w:val="none" w:sz="0" w:space="0" w:color="auto"/>
        <w:right w:val="none" w:sz="0" w:space="0" w:color="auto"/>
      </w:divBdr>
    </w:div>
    <w:div w:id="38627610">
      <w:bodyDiv w:val="1"/>
      <w:marLeft w:val="0"/>
      <w:marRight w:val="0"/>
      <w:marTop w:val="0"/>
      <w:marBottom w:val="0"/>
      <w:divBdr>
        <w:top w:val="none" w:sz="0" w:space="0" w:color="auto"/>
        <w:left w:val="none" w:sz="0" w:space="0" w:color="auto"/>
        <w:bottom w:val="none" w:sz="0" w:space="0" w:color="auto"/>
        <w:right w:val="none" w:sz="0" w:space="0" w:color="auto"/>
      </w:divBdr>
    </w:div>
    <w:div w:id="38630440">
      <w:bodyDiv w:val="1"/>
      <w:marLeft w:val="0"/>
      <w:marRight w:val="0"/>
      <w:marTop w:val="0"/>
      <w:marBottom w:val="0"/>
      <w:divBdr>
        <w:top w:val="none" w:sz="0" w:space="0" w:color="auto"/>
        <w:left w:val="none" w:sz="0" w:space="0" w:color="auto"/>
        <w:bottom w:val="none" w:sz="0" w:space="0" w:color="auto"/>
        <w:right w:val="none" w:sz="0" w:space="0" w:color="auto"/>
      </w:divBdr>
    </w:div>
    <w:div w:id="43330388">
      <w:bodyDiv w:val="1"/>
      <w:marLeft w:val="0"/>
      <w:marRight w:val="0"/>
      <w:marTop w:val="0"/>
      <w:marBottom w:val="0"/>
      <w:divBdr>
        <w:top w:val="none" w:sz="0" w:space="0" w:color="auto"/>
        <w:left w:val="none" w:sz="0" w:space="0" w:color="auto"/>
        <w:bottom w:val="none" w:sz="0" w:space="0" w:color="auto"/>
        <w:right w:val="none" w:sz="0" w:space="0" w:color="auto"/>
      </w:divBdr>
    </w:div>
    <w:div w:id="43529850">
      <w:bodyDiv w:val="1"/>
      <w:marLeft w:val="0"/>
      <w:marRight w:val="0"/>
      <w:marTop w:val="0"/>
      <w:marBottom w:val="0"/>
      <w:divBdr>
        <w:top w:val="none" w:sz="0" w:space="0" w:color="auto"/>
        <w:left w:val="none" w:sz="0" w:space="0" w:color="auto"/>
        <w:bottom w:val="none" w:sz="0" w:space="0" w:color="auto"/>
        <w:right w:val="none" w:sz="0" w:space="0" w:color="auto"/>
      </w:divBdr>
    </w:div>
    <w:div w:id="59445851">
      <w:bodyDiv w:val="1"/>
      <w:marLeft w:val="0"/>
      <w:marRight w:val="0"/>
      <w:marTop w:val="0"/>
      <w:marBottom w:val="0"/>
      <w:divBdr>
        <w:top w:val="none" w:sz="0" w:space="0" w:color="auto"/>
        <w:left w:val="none" w:sz="0" w:space="0" w:color="auto"/>
        <w:bottom w:val="none" w:sz="0" w:space="0" w:color="auto"/>
        <w:right w:val="none" w:sz="0" w:space="0" w:color="auto"/>
      </w:divBdr>
    </w:div>
    <w:div w:id="60372223">
      <w:bodyDiv w:val="1"/>
      <w:marLeft w:val="0"/>
      <w:marRight w:val="0"/>
      <w:marTop w:val="0"/>
      <w:marBottom w:val="0"/>
      <w:divBdr>
        <w:top w:val="none" w:sz="0" w:space="0" w:color="auto"/>
        <w:left w:val="none" w:sz="0" w:space="0" w:color="auto"/>
        <w:bottom w:val="none" w:sz="0" w:space="0" w:color="auto"/>
        <w:right w:val="none" w:sz="0" w:space="0" w:color="auto"/>
      </w:divBdr>
    </w:div>
    <w:div w:id="74669320">
      <w:bodyDiv w:val="1"/>
      <w:marLeft w:val="0"/>
      <w:marRight w:val="0"/>
      <w:marTop w:val="0"/>
      <w:marBottom w:val="0"/>
      <w:divBdr>
        <w:top w:val="none" w:sz="0" w:space="0" w:color="auto"/>
        <w:left w:val="none" w:sz="0" w:space="0" w:color="auto"/>
        <w:bottom w:val="none" w:sz="0" w:space="0" w:color="auto"/>
        <w:right w:val="none" w:sz="0" w:space="0" w:color="auto"/>
      </w:divBdr>
    </w:div>
    <w:div w:id="79958264">
      <w:bodyDiv w:val="1"/>
      <w:marLeft w:val="0"/>
      <w:marRight w:val="0"/>
      <w:marTop w:val="0"/>
      <w:marBottom w:val="0"/>
      <w:divBdr>
        <w:top w:val="none" w:sz="0" w:space="0" w:color="auto"/>
        <w:left w:val="none" w:sz="0" w:space="0" w:color="auto"/>
        <w:bottom w:val="none" w:sz="0" w:space="0" w:color="auto"/>
        <w:right w:val="none" w:sz="0" w:space="0" w:color="auto"/>
      </w:divBdr>
    </w:div>
    <w:div w:id="81685250">
      <w:bodyDiv w:val="1"/>
      <w:marLeft w:val="0"/>
      <w:marRight w:val="0"/>
      <w:marTop w:val="0"/>
      <w:marBottom w:val="0"/>
      <w:divBdr>
        <w:top w:val="none" w:sz="0" w:space="0" w:color="auto"/>
        <w:left w:val="none" w:sz="0" w:space="0" w:color="auto"/>
        <w:bottom w:val="none" w:sz="0" w:space="0" w:color="auto"/>
        <w:right w:val="none" w:sz="0" w:space="0" w:color="auto"/>
      </w:divBdr>
    </w:div>
    <w:div w:id="86662650">
      <w:bodyDiv w:val="1"/>
      <w:marLeft w:val="0"/>
      <w:marRight w:val="0"/>
      <w:marTop w:val="0"/>
      <w:marBottom w:val="0"/>
      <w:divBdr>
        <w:top w:val="none" w:sz="0" w:space="0" w:color="auto"/>
        <w:left w:val="none" w:sz="0" w:space="0" w:color="auto"/>
        <w:bottom w:val="none" w:sz="0" w:space="0" w:color="auto"/>
        <w:right w:val="none" w:sz="0" w:space="0" w:color="auto"/>
      </w:divBdr>
    </w:div>
    <w:div w:id="87507186">
      <w:bodyDiv w:val="1"/>
      <w:marLeft w:val="0"/>
      <w:marRight w:val="0"/>
      <w:marTop w:val="0"/>
      <w:marBottom w:val="0"/>
      <w:divBdr>
        <w:top w:val="none" w:sz="0" w:space="0" w:color="auto"/>
        <w:left w:val="none" w:sz="0" w:space="0" w:color="auto"/>
        <w:bottom w:val="none" w:sz="0" w:space="0" w:color="auto"/>
        <w:right w:val="none" w:sz="0" w:space="0" w:color="auto"/>
      </w:divBdr>
    </w:div>
    <w:div w:id="88619850">
      <w:bodyDiv w:val="1"/>
      <w:marLeft w:val="0"/>
      <w:marRight w:val="0"/>
      <w:marTop w:val="0"/>
      <w:marBottom w:val="0"/>
      <w:divBdr>
        <w:top w:val="none" w:sz="0" w:space="0" w:color="auto"/>
        <w:left w:val="none" w:sz="0" w:space="0" w:color="auto"/>
        <w:bottom w:val="none" w:sz="0" w:space="0" w:color="auto"/>
        <w:right w:val="none" w:sz="0" w:space="0" w:color="auto"/>
      </w:divBdr>
    </w:div>
    <w:div w:id="98137826">
      <w:bodyDiv w:val="1"/>
      <w:marLeft w:val="0"/>
      <w:marRight w:val="0"/>
      <w:marTop w:val="0"/>
      <w:marBottom w:val="0"/>
      <w:divBdr>
        <w:top w:val="none" w:sz="0" w:space="0" w:color="auto"/>
        <w:left w:val="none" w:sz="0" w:space="0" w:color="auto"/>
        <w:bottom w:val="none" w:sz="0" w:space="0" w:color="auto"/>
        <w:right w:val="none" w:sz="0" w:space="0" w:color="auto"/>
      </w:divBdr>
    </w:div>
    <w:div w:id="105125448">
      <w:bodyDiv w:val="1"/>
      <w:marLeft w:val="0"/>
      <w:marRight w:val="0"/>
      <w:marTop w:val="0"/>
      <w:marBottom w:val="0"/>
      <w:divBdr>
        <w:top w:val="none" w:sz="0" w:space="0" w:color="auto"/>
        <w:left w:val="none" w:sz="0" w:space="0" w:color="auto"/>
        <w:bottom w:val="none" w:sz="0" w:space="0" w:color="auto"/>
        <w:right w:val="none" w:sz="0" w:space="0" w:color="auto"/>
      </w:divBdr>
    </w:div>
    <w:div w:id="109665567">
      <w:bodyDiv w:val="1"/>
      <w:marLeft w:val="0"/>
      <w:marRight w:val="0"/>
      <w:marTop w:val="0"/>
      <w:marBottom w:val="0"/>
      <w:divBdr>
        <w:top w:val="none" w:sz="0" w:space="0" w:color="auto"/>
        <w:left w:val="none" w:sz="0" w:space="0" w:color="auto"/>
        <w:bottom w:val="none" w:sz="0" w:space="0" w:color="auto"/>
        <w:right w:val="none" w:sz="0" w:space="0" w:color="auto"/>
      </w:divBdr>
    </w:div>
    <w:div w:id="110561627">
      <w:bodyDiv w:val="1"/>
      <w:marLeft w:val="0"/>
      <w:marRight w:val="0"/>
      <w:marTop w:val="0"/>
      <w:marBottom w:val="0"/>
      <w:divBdr>
        <w:top w:val="none" w:sz="0" w:space="0" w:color="auto"/>
        <w:left w:val="none" w:sz="0" w:space="0" w:color="auto"/>
        <w:bottom w:val="none" w:sz="0" w:space="0" w:color="auto"/>
        <w:right w:val="none" w:sz="0" w:space="0" w:color="auto"/>
      </w:divBdr>
    </w:div>
    <w:div w:id="114757590">
      <w:bodyDiv w:val="1"/>
      <w:marLeft w:val="0"/>
      <w:marRight w:val="0"/>
      <w:marTop w:val="0"/>
      <w:marBottom w:val="0"/>
      <w:divBdr>
        <w:top w:val="none" w:sz="0" w:space="0" w:color="auto"/>
        <w:left w:val="none" w:sz="0" w:space="0" w:color="auto"/>
        <w:bottom w:val="none" w:sz="0" w:space="0" w:color="auto"/>
        <w:right w:val="none" w:sz="0" w:space="0" w:color="auto"/>
      </w:divBdr>
    </w:div>
    <w:div w:id="115802872">
      <w:bodyDiv w:val="1"/>
      <w:marLeft w:val="0"/>
      <w:marRight w:val="0"/>
      <w:marTop w:val="0"/>
      <w:marBottom w:val="0"/>
      <w:divBdr>
        <w:top w:val="none" w:sz="0" w:space="0" w:color="auto"/>
        <w:left w:val="none" w:sz="0" w:space="0" w:color="auto"/>
        <w:bottom w:val="none" w:sz="0" w:space="0" w:color="auto"/>
        <w:right w:val="none" w:sz="0" w:space="0" w:color="auto"/>
      </w:divBdr>
      <w:divsChild>
        <w:div w:id="633219979">
          <w:marLeft w:val="0"/>
          <w:marRight w:val="0"/>
          <w:marTop w:val="0"/>
          <w:marBottom w:val="0"/>
          <w:divBdr>
            <w:top w:val="none" w:sz="0" w:space="0" w:color="auto"/>
            <w:left w:val="none" w:sz="0" w:space="0" w:color="auto"/>
            <w:bottom w:val="none" w:sz="0" w:space="0" w:color="auto"/>
            <w:right w:val="none" w:sz="0" w:space="0" w:color="auto"/>
          </w:divBdr>
          <w:divsChild>
            <w:div w:id="1411344779">
              <w:marLeft w:val="0"/>
              <w:marRight w:val="0"/>
              <w:marTop w:val="0"/>
              <w:marBottom w:val="0"/>
              <w:divBdr>
                <w:top w:val="none" w:sz="0" w:space="0" w:color="auto"/>
                <w:left w:val="none" w:sz="0" w:space="0" w:color="auto"/>
                <w:bottom w:val="none" w:sz="0" w:space="0" w:color="auto"/>
                <w:right w:val="none" w:sz="0" w:space="0" w:color="auto"/>
              </w:divBdr>
              <w:divsChild>
                <w:div w:id="2060082408">
                  <w:marLeft w:val="0"/>
                  <w:marRight w:val="0"/>
                  <w:marTop w:val="0"/>
                  <w:marBottom w:val="0"/>
                  <w:divBdr>
                    <w:top w:val="none" w:sz="0" w:space="0" w:color="auto"/>
                    <w:left w:val="none" w:sz="0" w:space="0" w:color="auto"/>
                    <w:bottom w:val="none" w:sz="0" w:space="0" w:color="auto"/>
                    <w:right w:val="none" w:sz="0" w:space="0" w:color="auto"/>
                  </w:divBdr>
                  <w:divsChild>
                    <w:div w:id="909315870">
                      <w:marLeft w:val="0"/>
                      <w:marRight w:val="0"/>
                      <w:marTop w:val="0"/>
                      <w:marBottom w:val="0"/>
                      <w:divBdr>
                        <w:top w:val="none" w:sz="0" w:space="0" w:color="auto"/>
                        <w:left w:val="none" w:sz="0" w:space="0" w:color="auto"/>
                        <w:bottom w:val="none" w:sz="0" w:space="0" w:color="auto"/>
                        <w:right w:val="none" w:sz="0" w:space="0" w:color="auto"/>
                      </w:divBdr>
                      <w:divsChild>
                        <w:div w:id="1917858855">
                          <w:marLeft w:val="0"/>
                          <w:marRight w:val="0"/>
                          <w:marTop w:val="300"/>
                          <w:marBottom w:val="0"/>
                          <w:divBdr>
                            <w:top w:val="none" w:sz="0" w:space="0" w:color="auto"/>
                            <w:left w:val="none" w:sz="0" w:space="0" w:color="auto"/>
                            <w:bottom w:val="none" w:sz="0" w:space="0" w:color="auto"/>
                            <w:right w:val="none" w:sz="0" w:space="0" w:color="auto"/>
                          </w:divBdr>
                          <w:divsChild>
                            <w:div w:id="186112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76980">
      <w:bodyDiv w:val="1"/>
      <w:marLeft w:val="0"/>
      <w:marRight w:val="0"/>
      <w:marTop w:val="0"/>
      <w:marBottom w:val="0"/>
      <w:divBdr>
        <w:top w:val="none" w:sz="0" w:space="0" w:color="auto"/>
        <w:left w:val="none" w:sz="0" w:space="0" w:color="auto"/>
        <w:bottom w:val="none" w:sz="0" w:space="0" w:color="auto"/>
        <w:right w:val="none" w:sz="0" w:space="0" w:color="auto"/>
      </w:divBdr>
    </w:div>
    <w:div w:id="131482052">
      <w:bodyDiv w:val="1"/>
      <w:marLeft w:val="0"/>
      <w:marRight w:val="0"/>
      <w:marTop w:val="0"/>
      <w:marBottom w:val="0"/>
      <w:divBdr>
        <w:top w:val="none" w:sz="0" w:space="0" w:color="auto"/>
        <w:left w:val="none" w:sz="0" w:space="0" w:color="auto"/>
        <w:bottom w:val="none" w:sz="0" w:space="0" w:color="auto"/>
        <w:right w:val="none" w:sz="0" w:space="0" w:color="auto"/>
      </w:divBdr>
    </w:div>
    <w:div w:id="132723401">
      <w:bodyDiv w:val="1"/>
      <w:marLeft w:val="0"/>
      <w:marRight w:val="0"/>
      <w:marTop w:val="0"/>
      <w:marBottom w:val="0"/>
      <w:divBdr>
        <w:top w:val="none" w:sz="0" w:space="0" w:color="auto"/>
        <w:left w:val="none" w:sz="0" w:space="0" w:color="auto"/>
        <w:bottom w:val="none" w:sz="0" w:space="0" w:color="auto"/>
        <w:right w:val="none" w:sz="0" w:space="0" w:color="auto"/>
      </w:divBdr>
    </w:div>
    <w:div w:id="136147104">
      <w:bodyDiv w:val="1"/>
      <w:marLeft w:val="0"/>
      <w:marRight w:val="0"/>
      <w:marTop w:val="0"/>
      <w:marBottom w:val="0"/>
      <w:divBdr>
        <w:top w:val="none" w:sz="0" w:space="0" w:color="auto"/>
        <w:left w:val="none" w:sz="0" w:space="0" w:color="auto"/>
        <w:bottom w:val="none" w:sz="0" w:space="0" w:color="auto"/>
        <w:right w:val="none" w:sz="0" w:space="0" w:color="auto"/>
      </w:divBdr>
    </w:div>
    <w:div w:id="137649026">
      <w:bodyDiv w:val="1"/>
      <w:marLeft w:val="0"/>
      <w:marRight w:val="0"/>
      <w:marTop w:val="0"/>
      <w:marBottom w:val="0"/>
      <w:divBdr>
        <w:top w:val="none" w:sz="0" w:space="0" w:color="auto"/>
        <w:left w:val="none" w:sz="0" w:space="0" w:color="auto"/>
        <w:bottom w:val="none" w:sz="0" w:space="0" w:color="auto"/>
        <w:right w:val="none" w:sz="0" w:space="0" w:color="auto"/>
      </w:divBdr>
      <w:divsChild>
        <w:div w:id="879512374">
          <w:marLeft w:val="0"/>
          <w:marRight w:val="0"/>
          <w:marTop w:val="0"/>
          <w:marBottom w:val="0"/>
          <w:divBdr>
            <w:top w:val="none" w:sz="0" w:space="0" w:color="auto"/>
            <w:left w:val="none" w:sz="0" w:space="0" w:color="auto"/>
            <w:bottom w:val="none" w:sz="0" w:space="0" w:color="auto"/>
            <w:right w:val="none" w:sz="0" w:space="0" w:color="auto"/>
          </w:divBdr>
          <w:divsChild>
            <w:div w:id="1379552473">
              <w:marLeft w:val="0"/>
              <w:marRight w:val="0"/>
              <w:marTop w:val="0"/>
              <w:marBottom w:val="0"/>
              <w:divBdr>
                <w:top w:val="none" w:sz="0" w:space="0" w:color="auto"/>
                <w:left w:val="none" w:sz="0" w:space="0" w:color="auto"/>
                <w:bottom w:val="none" w:sz="0" w:space="0" w:color="auto"/>
                <w:right w:val="none" w:sz="0" w:space="0" w:color="auto"/>
              </w:divBdr>
              <w:divsChild>
                <w:div w:id="966083994">
                  <w:marLeft w:val="0"/>
                  <w:marRight w:val="0"/>
                  <w:marTop w:val="0"/>
                  <w:marBottom w:val="0"/>
                  <w:divBdr>
                    <w:top w:val="none" w:sz="0" w:space="0" w:color="auto"/>
                    <w:left w:val="none" w:sz="0" w:space="0" w:color="auto"/>
                    <w:bottom w:val="none" w:sz="0" w:space="0" w:color="auto"/>
                    <w:right w:val="none" w:sz="0" w:space="0" w:color="auto"/>
                  </w:divBdr>
                  <w:divsChild>
                    <w:div w:id="1213343795">
                      <w:marLeft w:val="0"/>
                      <w:marRight w:val="0"/>
                      <w:marTop w:val="0"/>
                      <w:marBottom w:val="0"/>
                      <w:divBdr>
                        <w:top w:val="none" w:sz="0" w:space="0" w:color="auto"/>
                        <w:left w:val="none" w:sz="0" w:space="0" w:color="auto"/>
                        <w:bottom w:val="none" w:sz="0" w:space="0" w:color="auto"/>
                        <w:right w:val="none" w:sz="0" w:space="0" w:color="auto"/>
                      </w:divBdr>
                      <w:divsChild>
                        <w:div w:id="1217089760">
                          <w:marLeft w:val="0"/>
                          <w:marRight w:val="0"/>
                          <w:marTop w:val="300"/>
                          <w:marBottom w:val="0"/>
                          <w:divBdr>
                            <w:top w:val="none" w:sz="0" w:space="0" w:color="auto"/>
                            <w:left w:val="none" w:sz="0" w:space="0" w:color="auto"/>
                            <w:bottom w:val="none" w:sz="0" w:space="0" w:color="auto"/>
                            <w:right w:val="none" w:sz="0" w:space="0" w:color="auto"/>
                          </w:divBdr>
                          <w:divsChild>
                            <w:div w:id="158356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76389">
      <w:bodyDiv w:val="1"/>
      <w:marLeft w:val="0"/>
      <w:marRight w:val="0"/>
      <w:marTop w:val="0"/>
      <w:marBottom w:val="0"/>
      <w:divBdr>
        <w:top w:val="none" w:sz="0" w:space="0" w:color="auto"/>
        <w:left w:val="none" w:sz="0" w:space="0" w:color="auto"/>
        <w:bottom w:val="none" w:sz="0" w:space="0" w:color="auto"/>
        <w:right w:val="none" w:sz="0" w:space="0" w:color="auto"/>
      </w:divBdr>
    </w:div>
    <w:div w:id="150222858">
      <w:bodyDiv w:val="1"/>
      <w:marLeft w:val="0"/>
      <w:marRight w:val="0"/>
      <w:marTop w:val="0"/>
      <w:marBottom w:val="0"/>
      <w:divBdr>
        <w:top w:val="none" w:sz="0" w:space="0" w:color="auto"/>
        <w:left w:val="none" w:sz="0" w:space="0" w:color="auto"/>
        <w:bottom w:val="none" w:sz="0" w:space="0" w:color="auto"/>
        <w:right w:val="none" w:sz="0" w:space="0" w:color="auto"/>
      </w:divBdr>
    </w:div>
    <w:div w:id="165095162">
      <w:bodyDiv w:val="1"/>
      <w:marLeft w:val="0"/>
      <w:marRight w:val="0"/>
      <w:marTop w:val="0"/>
      <w:marBottom w:val="0"/>
      <w:divBdr>
        <w:top w:val="none" w:sz="0" w:space="0" w:color="auto"/>
        <w:left w:val="none" w:sz="0" w:space="0" w:color="auto"/>
        <w:bottom w:val="none" w:sz="0" w:space="0" w:color="auto"/>
        <w:right w:val="none" w:sz="0" w:space="0" w:color="auto"/>
      </w:divBdr>
    </w:div>
    <w:div w:id="171729950">
      <w:bodyDiv w:val="1"/>
      <w:marLeft w:val="0"/>
      <w:marRight w:val="0"/>
      <w:marTop w:val="0"/>
      <w:marBottom w:val="0"/>
      <w:divBdr>
        <w:top w:val="none" w:sz="0" w:space="0" w:color="auto"/>
        <w:left w:val="none" w:sz="0" w:space="0" w:color="auto"/>
        <w:bottom w:val="none" w:sz="0" w:space="0" w:color="auto"/>
        <w:right w:val="none" w:sz="0" w:space="0" w:color="auto"/>
      </w:divBdr>
      <w:divsChild>
        <w:div w:id="572356376">
          <w:marLeft w:val="0"/>
          <w:marRight w:val="0"/>
          <w:marTop w:val="0"/>
          <w:marBottom w:val="0"/>
          <w:divBdr>
            <w:top w:val="none" w:sz="0" w:space="0" w:color="auto"/>
            <w:left w:val="none" w:sz="0" w:space="0" w:color="auto"/>
            <w:bottom w:val="none" w:sz="0" w:space="0" w:color="auto"/>
            <w:right w:val="none" w:sz="0" w:space="0" w:color="auto"/>
          </w:divBdr>
          <w:divsChild>
            <w:div w:id="1799569323">
              <w:marLeft w:val="0"/>
              <w:marRight w:val="0"/>
              <w:marTop w:val="0"/>
              <w:marBottom w:val="0"/>
              <w:divBdr>
                <w:top w:val="none" w:sz="0" w:space="0" w:color="auto"/>
                <w:left w:val="none" w:sz="0" w:space="0" w:color="auto"/>
                <w:bottom w:val="none" w:sz="0" w:space="0" w:color="auto"/>
                <w:right w:val="none" w:sz="0" w:space="0" w:color="auto"/>
              </w:divBdr>
              <w:divsChild>
                <w:div w:id="2131318009">
                  <w:marLeft w:val="0"/>
                  <w:marRight w:val="0"/>
                  <w:marTop w:val="0"/>
                  <w:marBottom w:val="0"/>
                  <w:divBdr>
                    <w:top w:val="none" w:sz="0" w:space="0" w:color="auto"/>
                    <w:left w:val="none" w:sz="0" w:space="0" w:color="auto"/>
                    <w:bottom w:val="none" w:sz="0" w:space="0" w:color="auto"/>
                    <w:right w:val="none" w:sz="0" w:space="0" w:color="auto"/>
                  </w:divBdr>
                  <w:divsChild>
                    <w:div w:id="1854299226">
                      <w:marLeft w:val="0"/>
                      <w:marRight w:val="0"/>
                      <w:marTop w:val="0"/>
                      <w:marBottom w:val="0"/>
                      <w:divBdr>
                        <w:top w:val="none" w:sz="0" w:space="0" w:color="auto"/>
                        <w:left w:val="none" w:sz="0" w:space="0" w:color="auto"/>
                        <w:bottom w:val="none" w:sz="0" w:space="0" w:color="auto"/>
                        <w:right w:val="none" w:sz="0" w:space="0" w:color="auto"/>
                      </w:divBdr>
                      <w:divsChild>
                        <w:div w:id="1165393015">
                          <w:marLeft w:val="0"/>
                          <w:marRight w:val="0"/>
                          <w:marTop w:val="300"/>
                          <w:marBottom w:val="0"/>
                          <w:divBdr>
                            <w:top w:val="none" w:sz="0" w:space="0" w:color="auto"/>
                            <w:left w:val="none" w:sz="0" w:space="0" w:color="auto"/>
                            <w:bottom w:val="none" w:sz="0" w:space="0" w:color="auto"/>
                            <w:right w:val="none" w:sz="0" w:space="0" w:color="auto"/>
                          </w:divBdr>
                          <w:divsChild>
                            <w:div w:id="186987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398518">
      <w:bodyDiv w:val="1"/>
      <w:marLeft w:val="0"/>
      <w:marRight w:val="0"/>
      <w:marTop w:val="0"/>
      <w:marBottom w:val="0"/>
      <w:divBdr>
        <w:top w:val="none" w:sz="0" w:space="0" w:color="auto"/>
        <w:left w:val="none" w:sz="0" w:space="0" w:color="auto"/>
        <w:bottom w:val="none" w:sz="0" w:space="0" w:color="auto"/>
        <w:right w:val="none" w:sz="0" w:space="0" w:color="auto"/>
      </w:divBdr>
    </w:div>
    <w:div w:id="185411837">
      <w:bodyDiv w:val="1"/>
      <w:marLeft w:val="0"/>
      <w:marRight w:val="0"/>
      <w:marTop w:val="0"/>
      <w:marBottom w:val="0"/>
      <w:divBdr>
        <w:top w:val="none" w:sz="0" w:space="0" w:color="auto"/>
        <w:left w:val="none" w:sz="0" w:space="0" w:color="auto"/>
        <w:bottom w:val="none" w:sz="0" w:space="0" w:color="auto"/>
        <w:right w:val="none" w:sz="0" w:space="0" w:color="auto"/>
      </w:divBdr>
    </w:div>
    <w:div w:id="187068668">
      <w:bodyDiv w:val="1"/>
      <w:marLeft w:val="0"/>
      <w:marRight w:val="0"/>
      <w:marTop w:val="0"/>
      <w:marBottom w:val="0"/>
      <w:divBdr>
        <w:top w:val="none" w:sz="0" w:space="0" w:color="auto"/>
        <w:left w:val="none" w:sz="0" w:space="0" w:color="auto"/>
        <w:bottom w:val="none" w:sz="0" w:space="0" w:color="auto"/>
        <w:right w:val="none" w:sz="0" w:space="0" w:color="auto"/>
      </w:divBdr>
    </w:div>
    <w:div w:id="188954224">
      <w:bodyDiv w:val="1"/>
      <w:marLeft w:val="0"/>
      <w:marRight w:val="0"/>
      <w:marTop w:val="0"/>
      <w:marBottom w:val="0"/>
      <w:divBdr>
        <w:top w:val="none" w:sz="0" w:space="0" w:color="auto"/>
        <w:left w:val="none" w:sz="0" w:space="0" w:color="auto"/>
        <w:bottom w:val="none" w:sz="0" w:space="0" w:color="auto"/>
        <w:right w:val="none" w:sz="0" w:space="0" w:color="auto"/>
      </w:divBdr>
    </w:div>
    <w:div w:id="191067789">
      <w:bodyDiv w:val="1"/>
      <w:marLeft w:val="0"/>
      <w:marRight w:val="0"/>
      <w:marTop w:val="0"/>
      <w:marBottom w:val="0"/>
      <w:divBdr>
        <w:top w:val="none" w:sz="0" w:space="0" w:color="auto"/>
        <w:left w:val="none" w:sz="0" w:space="0" w:color="auto"/>
        <w:bottom w:val="none" w:sz="0" w:space="0" w:color="auto"/>
        <w:right w:val="none" w:sz="0" w:space="0" w:color="auto"/>
      </w:divBdr>
    </w:div>
    <w:div w:id="192769380">
      <w:bodyDiv w:val="1"/>
      <w:marLeft w:val="0"/>
      <w:marRight w:val="0"/>
      <w:marTop w:val="0"/>
      <w:marBottom w:val="0"/>
      <w:divBdr>
        <w:top w:val="none" w:sz="0" w:space="0" w:color="auto"/>
        <w:left w:val="none" w:sz="0" w:space="0" w:color="auto"/>
        <w:bottom w:val="none" w:sz="0" w:space="0" w:color="auto"/>
        <w:right w:val="none" w:sz="0" w:space="0" w:color="auto"/>
      </w:divBdr>
    </w:div>
    <w:div w:id="201207582">
      <w:bodyDiv w:val="1"/>
      <w:marLeft w:val="0"/>
      <w:marRight w:val="0"/>
      <w:marTop w:val="0"/>
      <w:marBottom w:val="0"/>
      <w:divBdr>
        <w:top w:val="none" w:sz="0" w:space="0" w:color="auto"/>
        <w:left w:val="none" w:sz="0" w:space="0" w:color="auto"/>
        <w:bottom w:val="none" w:sz="0" w:space="0" w:color="auto"/>
        <w:right w:val="none" w:sz="0" w:space="0" w:color="auto"/>
      </w:divBdr>
    </w:div>
    <w:div w:id="202451835">
      <w:bodyDiv w:val="1"/>
      <w:marLeft w:val="0"/>
      <w:marRight w:val="0"/>
      <w:marTop w:val="0"/>
      <w:marBottom w:val="0"/>
      <w:divBdr>
        <w:top w:val="none" w:sz="0" w:space="0" w:color="auto"/>
        <w:left w:val="none" w:sz="0" w:space="0" w:color="auto"/>
        <w:bottom w:val="none" w:sz="0" w:space="0" w:color="auto"/>
        <w:right w:val="none" w:sz="0" w:space="0" w:color="auto"/>
      </w:divBdr>
    </w:div>
    <w:div w:id="202838071">
      <w:bodyDiv w:val="1"/>
      <w:marLeft w:val="0"/>
      <w:marRight w:val="0"/>
      <w:marTop w:val="0"/>
      <w:marBottom w:val="0"/>
      <w:divBdr>
        <w:top w:val="none" w:sz="0" w:space="0" w:color="auto"/>
        <w:left w:val="none" w:sz="0" w:space="0" w:color="auto"/>
        <w:bottom w:val="none" w:sz="0" w:space="0" w:color="auto"/>
        <w:right w:val="none" w:sz="0" w:space="0" w:color="auto"/>
      </w:divBdr>
    </w:div>
    <w:div w:id="207493639">
      <w:bodyDiv w:val="1"/>
      <w:marLeft w:val="0"/>
      <w:marRight w:val="0"/>
      <w:marTop w:val="0"/>
      <w:marBottom w:val="0"/>
      <w:divBdr>
        <w:top w:val="none" w:sz="0" w:space="0" w:color="auto"/>
        <w:left w:val="none" w:sz="0" w:space="0" w:color="auto"/>
        <w:bottom w:val="none" w:sz="0" w:space="0" w:color="auto"/>
        <w:right w:val="none" w:sz="0" w:space="0" w:color="auto"/>
      </w:divBdr>
    </w:div>
    <w:div w:id="209535659">
      <w:bodyDiv w:val="1"/>
      <w:marLeft w:val="0"/>
      <w:marRight w:val="0"/>
      <w:marTop w:val="0"/>
      <w:marBottom w:val="0"/>
      <w:divBdr>
        <w:top w:val="none" w:sz="0" w:space="0" w:color="auto"/>
        <w:left w:val="none" w:sz="0" w:space="0" w:color="auto"/>
        <w:bottom w:val="none" w:sz="0" w:space="0" w:color="auto"/>
        <w:right w:val="none" w:sz="0" w:space="0" w:color="auto"/>
      </w:divBdr>
    </w:div>
    <w:div w:id="215313337">
      <w:bodyDiv w:val="1"/>
      <w:marLeft w:val="0"/>
      <w:marRight w:val="0"/>
      <w:marTop w:val="0"/>
      <w:marBottom w:val="0"/>
      <w:divBdr>
        <w:top w:val="none" w:sz="0" w:space="0" w:color="auto"/>
        <w:left w:val="none" w:sz="0" w:space="0" w:color="auto"/>
        <w:bottom w:val="none" w:sz="0" w:space="0" w:color="auto"/>
        <w:right w:val="none" w:sz="0" w:space="0" w:color="auto"/>
      </w:divBdr>
    </w:div>
    <w:div w:id="215776059">
      <w:bodyDiv w:val="1"/>
      <w:marLeft w:val="0"/>
      <w:marRight w:val="0"/>
      <w:marTop w:val="0"/>
      <w:marBottom w:val="0"/>
      <w:divBdr>
        <w:top w:val="none" w:sz="0" w:space="0" w:color="auto"/>
        <w:left w:val="none" w:sz="0" w:space="0" w:color="auto"/>
        <w:bottom w:val="none" w:sz="0" w:space="0" w:color="auto"/>
        <w:right w:val="none" w:sz="0" w:space="0" w:color="auto"/>
      </w:divBdr>
    </w:div>
    <w:div w:id="223875955">
      <w:bodyDiv w:val="1"/>
      <w:marLeft w:val="0"/>
      <w:marRight w:val="0"/>
      <w:marTop w:val="0"/>
      <w:marBottom w:val="0"/>
      <w:divBdr>
        <w:top w:val="none" w:sz="0" w:space="0" w:color="auto"/>
        <w:left w:val="none" w:sz="0" w:space="0" w:color="auto"/>
        <w:bottom w:val="none" w:sz="0" w:space="0" w:color="auto"/>
        <w:right w:val="none" w:sz="0" w:space="0" w:color="auto"/>
      </w:divBdr>
    </w:div>
    <w:div w:id="227425796">
      <w:bodyDiv w:val="1"/>
      <w:marLeft w:val="0"/>
      <w:marRight w:val="0"/>
      <w:marTop w:val="0"/>
      <w:marBottom w:val="0"/>
      <w:divBdr>
        <w:top w:val="none" w:sz="0" w:space="0" w:color="auto"/>
        <w:left w:val="none" w:sz="0" w:space="0" w:color="auto"/>
        <w:bottom w:val="none" w:sz="0" w:space="0" w:color="auto"/>
        <w:right w:val="none" w:sz="0" w:space="0" w:color="auto"/>
      </w:divBdr>
    </w:div>
    <w:div w:id="229465931">
      <w:bodyDiv w:val="1"/>
      <w:marLeft w:val="0"/>
      <w:marRight w:val="0"/>
      <w:marTop w:val="0"/>
      <w:marBottom w:val="0"/>
      <w:divBdr>
        <w:top w:val="none" w:sz="0" w:space="0" w:color="auto"/>
        <w:left w:val="none" w:sz="0" w:space="0" w:color="auto"/>
        <w:bottom w:val="none" w:sz="0" w:space="0" w:color="auto"/>
        <w:right w:val="none" w:sz="0" w:space="0" w:color="auto"/>
      </w:divBdr>
    </w:div>
    <w:div w:id="233780134">
      <w:bodyDiv w:val="1"/>
      <w:marLeft w:val="0"/>
      <w:marRight w:val="0"/>
      <w:marTop w:val="0"/>
      <w:marBottom w:val="0"/>
      <w:divBdr>
        <w:top w:val="none" w:sz="0" w:space="0" w:color="auto"/>
        <w:left w:val="none" w:sz="0" w:space="0" w:color="auto"/>
        <w:bottom w:val="none" w:sz="0" w:space="0" w:color="auto"/>
        <w:right w:val="none" w:sz="0" w:space="0" w:color="auto"/>
      </w:divBdr>
    </w:div>
    <w:div w:id="241112042">
      <w:bodyDiv w:val="1"/>
      <w:marLeft w:val="0"/>
      <w:marRight w:val="0"/>
      <w:marTop w:val="0"/>
      <w:marBottom w:val="0"/>
      <w:divBdr>
        <w:top w:val="none" w:sz="0" w:space="0" w:color="auto"/>
        <w:left w:val="none" w:sz="0" w:space="0" w:color="auto"/>
        <w:bottom w:val="none" w:sz="0" w:space="0" w:color="auto"/>
        <w:right w:val="none" w:sz="0" w:space="0" w:color="auto"/>
      </w:divBdr>
    </w:div>
    <w:div w:id="247151912">
      <w:bodyDiv w:val="1"/>
      <w:marLeft w:val="0"/>
      <w:marRight w:val="0"/>
      <w:marTop w:val="0"/>
      <w:marBottom w:val="0"/>
      <w:divBdr>
        <w:top w:val="none" w:sz="0" w:space="0" w:color="auto"/>
        <w:left w:val="none" w:sz="0" w:space="0" w:color="auto"/>
        <w:bottom w:val="none" w:sz="0" w:space="0" w:color="auto"/>
        <w:right w:val="none" w:sz="0" w:space="0" w:color="auto"/>
      </w:divBdr>
    </w:div>
    <w:div w:id="256911368">
      <w:bodyDiv w:val="1"/>
      <w:marLeft w:val="0"/>
      <w:marRight w:val="0"/>
      <w:marTop w:val="0"/>
      <w:marBottom w:val="0"/>
      <w:divBdr>
        <w:top w:val="none" w:sz="0" w:space="0" w:color="auto"/>
        <w:left w:val="none" w:sz="0" w:space="0" w:color="auto"/>
        <w:bottom w:val="none" w:sz="0" w:space="0" w:color="auto"/>
        <w:right w:val="none" w:sz="0" w:space="0" w:color="auto"/>
      </w:divBdr>
    </w:div>
    <w:div w:id="258024880">
      <w:bodyDiv w:val="1"/>
      <w:marLeft w:val="0"/>
      <w:marRight w:val="0"/>
      <w:marTop w:val="0"/>
      <w:marBottom w:val="0"/>
      <w:divBdr>
        <w:top w:val="none" w:sz="0" w:space="0" w:color="auto"/>
        <w:left w:val="none" w:sz="0" w:space="0" w:color="auto"/>
        <w:bottom w:val="none" w:sz="0" w:space="0" w:color="auto"/>
        <w:right w:val="none" w:sz="0" w:space="0" w:color="auto"/>
      </w:divBdr>
    </w:div>
    <w:div w:id="259342056">
      <w:bodyDiv w:val="1"/>
      <w:marLeft w:val="0"/>
      <w:marRight w:val="0"/>
      <w:marTop w:val="0"/>
      <w:marBottom w:val="0"/>
      <w:divBdr>
        <w:top w:val="none" w:sz="0" w:space="0" w:color="auto"/>
        <w:left w:val="none" w:sz="0" w:space="0" w:color="auto"/>
        <w:bottom w:val="none" w:sz="0" w:space="0" w:color="auto"/>
        <w:right w:val="none" w:sz="0" w:space="0" w:color="auto"/>
      </w:divBdr>
    </w:div>
    <w:div w:id="259527984">
      <w:bodyDiv w:val="1"/>
      <w:marLeft w:val="0"/>
      <w:marRight w:val="0"/>
      <w:marTop w:val="0"/>
      <w:marBottom w:val="0"/>
      <w:divBdr>
        <w:top w:val="none" w:sz="0" w:space="0" w:color="auto"/>
        <w:left w:val="none" w:sz="0" w:space="0" w:color="auto"/>
        <w:bottom w:val="none" w:sz="0" w:space="0" w:color="auto"/>
        <w:right w:val="none" w:sz="0" w:space="0" w:color="auto"/>
      </w:divBdr>
    </w:div>
    <w:div w:id="263463767">
      <w:bodyDiv w:val="1"/>
      <w:marLeft w:val="0"/>
      <w:marRight w:val="0"/>
      <w:marTop w:val="0"/>
      <w:marBottom w:val="0"/>
      <w:divBdr>
        <w:top w:val="none" w:sz="0" w:space="0" w:color="auto"/>
        <w:left w:val="none" w:sz="0" w:space="0" w:color="auto"/>
        <w:bottom w:val="none" w:sz="0" w:space="0" w:color="auto"/>
        <w:right w:val="none" w:sz="0" w:space="0" w:color="auto"/>
      </w:divBdr>
    </w:div>
    <w:div w:id="271211854">
      <w:bodyDiv w:val="1"/>
      <w:marLeft w:val="0"/>
      <w:marRight w:val="0"/>
      <w:marTop w:val="0"/>
      <w:marBottom w:val="0"/>
      <w:divBdr>
        <w:top w:val="none" w:sz="0" w:space="0" w:color="auto"/>
        <w:left w:val="none" w:sz="0" w:space="0" w:color="auto"/>
        <w:bottom w:val="none" w:sz="0" w:space="0" w:color="auto"/>
        <w:right w:val="none" w:sz="0" w:space="0" w:color="auto"/>
      </w:divBdr>
      <w:divsChild>
        <w:div w:id="931743776">
          <w:marLeft w:val="0"/>
          <w:marRight w:val="0"/>
          <w:marTop w:val="0"/>
          <w:marBottom w:val="0"/>
          <w:divBdr>
            <w:top w:val="none" w:sz="0" w:space="0" w:color="auto"/>
            <w:left w:val="none" w:sz="0" w:space="0" w:color="auto"/>
            <w:bottom w:val="none" w:sz="0" w:space="0" w:color="auto"/>
            <w:right w:val="none" w:sz="0" w:space="0" w:color="auto"/>
          </w:divBdr>
          <w:divsChild>
            <w:div w:id="942760221">
              <w:marLeft w:val="0"/>
              <w:marRight w:val="0"/>
              <w:marTop w:val="0"/>
              <w:marBottom w:val="0"/>
              <w:divBdr>
                <w:top w:val="none" w:sz="0" w:space="0" w:color="auto"/>
                <w:left w:val="none" w:sz="0" w:space="0" w:color="auto"/>
                <w:bottom w:val="none" w:sz="0" w:space="0" w:color="auto"/>
                <w:right w:val="none" w:sz="0" w:space="0" w:color="auto"/>
              </w:divBdr>
              <w:divsChild>
                <w:div w:id="1505971100">
                  <w:marLeft w:val="0"/>
                  <w:marRight w:val="0"/>
                  <w:marTop w:val="1800"/>
                  <w:marBottom w:val="225"/>
                  <w:divBdr>
                    <w:top w:val="none" w:sz="0" w:space="0" w:color="auto"/>
                    <w:left w:val="none" w:sz="0" w:space="0" w:color="auto"/>
                    <w:bottom w:val="none" w:sz="0" w:space="0" w:color="auto"/>
                    <w:right w:val="none" w:sz="0" w:space="0" w:color="auto"/>
                  </w:divBdr>
                  <w:divsChild>
                    <w:div w:id="1242065943">
                      <w:marLeft w:val="0"/>
                      <w:marRight w:val="0"/>
                      <w:marTop w:val="0"/>
                      <w:marBottom w:val="0"/>
                      <w:divBdr>
                        <w:top w:val="none" w:sz="0" w:space="0" w:color="auto"/>
                        <w:left w:val="none" w:sz="0" w:space="0" w:color="auto"/>
                        <w:bottom w:val="none" w:sz="0" w:space="0" w:color="auto"/>
                        <w:right w:val="none" w:sz="0" w:space="0" w:color="auto"/>
                      </w:divBdr>
                      <w:divsChild>
                        <w:div w:id="1922988756">
                          <w:marLeft w:val="0"/>
                          <w:marRight w:val="0"/>
                          <w:marTop w:val="0"/>
                          <w:marBottom w:val="0"/>
                          <w:divBdr>
                            <w:top w:val="none" w:sz="0" w:space="0" w:color="auto"/>
                            <w:left w:val="none" w:sz="0" w:space="0" w:color="auto"/>
                            <w:bottom w:val="none" w:sz="0" w:space="0" w:color="auto"/>
                            <w:right w:val="none" w:sz="0" w:space="0" w:color="auto"/>
                          </w:divBdr>
                          <w:divsChild>
                            <w:div w:id="229579911">
                              <w:marLeft w:val="0"/>
                              <w:marRight w:val="0"/>
                              <w:marTop w:val="300"/>
                              <w:marBottom w:val="300"/>
                              <w:divBdr>
                                <w:top w:val="none" w:sz="0" w:space="0" w:color="auto"/>
                                <w:left w:val="none" w:sz="0" w:space="0" w:color="auto"/>
                                <w:bottom w:val="none" w:sz="0" w:space="0" w:color="auto"/>
                                <w:right w:val="none" w:sz="0" w:space="0" w:color="auto"/>
                              </w:divBdr>
                              <w:divsChild>
                                <w:div w:id="792603144">
                                  <w:marLeft w:val="240"/>
                                  <w:marRight w:val="0"/>
                                  <w:marTop w:val="165"/>
                                  <w:marBottom w:val="0"/>
                                  <w:divBdr>
                                    <w:top w:val="none" w:sz="0" w:space="0" w:color="auto"/>
                                    <w:left w:val="none" w:sz="0" w:space="0" w:color="auto"/>
                                    <w:bottom w:val="none" w:sz="0" w:space="0" w:color="auto"/>
                                    <w:right w:val="none" w:sz="0" w:space="0" w:color="auto"/>
                                  </w:divBdr>
                                  <w:divsChild>
                                    <w:div w:id="172891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797283">
      <w:bodyDiv w:val="1"/>
      <w:marLeft w:val="0"/>
      <w:marRight w:val="0"/>
      <w:marTop w:val="0"/>
      <w:marBottom w:val="0"/>
      <w:divBdr>
        <w:top w:val="none" w:sz="0" w:space="0" w:color="auto"/>
        <w:left w:val="none" w:sz="0" w:space="0" w:color="auto"/>
        <w:bottom w:val="none" w:sz="0" w:space="0" w:color="auto"/>
        <w:right w:val="none" w:sz="0" w:space="0" w:color="auto"/>
      </w:divBdr>
    </w:div>
    <w:div w:id="276832194">
      <w:bodyDiv w:val="1"/>
      <w:marLeft w:val="0"/>
      <w:marRight w:val="0"/>
      <w:marTop w:val="0"/>
      <w:marBottom w:val="0"/>
      <w:divBdr>
        <w:top w:val="none" w:sz="0" w:space="0" w:color="auto"/>
        <w:left w:val="none" w:sz="0" w:space="0" w:color="auto"/>
        <w:bottom w:val="none" w:sz="0" w:space="0" w:color="auto"/>
        <w:right w:val="none" w:sz="0" w:space="0" w:color="auto"/>
      </w:divBdr>
    </w:div>
    <w:div w:id="280495053">
      <w:bodyDiv w:val="1"/>
      <w:marLeft w:val="0"/>
      <w:marRight w:val="0"/>
      <w:marTop w:val="0"/>
      <w:marBottom w:val="0"/>
      <w:divBdr>
        <w:top w:val="none" w:sz="0" w:space="0" w:color="auto"/>
        <w:left w:val="none" w:sz="0" w:space="0" w:color="auto"/>
        <w:bottom w:val="none" w:sz="0" w:space="0" w:color="auto"/>
        <w:right w:val="none" w:sz="0" w:space="0" w:color="auto"/>
      </w:divBdr>
    </w:div>
    <w:div w:id="280961980">
      <w:bodyDiv w:val="1"/>
      <w:marLeft w:val="0"/>
      <w:marRight w:val="0"/>
      <w:marTop w:val="0"/>
      <w:marBottom w:val="0"/>
      <w:divBdr>
        <w:top w:val="none" w:sz="0" w:space="0" w:color="auto"/>
        <w:left w:val="none" w:sz="0" w:space="0" w:color="auto"/>
        <w:bottom w:val="none" w:sz="0" w:space="0" w:color="auto"/>
        <w:right w:val="none" w:sz="0" w:space="0" w:color="auto"/>
      </w:divBdr>
    </w:div>
    <w:div w:id="286350039">
      <w:bodyDiv w:val="1"/>
      <w:marLeft w:val="0"/>
      <w:marRight w:val="0"/>
      <w:marTop w:val="0"/>
      <w:marBottom w:val="0"/>
      <w:divBdr>
        <w:top w:val="none" w:sz="0" w:space="0" w:color="auto"/>
        <w:left w:val="none" w:sz="0" w:space="0" w:color="auto"/>
        <w:bottom w:val="none" w:sz="0" w:space="0" w:color="auto"/>
        <w:right w:val="none" w:sz="0" w:space="0" w:color="auto"/>
      </w:divBdr>
      <w:divsChild>
        <w:div w:id="800154755">
          <w:marLeft w:val="0"/>
          <w:marRight w:val="0"/>
          <w:marTop w:val="0"/>
          <w:marBottom w:val="0"/>
          <w:divBdr>
            <w:top w:val="none" w:sz="0" w:space="0" w:color="auto"/>
            <w:left w:val="none" w:sz="0" w:space="0" w:color="auto"/>
            <w:bottom w:val="none" w:sz="0" w:space="0" w:color="auto"/>
            <w:right w:val="none" w:sz="0" w:space="0" w:color="auto"/>
          </w:divBdr>
          <w:divsChild>
            <w:div w:id="1123309795">
              <w:marLeft w:val="0"/>
              <w:marRight w:val="0"/>
              <w:marTop w:val="0"/>
              <w:marBottom w:val="0"/>
              <w:divBdr>
                <w:top w:val="none" w:sz="0" w:space="0" w:color="auto"/>
                <w:left w:val="none" w:sz="0" w:space="0" w:color="auto"/>
                <w:bottom w:val="none" w:sz="0" w:space="0" w:color="auto"/>
                <w:right w:val="none" w:sz="0" w:space="0" w:color="auto"/>
              </w:divBdr>
              <w:divsChild>
                <w:div w:id="1212035524">
                  <w:marLeft w:val="0"/>
                  <w:marRight w:val="0"/>
                  <w:marTop w:val="0"/>
                  <w:marBottom w:val="0"/>
                  <w:divBdr>
                    <w:top w:val="none" w:sz="0" w:space="0" w:color="auto"/>
                    <w:left w:val="none" w:sz="0" w:space="0" w:color="auto"/>
                    <w:bottom w:val="none" w:sz="0" w:space="0" w:color="auto"/>
                    <w:right w:val="none" w:sz="0" w:space="0" w:color="auto"/>
                  </w:divBdr>
                  <w:divsChild>
                    <w:div w:id="845483087">
                      <w:marLeft w:val="0"/>
                      <w:marRight w:val="0"/>
                      <w:marTop w:val="0"/>
                      <w:marBottom w:val="0"/>
                      <w:divBdr>
                        <w:top w:val="none" w:sz="0" w:space="0" w:color="auto"/>
                        <w:left w:val="none" w:sz="0" w:space="0" w:color="auto"/>
                        <w:bottom w:val="none" w:sz="0" w:space="0" w:color="auto"/>
                        <w:right w:val="none" w:sz="0" w:space="0" w:color="auto"/>
                      </w:divBdr>
                      <w:divsChild>
                        <w:div w:id="642856512">
                          <w:marLeft w:val="0"/>
                          <w:marRight w:val="0"/>
                          <w:marTop w:val="300"/>
                          <w:marBottom w:val="0"/>
                          <w:divBdr>
                            <w:top w:val="none" w:sz="0" w:space="0" w:color="auto"/>
                            <w:left w:val="none" w:sz="0" w:space="0" w:color="auto"/>
                            <w:bottom w:val="none" w:sz="0" w:space="0" w:color="auto"/>
                            <w:right w:val="none" w:sz="0" w:space="0" w:color="auto"/>
                          </w:divBdr>
                          <w:divsChild>
                            <w:div w:id="78677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7902330">
      <w:bodyDiv w:val="1"/>
      <w:marLeft w:val="0"/>
      <w:marRight w:val="0"/>
      <w:marTop w:val="0"/>
      <w:marBottom w:val="0"/>
      <w:divBdr>
        <w:top w:val="none" w:sz="0" w:space="0" w:color="auto"/>
        <w:left w:val="none" w:sz="0" w:space="0" w:color="auto"/>
        <w:bottom w:val="none" w:sz="0" w:space="0" w:color="auto"/>
        <w:right w:val="none" w:sz="0" w:space="0" w:color="auto"/>
      </w:divBdr>
    </w:div>
    <w:div w:id="291718137">
      <w:bodyDiv w:val="1"/>
      <w:marLeft w:val="0"/>
      <w:marRight w:val="0"/>
      <w:marTop w:val="0"/>
      <w:marBottom w:val="0"/>
      <w:divBdr>
        <w:top w:val="none" w:sz="0" w:space="0" w:color="auto"/>
        <w:left w:val="none" w:sz="0" w:space="0" w:color="auto"/>
        <w:bottom w:val="none" w:sz="0" w:space="0" w:color="auto"/>
        <w:right w:val="none" w:sz="0" w:space="0" w:color="auto"/>
      </w:divBdr>
    </w:div>
    <w:div w:id="293021135">
      <w:bodyDiv w:val="1"/>
      <w:marLeft w:val="0"/>
      <w:marRight w:val="0"/>
      <w:marTop w:val="0"/>
      <w:marBottom w:val="0"/>
      <w:divBdr>
        <w:top w:val="none" w:sz="0" w:space="0" w:color="auto"/>
        <w:left w:val="none" w:sz="0" w:space="0" w:color="auto"/>
        <w:bottom w:val="none" w:sz="0" w:space="0" w:color="auto"/>
        <w:right w:val="none" w:sz="0" w:space="0" w:color="auto"/>
      </w:divBdr>
    </w:div>
    <w:div w:id="294680436">
      <w:bodyDiv w:val="1"/>
      <w:marLeft w:val="0"/>
      <w:marRight w:val="0"/>
      <w:marTop w:val="0"/>
      <w:marBottom w:val="0"/>
      <w:divBdr>
        <w:top w:val="none" w:sz="0" w:space="0" w:color="auto"/>
        <w:left w:val="none" w:sz="0" w:space="0" w:color="auto"/>
        <w:bottom w:val="none" w:sz="0" w:space="0" w:color="auto"/>
        <w:right w:val="none" w:sz="0" w:space="0" w:color="auto"/>
      </w:divBdr>
    </w:div>
    <w:div w:id="297757908">
      <w:bodyDiv w:val="1"/>
      <w:marLeft w:val="0"/>
      <w:marRight w:val="0"/>
      <w:marTop w:val="0"/>
      <w:marBottom w:val="0"/>
      <w:divBdr>
        <w:top w:val="none" w:sz="0" w:space="0" w:color="auto"/>
        <w:left w:val="none" w:sz="0" w:space="0" w:color="auto"/>
        <w:bottom w:val="none" w:sz="0" w:space="0" w:color="auto"/>
        <w:right w:val="none" w:sz="0" w:space="0" w:color="auto"/>
      </w:divBdr>
    </w:div>
    <w:div w:id="297955414">
      <w:bodyDiv w:val="1"/>
      <w:marLeft w:val="0"/>
      <w:marRight w:val="0"/>
      <w:marTop w:val="0"/>
      <w:marBottom w:val="0"/>
      <w:divBdr>
        <w:top w:val="none" w:sz="0" w:space="0" w:color="auto"/>
        <w:left w:val="none" w:sz="0" w:space="0" w:color="auto"/>
        <w:bottom w:val="none" w:sz="0" w:space="0" w:color="auto"/>
        <w:right w:val="none" w:sz="0" w:space="0" w:color="auto"/>
      </w:divBdr>
    </w:div>
    <w:div w:id="298535782">
      <w:bodyDiv w:val="1"/>
      <w:marLeft w:val="0"/>
      <w:marRight w:val="0"/>
      <w:marTop w:val="0"/>
      <w:marBottom w:val="0"/>
      <w:divBdr>
        <w:top w:val="none" w:sz="0" w:space="0" w:color="auto"/>
        <w:left w:val="none" w:sz="0" w:space="0" w:color="auto"/>
        <w:bottom w:val="none" w:sz="0" w:space="0" w:color="auto"/>
        <w:right w:val="none" w:sz="0" w:space="0" w:color="auto"/>
      </w:divBdr>
      <w:divsChild>
        <w:div w:id="1349134246">
          <w:marLeft w:val="0"/>
          <w:marRight w:val="0"/>
          <w:marTop w:val="0"/>
          <w:marBottom w:val="0"/>
          <w:divBdr>
            <w:top w:val="none" w:sz="0" w:space="0" w:color="auto"/>
            <w:left w:val="none" w:sz="0" w:space="0" w:color="auto"/>
            <w:bottom w:val="none" w:sz="0" w:space="0" w:color="auto"/>
            <w:right w:val="none" w:sz="0" w:space="0" w:color="auto"/>
          </w:divBdr>
          <w:divsChild>
            <w:div w:id="32656368">
              <w:marLeft w:val="0"/>
              <w:marRight w:val="0"/>
              <w:marTop w:val="0"/>
              <w:marBottom w:val="0"/>
              <w:divBdr>
                <w:top w:val="none" w:sz="0" w:space="0" w:color="auto"/>
                <w:left w:val="none" w:sz="0" w:space="0" w:color="auto"/>
                <w:bottom w:val="none" w:sz="0" w:space="0" w:color="auto"/>
                <w:right w:val="none" w:sz="0" w:space="0" w:color="auto"/>
              </w:divBdr>
              <w:divsChild>
                <w:div w:id="689380741">
                  <w:marLeft w:val="0"/>
                  <w:marRight w:val="0"/>
                  <w:marTop w:val="0"/>
                  <w:marBottom w:val="0"/>
                  <w:divBdr>
                    <w:top w:val="none" w:sz="0" w:space="0" w:color="auto"/>
                    <w:left w:val="none" w:sz="0" w:space="0" w:color="auto"/>
                    <w:bottom w:val="none" w:sz="0" w:space="0" w:color="auto"/>
                    <w:right w:val="none" w:sz="0" w:space="0" w:color="auto"/>
                  </w:divBdr>
                  <w:divsChild>
                    <w:div w:id="202446340">
                      <w:marLeft w:val="0"/>
                      <w:marRight w:val="0"/>
                      <w:marTop w:val="0"/>
                      <w:marBottom w:val="0"/>
                      <w:divBdr>
                        <w:top w:val="none" w:sz="0" w:space="0" w:color="auto"/>
                        <w:left w:val="none" w:sz="0" w:space="0" w:color="auto"/>
                        <w:bottom w:val="none" w:sz="0" w:space="0" w:color="auto"/>
                        <w:right w:val="none" w:sz="0" w:space="0" w:color="auto"/>
                      </w:divBdr>
                      <w:divsChild>
                        <w:div w:id="1219131522">
                          <w:marLeft w:val="0"/>
                          <w:marRight w:val="0"/>
                          <w:marTop w:val="300"/>
                          <w:marBottom w:val="0"/>
                          <w:divBdr>
                            <w:top w:val="none" w:sz="0" w:space="0" w:color="auto"/>
                            <w:left w:val="none" w:sz="0" w:space="0" w:color="auto"/>
                            <w:bottom w:val="none" w:sz="0" w:space="0" w:color="auto"/>
                            <w:right w:val="none" w:sz="0" w:space="0" w:color="auto"/>
                          </w:divBdr>
                          <w:divsChild>
                            <w:div w:id="65884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6584">
      <w:bodyDiv w:val="1"/>
      <w:marLeft w:val="0"/>
      <w:marRight w:val="0"/>
      <w:marTop w:val="0"/>
      <w:marBottom w:val="0"/>
      <w:divBdr>
        <w:top w:val="none" w:sz="0" w:space="0" w:color="auto"/>
        <w:left w:val="none" w:sz="0" w:space="0" w:color="auto"/>
        <w:bottom w:val="none" w:sz="0" w:space="0" w:color="auto"/>
        <w:right w:val="none" w:sz="0" w:space="0" w:color="auto"/>
      </w:divBdr>
      <w:divsChild>
        <w:div w:id="211574254">
          <w:marLeft w:val="0"/>
          <w:marRight w:val="0"/>
          <w:marTop w:val="0"/>
          <w:marBottom w:val="0"/>
          <w:divBdr>
            <w:top w:val="none" w:sz="0" w:space="0" w:color="auto"/>
            <w:left w:val="none" w:sz="0" w:space="0" w:color="auto"/>
            <w:bottom w:val="none" w:sz="0" w:space="0" w:color="auto"/>
            <w:right w:val="none" w:sz="0" w:space="0" w:color="auto"/>
          </w:divBdr>
          <w:divsChild>
            <w:div w:id="1303655818">
              <w:marLeft w:val="0"/>
              <w:marRight w:val="0"/>
              <w:marTop w:val="0"/>
              <w:marBottom w:val="0"/>
              <w:divBdr>
                <w:top w:val="none" w:sz="0" w:space="0" w:color="auto"/>
                <w:left w:val="none" w:sz="0" w:space="0" w:color="auto"/>
                <w:bottom w:val="none" w:sz="0" w:space="0" w:color="auto"/>
                <w:right w:val="none" w:sz="0" w:space="0" w:color="auto"/>
              </w:divBdr>
              <w:divsChild>
                <w:div w:id="762803077">
                  <w:marLeft w:val="0"/>
                  <w:marRight w:val="0"/>
                  <w:marTop w:val="0"/>
                  <w:marBottom w:val="0"/>
                  <w:divBdr>
                    <w:top w:val="none" w:sz="0" w:space="0" w:color="auto"/>
                    <w:left w:val="none" w:sz="0" w:space="0" w:color="auto"/>
                    <w:bottom w:val="none" w:sz="0" w:space="0" w:color="auto"/>
                    <w:right w:val="none" w:sz="0" w:space="0" w:color="auto"/>
                  </w:divBdr>
                  <w:divsChild>
                    <w:div w:id="856117131">
                      <w:marLeft w:val="0"/>
                      <w:marRight w:val="0"/>
                      <w:marTop w:val="0"/>
                      <w:marBottom w:val="0"/>
                      <w:divBdr>
                        <w:top w:val="none" w:sz="0" w:space="0" w:color="auto"/>
                        <w:left w:val="none" w:sz="0" w:space="0" w:color="auto"/>
                        <w:bottom w:val="none" w:sz="0" w:space="0" w:color="auto"/>
                        <w:right w:val="none" w:sz="0" w:space="0" w:color="auto"/>
                      </w:divBdr>
                      <w:divsChild>
                        <w:div w:id="1911958701">
                          <w:marLeft w:val="0"/>
                          <w:marRight w:val="0"/>
                          <w:marTop w:val="300"/>
                          <w:marBottom w:val="0"/>
                          <w:divBdr>
                            <w:top w:val="none" w:sz="0" w:space="0" w:color="auto"/>
                            <w:left w:val="none" w:sz="0" w:space="0" w:color="auto"/>
                            <w:bottom w:val="none" w:sz="0" w:space="0" w:color="auto"/>
                            <w:right w:val="none" w:sz="0" w:space="0" w:color="auto"/>
                          </w:divBdr>
                          <w:divsChild>
                            <w:div w:id="211605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9040083">
      <w:bodyDiv w:val="1"/>
      <w:marLeft w:val="0"/>
      <w:marRight w:val="0"/>
      <w:marTop w:val="0"/>
      <w:marBottom w:val="0"/>
      <w:divBdr>
        <w:top w:val="none" w:sz="0" w:space="0" w:color="auto"/>
        <w:left w:val="none" w:sz="0" w:space="0" w:color="auto"/>
        <w:bottom w:val="none" w:sz="0" w:space="0" w:color="auto"/>
        <w:right w:val="none" w:sz="0" w:space="0" w:color="auto"/>
      </w:divBdr>
    </w:div>
    <w:div w:id="319625855">
      <w:bodyDiv w:val="1"/>
      <w:marLeft w:val="0"/>
      <w:marRight w:val="0"/>
      <w:marTop w:val="0"/>
      <w:marBottom w:val="0"/>
      <w:divBdr>
        <w:top w:val="none" w:sz="0" w:space="0" w:color="auto"/>
        <w:left w:val="none" w:sz="0" w:space="0" w:color="auto"/>
        <w:bottom w:val="none" w:sz="0" w:space="0" w:color="auto"/>
        <w:right w:val="none" w:sz="0" w:space="0" w:color="auto"/>
      </w:divBdr>
    </w:div>
    <w:div w:id="326834150">
      <w:bodyDiv w:val="1"/>
      <w:marLeft w:val="0"/>
      <w:marRight w:val="0"/>
      <w:marTop w:val="0"/>
      <w:marBottom w:val="0"/>
      <w:divBdr>
        <w:top w:val="none" w:sz="0" w:space="0" w:color="auto"/>
        <w:left w:val="none" w:sz="0" w:space="0" w:color="auto"/>
        <w:bottom w:val="none" w:sz="0" w:space="0" w:color="auto"/>
        <w:right w:val="none" w:sz="0" w:space="0" w:color="auto"/>
      </w:divBdr>
    </w:div>
    <w:div w:id="332149756">
      <w:bodyDiv w:val="1"/>
      <w:marLeft w:val="0"/>
      <w:marRight w:val="0"/>
      <w:marTop w:val="0"/>
      <w:marBottom w:val="0"/>
      <w:divBdr>
        <w:top w:val="none" w:sz="0" w:space="0" w:color="auto"/>
        <w:left w:val="none" w:sz="0" w:space="0" w:color="auto"/>
        <w:bottom w:val="none" w:sz="0" w:space="0" w:color="auto"/>
        <w:right w:val="none" w:sz="0" w:space="0" w:color="auto"/>
      </w:divBdr>
    </w:div>
    <w:div w:id="332487175">
      <w:bodyDiv w:val="1"/>
      <w:marLeft w:val="0"/>
      <w:marRight w:val="0"/>
      <w:marTop w:val="0"/>
      <w:marBottom w:val="0"/>
      <w:divBdr>
        <w:top w:val="none" w:sz="0" w:space="0" w:color="auto"/>
        <w:left w:val="none" w:sz="0" w:space="0" w:color="auto"/>
        <w:bottom w:val="none" w:sz="0" w:space="0" w:color="auto"/>
        <w:right w:val="none" w:sz="0" w:space="0" w:color="auto"/>
      </w:divBdr>
    </w:div>
    <w:div w:id="335117440">
      <w:bodyDiv w:val="1"/>
      <w:marLeft w:val="0"/>
      <w:marRight w:val="0"/>
      <w:marTop w:val="0"/>
      <w:marBottom w:val="0"/>
      <w:divBdr>
        <w:top w:val="none" w:sz="0" w:space="0" w:color="auto"/>
        <w:left w:val="none" w:sz="0" w:space="0" w:color="auto"/>
        <w:bottom w:val="none" w:sz="0" w:space="0" w:color="auto"/>
        <w:right w:val="none" w:sz="0" w:space="0" w:color="auto"/>
      </w:divBdr>
    </w:div>
    <w:div w:id="336274924">
      <w:bodyDiv w:val="1"/>
      <w:marLeft w:val="0"/>
      <w:marRight w:val="0"/>
      <w:marTop w:val="0"/>
      <w:marBottom w:val="0"/>
      <w:divBdr>
        <w:top w:val="none" w:sz="0" w:space="0" w:color="auto"/>
        <w:left w:val="none" w:sz="0" w:space="0" w:color="auto"/>
        <w:bottom w:val="none" w:sz="0" w:space="0" w:color="auto"/>
        <w:right w:val="none" w:sz="0" w:space="0" w:color="auto"/>
      </w:divBdr>
    </w:div>
    <w:div w:id="337389339">
      <w:bodyDiv w:val="1"/>
      <w:marLeft w:val="0"/>
      <w:marRight w:val="0"/>
      <w:marTop w:val="0"/>
      <w:marBottom w:val="0"/>
      <w:divBdr>
        <w:top w:val="none" w:sz="0" w:space="0" w:color="auto"/>
        <w:left w:val="none" w:sz="0" w:space="0" w:color="auto"/>
        <w:bottom w:val="none" w:sz="0" w:space="0" w:color="auto"/>
        <w:right w:val="none" w:sz="0" w:space="0" w:color="auto"/>
      </w:divBdr>
    </w:div>
    <w:div w:id="341667370">
      <w:bodyDiv w:val="1"/>
      <w:marLeft w:val="0"/>
      <w:marRight w:val="0"/>
      <w:marTop w:val="0"/>
      <w:marBottom w:val="0"/>
      <w:divBdr>
        <w:top w:val="none" w:sz="0" w:space="0" w:color="auto"/>
        <w:left w:val="none" w:sz="0" w:space="0" w:color="auto"/>
        <w:bottom w:val="none" w:sz="0" w:space="0" w:color="auto"/>
        <w:right w:val="none" w:sz="0" w:space="0" w:color="auto"/>
      </w:divBdr>
      <w:divsChild>
        <w:div w:id="1584334125">
          <w:marLeft w:val="0"/>
          <w:marRight w:val="0"/>
          <w:marTop w:val="0"/>
          <w:marBottom w:val="0"/>
          <w:divBdr>
            <w:top w:val="none" w:sz="0" w:space="0" w:color="auto"/>
            <w:left w:val="none" w:sz="0" w:space="0" w:color="auto"/>
            <w:bottom w:val="none" w:sz="0" w:space="0" w:color="auto"/>
            <w:right w:val="none" w:sz="0" w:space="0" w:color="auto"/>
          </w:divBdr>
          <w:divsChild>
            <w:div w:id="1797093357">
              <w:marLeft w:val="0"/>
              <w:marRight w:val="0"/>
              <w:marTop w:val="0"/>
              <w:marBottom w:val="0"/>
              <w:divBdr>
                <w:top w:val="none" w:sz="0" w:space="0" w:color="auto"/>
                <w:left w:val="none" w:sz="0" w:space="0" w:color="auto"/>
                <w:bottom w:val="none" w:sz="0" w:space="0" w:color="auto"/>
                <w:right w:val="none" w:sz="0" w:space="0" w:color="auto"/>
              </w:divBdr>
              <w:divsChild>
                <w:div w:id="1717270135">
                  <w:marLeft w:val="0"/>
                  <w:marRight w:val="0"/>
                  <w:marTop w:val="0"/>
                  <w:marBottom w:val="0"/>
                  <w:divBdr>
                    <w:top w:val="none" w:sz="0" w:space="0" w:color="auto"/>
                    <w:left w:val="none" w:sz="0" w:space="0" w:color="auto"/>
                    <w:bottom w:val="none" w:sz="0" w:space="0" w:color="auto"/>
                    <w:right w:val="none" w:sz="0" w:space="0" w:color="auto"/>
                  </w:divBdr>
                  <w:divsChild>
                    <w:div w:id="1690066640">
                      <w:marLeft w:val="0"/>
                      <w:marRight w:val="0"/>
                      <w:marTop w:val="0"/>
                      <w:marBottom w:val="0"/>
                      <w:divBdr>
                        <w:top w:val="none" w:sz="0" w:space="0" w:color="auto"/>
                        <w:left w:val="none" w:sz="0" w:space="0" w:color="auto"/>
                        <w:bottom w:val="none" w:sz="0" w:space="0" w:color="auto"/>
                        <w:right w:val="none" w:sz="0" w:space="0" w:color="auto"/>
                      </w:divBdr>
                      <w:divsChild>
                        <w:div w:id="574972967">
                          <w:marLeft w:val="0"/>
                          <w:marRight w:val="0"/>
                          <w:marTop w:val="300"/>
                          <w:marBottom w:val="0"/>
                          <w:divBdr>
                            <w:top w:val="none" w:sz="0" w:space="0" w:color="auto"/>
                            <w:left w:val="none" w:sz="0" w:space="0" w:color="auto"/>
                            <w:bottom w:val="none" w:sz="0" w:space="0" w:color="auto"/>
                            <w:right w:val="none" w:sz="0" w:space="0" w:color="auto"/>
                          </w:divBdr>
                          <w:divsChild>
                            <w:div w:id="6352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2509964">
      <w:bodyDiv w:val="1"/>
      <w:marLeft w:val="0"/>
      <w:marRight w:val="0"/>
      <w:marTop w:val="0"/>
      <w:marBottom w:val="0"/>
      <w:divBdr>
        <w:top w:val="none" w:sz="0" w:space="0" w:color="auto"/>
        <w:left w:val="none" w:sz="0" w:space="0" w:color="auto"/>
        <w:bottom w:val="none" w:sz="0" w:space="0" w:color="auto"/>
        <w:right w:val="none" w:sz="0" w:space="0" w:color="auto"/>
      </w:divBdr>
    </w:div>
    <w:div w:id="346030469">
      <w:bodyDiv w:val="1"/>
      <w:marLeft w:val="0"/>
      <w:marRight w:val="0"/>
      <w:marTop w:val="0"/>
      <w:marBottom w:val="0"/>
      <w:divBdr>
        <w:top w:val="none" w:sz="0" w:space="0" w:color="auto"/>
        <w:left w:val="none" w:sz="0" w:space="0" w:color="auto"/>
        <w:bottom w:val="none" w:sz="0" w:space="0" w:color="auto"/>
        <w:right w:val="none" w:sz="0" w:space="0" w:color="auto"/>
      </w:divBdr>
    </w:div>
    <w:div w:id="346835877">
      <w:bodyDiv w:val="1"/>
      <w:marLeft w:val="0"/>
      <w:marRight w:val="0"/>
      <w:marTop w:val="0"/>
      <w:marBottom w:val="0"/>
      <w:divBdr>
        <w:top w:val="none" w:sz="0" w:space="0" w:color="auto"/>
        <w:left w:val="none" w:sz="0" w:space="0" w:color="auto"/>
        <w:bottom w:val="none" w:sz="0" w:space="0" w:color="auto"/>
        <w:right w:val="none" w:sz="0" w:space="0" w:color="auto"/>
      </w:divBdr>
    </w:div>
    <w:div w:id="351537710">
      <w:bodyDiv w:val="1"/>
      <w:marLeft w:val="0"/>
      <w:marRight w:val="0"/>
      <w:marTop w:val="0"/>
      <w:marBottom w:val="0"/>
      <w:divBdr>
        <w:top w:val="none" w:sz="0" w:space="0" w:color="auto"/>
        <w:left w:val="none" w:sz="0" w:space="0" w:color="auto"/>
        <w:bottom w:val="none" w:sz="0" w:space="0" w:color="auto"/>
        <w:right w:val="none" w:sz="0" w:space="0" w:color="auto"/>
      </w:divBdr>
    </w:div>
    <w:div w:id="352540590">
      <w:bodyDiv w:val="1"/>
      <w:marLeft w:val="0"/>
      <w:marRight w:val="0"/>
      <w:marTop w:val="0"/>
      <w:marBottom w:val="0"/>
      <w:divBdr>
        <w:top w:val="none" w:sz="0" w:space="0" w:color="auto"/>
        <w:left w:val="none" w:sz="0" w:space="0" w:color="auto"/>
        <w:bottom w:val="none" w:sz="0" w:space="0" w:color="auto"/>
        <w:right w:val="none" w:sz="0" w:space="0" w:color="auto"/>
      </w:divBdr>
    </w:div>
    <w:div w:id="353729697">
      <w:bodyDiv w:val="1"/>
      <w:marLeft w:val="0"/>
      <w:marRight w:val="0"/>
      <w:marTop w:val="0"/>
      <w:marBottom w:val="0"/>
      <w:divBdr>
        <w:top w:val="none" w:sz="0" w:space="0" w:color="auto"/>
        <w:left w:val="none" w:sz="0" w:space="0" w:color="auto"/>
        <w:bottom w:val="none" w:sz="0" w:space="0" w:color="auto"/>
        <w:right w:val="none" w:sz="0" w:space="0" w:color="auto"/>
      </w:divBdr>
    </w:div>
    <w:div w:id="356975831">
      <w:bodyDiv w:val="1"/>
      <w:marLeft w:val="0"/>
      <w:marRight w:val="0"/>
      <w:marTop w:val="0"/>
      <w:marBottom w:val="0"/>
      <w:divBdr>
        <w:top w:val="none" w:sz="0" w:space="0" w:color="auto"/>
        <w:left w:val="none" w:sz="0" w:space="0" w:color="auto"/>
        <w:bottom w:val="none" w:sz="0" w:space="0" w:color="auto"/>
        <w:right w:val="none" w:sz="0" w:space="0" w:color="auto"/>
      </w:divBdr>
    </w:div>
    <w:div w:id="359621923">
      <w:bodyDiv w:val="1"/>
      <w:marLeft w:val="0"/>
      <w:marRight w:val="0"/>
      <w:marTop w:val="0"/>
      <w:marBottom w:val="0"/>
      <w:divBdr>
        <w:top w:val="none" w:sz="0" w:space="0" w:color="auto"/>
        <w:left w:val="none" w:sz="0" w:space="0" w:color="auto"/>
        <w:bottom w:val="none" w:sz="0" w:space="0" w:color="auto"/>
        <w:right w:val="none" w:sz="0" w:space="0" w:color="auto"/>
      </w:divBdr>
    </w:div>
    <w:div w:id="360129309">
      <w:bodyDiv w:val="1"/>
      <w:marLeft w:val="0"/>
      <w:marRight w:val="0"/>
      <w:marTop w:val="0"/>
      <w:marBottom w:val="0"/>
      <w:divBdr>
        <w:top w:val="none" w:sz="0" w:space="0" w:color="auto"/>
        <w:left w:val="none" w:sz="0" w:space="0" w:color="auto"/>
        <w:bottom w:val="none" w:sz="0" w:space="0" w:color="auto"/>
        <w:right w:val="none" w:sz="0" w:space="0" w:color="auto"/>
      </w:divBdr>
    </w:div>
    <w:div w:id="360279491">
      <w:bodyDiv w:val="1"/>
      <w:marLeft w:val="0"/>
      <w:marRight w:val="0"/>
      <w:marTop w:val="0"/>
      <w:marBottom w:val="0"/>
      <w:divBdr>
        <w:top w:val="none" w:sz="0" w:space="0" w:color="auto"/>
        <w:left w:val="none" w:sz="0" w:space="0" w:color="auto"/>
        <w:bottom w:val="none" w:sz="0" w:space="0" w:color="auto"/>
        <w:right w:val="none" w:sz="0" w:space="0" w:color="auto"/>
      </w:divBdr>
    </w:div>
    <w:div w:id="360522460">
      <w:bodyDiv w:val="1"/>
      <w:marLeft w:val="0"/>
      <w:marRight w:val="0"/>
      <w:marTop w:val="0"/>
      <w:marBottom w:val="0"/>
      <w:divBdr>
        <w:top w:val="none" w:sz="0" w:space="0" w:color="auto"/>
        <w:left w:val="none" w:sz="0" w:space="0" w:color="auto"/>
        <w:bottom w:val="none" w:sz="0" w:space="0" w:color="auto"/>
        <w:right w:val="none" w:sz="0" w:space="0" w:color="auto"/>
      </w:divBdr>
    </w:div>
    <w:div w:id="362944991">
      <w:bodyDiv w:val="1"/>
      <w:marLeft w:val="0"/>
      <w:marRight w:val="0"/>
      <w:marTop w:val="0"/>
      <w:marBottom w:val="0"/>
      <w:divBdr>
        <w:top w:val="none" w:sz="0" w:space="0" w:color="auto"/>
        <w:left w:val="none" w:sz="0" w:space="0" w:color="auto"/>
        <w:bottom w:val="none" w:sz="0" w:space="0" w:color="auto"/>
        <w:right w:val="none" w:sz="0" w:space="0" w:color="auto"/>
      </w:divBdr>
    </w:div>
    <w:div w:id="363750670">
      <w:bodyDiv w:val="1"/>
      <w:marLeft w:val="0"/>
      <w:marRight w:val="0"/>
      <w:marTop w:val="0"/>
      <w:marBottom w:val="0"/>
      <w:divBdr>
        <w:top w:val="none" w:sz="0" w:space="0" w:color="auto"/>
        <w:left w:val="none" w:sz="0" w:space="0" w:color="auto"/>
        <w:bottom w:val="none" w:sz="0" w:space="0" w:color="auto"/>
        <w:right w:val="none" w:sz="0" w:space="0" w:color="auto"/>
      </w:divBdr>
    </w:div>
    <w:div w:id="363754119">
      <w:bodyDiv w:val="1"/>
      <w:marLeft w:val="0"/>
      <w:marRight w:val="0"/>
      <w:marTop w:val="0"/>
      <w:marBottom w:val="0"/>
      <w:divBdr>
        <w:top w:val="none" w:sz="0" w:space="0" w:color="auto"/>
        <w:left w:val="none" w:sz="0" w:space="0" w:color="auto"/>
        <w:bottom w:val="none" w:sz="0" w:space="0" w:color="auto"/>
        <w:right w:val="none" w:sz="0" w:space="0" w:color="auto"/>
      </w:divBdr>
    </w:div>
    <w:div w:id="376467171">
      <w:bodyDiv w:val="1"/>
      <w:marLeft w:val="0"/>
      <w:marRight w:val="0"/>
      <w:marTop w:val="0"/>
      <w:marBottom w:val="0"/>
      <w:divBdr>
        <w:top w:val="none" w:sz="0" w:space="0" w:color="auto"/>
        <w:left w:val="none" w:sz="0" w:space="0" w:color="auto"/>
        <w:bottom w:val="none" w:sz="0" w:space="0" w:color="auto"/>
        <w:right w:val="none" w:sz="0" w:space="0" w:color="auto"/>
      </w:divBdr>
    </w:div>
    <w:div w:id="387188855">
      <w:bodyDiv w:val="1"/>
      <w:marLeft w:val="0"/>
      <w:marRight w:val="0"/>
      <w:marTop w:val="0"/>
      <w:marBottom w:val="0"/>
      <w:divBdr>
        <w:top w:val="none" w:sz="0" w:space="0" w:color="auto"/>
        <w:left w:val="none" w:sz="0" w:space="0" w:color="auto"/>
        <w:bottom w:val="none" w:sz="0" w:space="0" w:color="auto"/>
        <w:right w:val="none" w:sz="0" w:space="0" w:color="auto"/>
      </w:divBdr>
    </w:div>
    <w:div w:id="390233872">
      <w:bodyDiv w:val="1"/>
      <w:marLeft w:val="0"/>
      <w:marRight w:val="0"/>
      <w:marTop w:val="0"/>
      <w:marBottom w:val="0"/>
      <w:divBdr>
        <w:top w:val="none" w:sz="0" w:space="0" w:color="auto"/>
        <w:left w:val="none" w:sz="0" w:space="0" w:color="auto"/>
        <w:bottom w:val="none" w:sz="0" w:space="0" w:color="auto"/>
        <w:right w:val="none" w:sz="0" w:space="0" w:color="auto"/>
      </w:divBdr>
    </w:div>
    <w:div w:id="391005276">
      <w:bodyDiv w:val="1"/>
      <w:marLeft w:val="0"/>
      <w:marRight w:val="0"/>
      <w:marTop w:val="0"/>
      <w:marBottom w:val="0"/>
      <w:divBdr>
        <w:top w:val="none" w:sz="0" w:space="0" w:color="auto"/>
        <w:left w:val="none" w:sz="0" w:space="0" w:color="auto"/>
        <w:bottom w:val="none" w:sz="0" w:space="0" w:color="auto"/>
        <w:right w:val="none" w:sz="0" w:space="0" w:color="auto"/>
      </w:divBdr>
    </w:div>
    <w:div w:id="391467111">
      <w:bodyDiv w:val="1"/>
      <w:marLeft w:val="0"/>
      <w:marRight w:val="0"/>
      <w:marTop w:val="0"/>
      <w:marBottom w:val="0"/>
      <w:divBdr>
        <w:top w:val="none" w:sz="0" w:space="0" w:color="auto"/>
        <w:left w:val="none" w:sz="0" w:space="0" w:color="auto"/>
        <w:bottom w:val="none" w:sz="0" w:space="0" w:color="auto"/>
        <w:right w:val="none" w:sz="0" w:space="0" w:color="auto"/>
      </w:divBdr>
    </w:div>
    <w:div w:id="392386776">
      <w:bodyDiv w:val="1"/>
      <w:marLeft w:val="0"/>
      <w:marRight w:val="0"/>
      <w:marTop w:val="0"/>
      <w:marBottom w:val="0"/>
      <w:divBdr>
        <w:top w:val="none" w:sz="0" w:space="0" w:color="auto"/>
        <w:left w:val="none" w:sz="0" w:space="0" w:color="auto"/>
        <w:bottom w:val="none" w:sz="0" w:space="0" w:color="auto"/>
        <w:right w:val="none" w:sz="0" w:space="0" w:color="auto"/>
      </w:divBdr>
    </w:div>
    <w:div w:id="397286905">
      <w:bodyDiv w:val="1"/>
      <w:marLeft w:val="0"/>
      <w:marRight w:val="0"/>
      <w:marTop w:val="0"/>
      <w:marBottom w:val="0"/>
      <w:divBdr>
        <w:top w:val="none" w:sz="0" w:space="0" w:color="auto"/>
        <w:left w:val="none" w:sz="0" w:space="0" w:color="auto"/>
        <w:bottom w:val="none" w:sz="0" w:space="0" w:color="auto"/>
        <w:right w:val="none" w:sz="0" w:space="0" w:color="auto"/>
      </w:divBdr>
    </w:div>
    <w:div w:id="402260864">
      <w:bodyDiv w:val="1"/>
      <w:marLeft w:val="0"/>
      <w:marRight w:val="0"/>
      <w:marTop w:val="0"/>
      <w:marBottom w:val="0"/>
      <w:divBdr>
        <w:top w:val="none" w:sz="0" w:space="0" w:color="auto"/>
        <w:left w:val="none" w:sz="0" w:space="0" w:color="auto"/>
        <w:bottom w:val="none" w:sz="0" w:space="0" w:color="auto"/>
        <w:right w:val="none" w:sz="0" w:space="0" w:color="auto"/>
      </w:divBdr>
    </w:div>
    <w:div w:id="402797135">
      <w:bodyDiv w:val="1"/>
      <w:marLeft w:val="0"/>
      <w:marRight w:val="0"/>
      <w:marTop w:val="0"/>
      <w:marBottom w:val="0"/>
      <w:divBdr>
        <w:top w:val="none" w:sz="0" w:space="0" w:color="auto"/>
        <w:left w:val="none" w:sz="0" w:space="0" w:color="auto"/>
        <w:bottom w:val="none" w:sz="0" w:space="0" w:color="auto"/>
        <w:right w:val="none" w:sz="0" w:space="0" w:color="auto"/>
      </w:divBdr>
    </w:div>
    <w:div w:id="407654020">
      <w:bodyDiv w:val="1"/>
      <w:marLeft w:val="0"/>
      <w:marRight w:val="0"/>
      <w:marTop w:val="0"/>
      <w:marBottom w:val="0"/>
      <w:divBdr>
        <w:top w:val="none" w:sz="0" w:space="0" w:color="auto"/>
        <w:left w:val="none" w:sz="0" w:space="0" w:color="auto"/>
        <w:bottom w:val="none" w:sz="0" w:space="0" w:color="auto"/>
        <w:right w:val="none" w:sz="0" w:space="0" w:color="auto"/>
      </w:divBdr>
    </w:div>
    <w:div w:id="421951278">
      <w:bodyDiv w:val="1"/>
      <w:marLeft w:val="0"/>
      <w:marRight w:val="0"/>
      <w:marTop w:val="0"/>
      <w:marBottom w:val="0"/>
      <w:divBdr>
        <w:top w:val="none" w:sz="0" w:space="0" w:color="auto"/>
        <w:left w:val="none" w:sz="0" w:space="0" w:color="auto"/>
        <w:bottom w:val="none" w:sz="0" w:space="0" w:color="auto"/>
        <w:right w:val="none" w:sz="0" w:space="0" w:color="auto"/>
      </w:divBdr>
    </w:div>
    <w:div w:id="422998163">
      <w:bodyDiv w:val="1"/>
      <w:marLeft w:val="0"/>
      <w:marRight w:val="0"/>
      <w:marTop w:val="0"/>
      <w:marBottom w:val="0"/>
      <w:divBdr>
        <w:top w:val="none" w:sz="0" w:space="0" w:color="auto"/>
        <w:left w:val="none" w:sz="0" w:space="0" w:color="auto"/>
        <w:bottom w:val="none" w:sz="0" w:space="0" w:color="auto"/>
        <w:right w:val="none" w:sz="0" w:space="0" w:color="auto"/>
      </w:divBdr>
    </w:div>
    <w:div w:id="431164463">
      <w:bodyDiv w:val="1"/>
      <w:marLeft w:val="0"/>
      <w:marRight w:val="0"/>
      <w:marTop w:val="0"/>
      <w:marBottom w:val="0"/>
      <w:divBdr>
        <w:top w:val="none" w:sz="0" w:space="0" w:color="auto"/>
        <w:left w:val="none" w:sz="0" w:space="0" w:color="auto"/>
        <w:bottom w:val="none" w:sz="0" w:space="0" w:color="auto"/>
        <w:right w:val="none" w:sz="0" w:space="0" w:color="auto"/>
      </w:divBdr>
      <w:divsChild>
        <w:div w:id="1566604711">
          <w:marLeft w:val="0"/>
          <w:marRight w:val="0"/>
          <w:marTop w:val="0"/>
          <w:marBottom w:val="0"/>
          <w:divBdr>
            <w:top w:val="none" w:sz="0" w:space="0" w:color="auto"/>
            <w:left w:val="none" w:sz="0" w:space="0" w:color="auto"/>
            <w:bottom w:val="none" w:sz="0" w:space="0" w:color="auto"/>
            <w:right w:val="none" w:sz="0" w:space="0" w:color="auto"/>
          </w:divBdr>
          <w:divsChild>
            <w:div w:id="87041259">
              <w:marLeft w:val="0"/>
              <w:marRight w:val="0"/>
              <w:marTop w:val="0"/>
              <w:marBottom w:val="0"/>
              <w:divBdr>
                <w:top w:val="none" w:sz="0" w:space="0" w:color="auto"/>
                <w:left w:val="none" w:sz="0" w:space="0" w:color="auto"/>
                <w:bottom w:val="none" w:sz="0" w:space="0" w:color="auto"/>
                <w:right w:val="none" w:sz="0" w:space="0" w:color="auto"/>
              </w:divBdr>
              <w:divsChild>
                <w:div w:id="1087531139">
                  <w:marLeft w:val="0"/>
                  <w:marRight w:val="0"/>
                  <w:marTop w:val="0"/>
                  <w:marBottom w:val="0"/>
                  <w:divBdr>
                    <w:top w:val="none" w:sz="0" w:space="0" w:color="auto"/>
                    <w:left w:val="none" w:sz="0" w:space="0" w:color="auto"/>
                    <w:bottom w:val="none" w:sz="0" w:space="0" w:color="auto"/>
                    <w:right w:val="none" w:sz="0" w:space="0" w:color="auto"/>
                  </w:divBdr>
                  <w:divsChild>
                    <w:div w:id="166528212">
                      <w:marLeft w:val="0"/>
                      <w:marRight w:val="0"/>
                      <w:marTop w:val="0"/>
                      <w:marBottom w:val="0"/>
                      <w:divBdr>
                        <w:top w:val="none" w:sz="0" w:space="0" w:color="auto"/>
                        <w:left w:val="none" w:sz="0" w:space="0" w:color="auto"/>
                        <w:bottom w:val="none" w:sz="0" w:space="0" w:color="auto"/>
                        <w:right w:val="none" w:sz="0" w:space="0" w:color="auto"/>
                      </w:divBdr>
                      <w:divsChild>
                        <w:div w:id="379063540">
                          <w:marLeft w:val="0"/>
                          <w:marRight w:val="0"/>
                          <w:marTop w:val="0"/>
                          <w:marBottom w:val="0"/>
                          <w:divBdr>
                            <w:top w:val="none" w:sz="0" w:space="0" w:color="auto"/>
                            <w:left w:val="none" w:sz="0" w:space="0" w:color="auto"/>
                            <w:bottom w:val="none" w:sz="0" w:space="0" w:color="auto"/>
                            <w:right w:val="none" w:sz="0" w:space="0" w:color="auto"/>
                          </w:divBdr>
                          <w:divsChild>
                            <w:div w:id="14772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7799903">
      <w:bodyDiv w:val="1"/>
      <w:marLeft w:val="0"/>
      <w:marRight w:val="0"/>
      <w:marTop w:val="0"/>
      <w:marBottom w:val="0"/>
      <w:divBdr>
        <w:top w:val="none" w:sz="0" w:space="0" w:color="auto"/>
        <w:left w:val="none" w:sz="0" w:space="0" w:color="auto"/>
        <w:bottom w:val="none" w:sz="0" w:space="0" w:color="auto"/>
        <w:right w:val="none" w:sz="0" w:space="0" w:color="auto"/>
      </w:divBdr>
    </w:div>
    <w:div w:id="438523124">
      <w:bodyDiv w:val="1"/>
      <w:marLeft w:val="0"/>
      <w:marRight w:val="0"/>
      <w:marTop w:val="0"/>
      <w:marBottom w:val="0"/>
      <w:divBdr>
        <w:top w:val="none" w:sz="0" w:space="0" w:color="auto"/>
        <w:left w:val="none" w:sz="0" w:space="0" w:color="auto"/>
        <w:bottom w:val="none" w:sz="0" w:space="0" w:color="auto"/>
        <w:right w:val="none" w:sz="0" w:space="0" w:color="auto"/>
      </w:divBdr>
    </w:div>
    <w:div w:id="440340952">
      <w:bodyDiv w:val="1"/>
      <w:marLeft w:val="0"/>
      <w:marRight w:val="0"/>
      <w:marTop w:val="0"/>
      <w:marBottom w:val="0"/>
      <w:divBdr>
        <w:top w:val="none" w:sz="0" w:space="0" w:color="auto"/>
        <w:left w:val="none" w:sz="0" w:space="0" w:color="auto"/>
        <w:bottom w:val="none" w:sz="0" w:space="0" w:color="auto"/>
        <w:right w:val="none" w:sz="0" w:space="0" w:color="auto"/>
      </w:divBdr>
    </w:div>
    <w:div w:id="456726070">
      <w:bodyDiv w:val="1"/>
      <w:marLeft w:val="0"/>
      <w:marRight w:val="0"/>
      <w:marTop w:val="0"/>
      <w:marBottom w:val="0"/>
      <w:divBdr>
        <w:top w:val="none" w:sz="0" w:space="0" w:color="auto"/>
        <w:left w:val="none" w:sz="0" w:space="0" w:color="auto"/>
        <w:bottom w:val="none" w:sz="0" w:space="0" w:color="auto"/>
        <w:right w:val="none" w:sz="0" w:space="0" w:color="auto"/>
      </w:divBdr>
    </w:div>
    <w:div w:id="464128077">
      <w:bodyDiv w:val="1"/>
      <w:marLeft w:val="0"/>
      <w:marRight w:val="0"/>
      <w:marTop w:val="0"/>
      <w:marBottom w:val="0"/>
      <w:divBdr>
        <w:top w:val="none" w:sz="0" w:space="0" w:color="auto"/>
        <w:left w:val="none" w:sz="0" w:space="0" w:color="auto"/>
        <w:bottom w:val="none" w:sz="0" w:space="0" w:color="auto"/>
        <w:right w:val="none" w:sz="0" w:space="0" w:color="auto"/>
      </w:divBdr>
    </w:div>
    <w:div w:id="468596373">
      <w:bodyDiv w:val="1"/>
      <w:marLeft w:val="0"/>
      <w:marRight w:val="0"/>
      <w:marTop w:val="0"/>
      <w:marBottom w:val="0"/>
      <w:divBdr>
        <w:top w:val="none" w:sz="0" w:space="0" w:color="auto"/>
        <w:left w:val="none" w:sz="0" w:space="0" w:color="auto"/>
        <w:bottom w:val="none" w:sz="0" w:space="0" w:color="auto"/>
        <w:right w:val="none" w:sz="0" w:space="0" w:color="auto"/>
      </w:divBdr>
    </w:div>
    <w:div w:id="472672574">
      <w:bodyDiv w:val="1"/>
      <w:marLeft w:val="0"/>
      <w:marRight w:val="0"/>
      <w:marTop w:val="0"/>
      <w:marBottom w:val="0"/>
      <w:divBdr>
        <w:top w:val="none" w:sz="0" w:space="0" w:color="auto"/>
        <w:left w:val="none" w:sz="0" w:space="0" w:color="auto"/>
        <w:bottom w:val="none" w:sz="0" w:space="0" w:color="auto"/>
        <w:right w:val="none" w:sz="0" w:space="0" w:color="auto"/>
      </w:divBdr>
    </w:div>
    <w:div w:id="474487324">
      <w:bodyDiv w:val="1"/>
      <w:marLeft w:val="0"/>
      <w:marRight w:val="0"/>
      <w:marTop w:val="0"/>
      <w:marBottom w:val="0"/>
      <w:divBdr>
        <w:top w:val="none" w:sz="0" w:space="0" w:color="auto"/>
        <w:left w:val="none" w:sz="0" w:space="0" w:color="auto"/>
        <w:bottom w:val="none" w:sz="0" w:space="0" w:color="auto"/>
        <w:right w:val="none" w:sz="0" w:space="0" w:color="auto"/>
      </w:divBdr>
    </w:div>
    <w:div w:id="491483599">
      <w:bodyDiv w:val="1"/>
      <w:marLeft w:val="0"/>
      <w:marRight w:val="0"/>
      <w:marTop w:val="0"/>
      <w:marBottom w:val="0"/>
      <w:divBdr>
        <w:top w:val="none" w:sz="0" w:space="0" w:color="auto"/>
        <w:left w:val="none" w:sz="0" w:space="0" w:color="auto"/>
        <w:bottom w:val="none" w:sz="0" w:space="0" w:color="auto"/>
        <w:right w:val="none" w:sz="0" w:space="0" w:color="auto"/>
      </w:divBdr>
    </w:div>
    <w:div w:id="497042424">
      <w:bodyDiv w:val="1"/>
      <w:marLeft w:val="0"/>
      <w:marRight w:val="0"/>
      <w:marTop w:val="0"/>
      <w:marBottom w:val="0"/>
      <w:divBdr>
        <w:top w:val="none" w:sz="0" w:space="0" w:color="auto"/>
        <w:left w:val="none" w:sz="0" w:space="0" w:color="auto"/>
        <w:bottom w:val="none" w:sz="0" w:space="0" w:color="auto"/>
        <w:right w:val="none" w:sz="0" w:space="0" w:color="auto"/>
      </w:divBdr>
    </w:div>
    <w:div w:id="500245230">
      <w:bodyDiv w:val="1"/>
      <w:marLeft w:val="0"/>
      <w:marRight w:val="0"/>
      <w:marTop w:val="0"/>
      <w:marBottom w:val="0"/>
      <w:divBdr>
        <w:top w:val="none" w:sz="0" w:space="0" w:color="auto"/>
        <w:left w:val="none" w:sz="0" w:space="0" w:color="auto"/>
        <w:bottom w:val="none" w:sz="0" w:space="0" w:color="auto"/>
        <w:right w:val="none" w:sz="0" w:space="0" w:color="auto"/>
      </w:divBdr>
    </w:div>
    <w:div w:id="507839867">
      <w:bodyDiv w:val="1"/>
      <w:marLeft w:val="0"/>
      <w:marRight w:val="0"/>
      <w:marTop w:val="0"/>
      <w:marBottom w:val="0"/>
      <w:divBdr>
        <w:top w:val="none" w:sz="0" w:space="0" w:color="auto"/>
        <w:left w:val="none" w:sz="0" w:space="0" w:color="auto"/>
        <w:bottom w:val="none" w:sz="0" w:space="0" w:color="auto"/>
        <w:right w:val="none" w:sz="0" w:space="0" w:color="auto"/>
      </w:divBdr>
    </w:div>
    <w:div w:id="515000520">
      <w:bodyDiv w:val="1"/>
      <w:marLeft w:val="0"/>
      <w:marRight w:val="0"/>
      <w:marTop w:val="0"/>
      <w:marBottom w:val="0"/>
      <w:divBdr>
        <w:top w:val="none" w:sz="0" w:space="0" w:color="auto"/>
        <w:left w:val="none" w:sz="0" w:space="0" w:color="auto"/>
        <w:bottom w:val="none" w:sz="0" w:space="0" w:color="auto"/>
        <w:right w:val="none" w:sz="0" w:space="0" w:color="auto"/>
      </w:divBdr>
    </w:div>
    <w:div w:id="520314372">
      <w:bodyDiv w:val="1"/>
      <w:marLeft w:val="0"/>
      <w:marRight w:val="0"/>
      <w:marTop w:val="0"/>
      <w:marBottom w:val="0"/>
      <w:divBdr>
        <w:top w:val="none" w:sz="0" w:space="0" w:color="auto"/>
        <w:left w:val="none" w:sz="0" w:space="0" w:color="auto"/>
        <w:bottom w:val="none" w:sz="0" w:space="0" w:color="auto"/>
        <w:right w:val="none" w:sz="0" w:space="0" w:color="auto"/>
      </w:divBdr>
    </w:div>
    <w:div w:id="524834323">
      <w:bodyDiv w:val="1"/>
      <w:marLeft w:val="0"/>
      <w:marRight w:val="0"/>
      <w:marTop w:val="0"/>
      <w:marBottom w:val="0"/>
      <w:divBdr>
        <w:top w:val="none" w:sz="0" w:space="0" w:color="auto"/>
        <w:left w:val="none" w:sz="0" w:space="0" w:color="auto"/>
        <w:bottom w:val="none" w:sz="0" w:space="0" w:color="auto"/>
        <w:right w:val="none" w:sz="0" w:space="0" w:color="auto"/>
      </w:divBdr>
    </w:div>
    <w:div w:id="526451203">
      <w:bodyDiv w:val="1"/>
      <w:marLeft w:val="0"/>
      <w:marRight w:val="0"/>
      <w:marTop w:val="0"/>
      <w:marBottom w:val="0"/>
      <w:divBdr>
        <w:top w:val="none" w:sz="0" w:space="0" w:color="auto"/>
        <w:left w:val="none" w:sz="0" w:space="0" w:color="auto"/>
        <w:bottom w:val="none" w:sz="0" w:space="0" w:color="auto"/>
        <w:right w:val="none" w:sz="0" w:space="0" w:color="auto"/>
      </w:divBdr>
    </w:div>
    <w:div w:id="529032170">
      <w:bodyDiv w:val="1"/>
      <w:marLeft w:val="0"/>
      <w:marRight w:val="0"/>
      <w:marTop w:val="0"/>
      <w:marBottom w:val="0"/>
      <w:divBdr>
        <w:top w:val="none" w:sz="0" w:space="0" w:color="auto"/>
        <w:left w:val="none" w:sz="0" w:space="0" w:color="auto"/>
        <w:bottom w:val="none" w:sz="0" w:space="0" w:color="auto"/>
        <w:right w:val="none" w:sz="0" w:space="0" w:color="auto"/>
      </w:divBdr>
    </w:div>
    <w:div w:id="544298427">
      <w:bodyDiv w:val="1"/>
      <w:marLeft w:val="0"/>
      <w:marRight w:val="0"/>
      <w:marTop w:val="0"/>
      <w:marBottom w:val="0"/>
      <w:divBdr>
        <w:top w:val="none" w:sz="0" w:space="0" w:color="auto"/>
        <w:left w:val="none" w:sz="0" w:space="0" w:color="auto"/>
        <w:bottom w:val="none" w:sz="0" w:space="0" w:color="auto"/>
        <w:right w:val="none" w:sz="0" w:space="0" w:color="auto"/>
      </w:divBdr>
    </w:div>
    <w:div w:id="552812960">
      <w:bodyDiv w:val="1"/>
      <w:marLeft w:val="0"/>
      <w:marRight w:val="0"/>
      <w:marTop w:val="0"/>
      <w:marBottom w:val="0"/>
      <w:divBdr>
        <w:top w:val="none" w:sz="0" w:space="0" w:color="auto"/>
        <w:left w:val="none" w:sz="0" w:space="0" w:color="auto"/>
        <w:bottom w:val="none" w:sz="0" w:space="0" w:color="auto"/>
        <w:right w:val="none" w:sz="0" w:space="0" w:color="auto"/>
      </w:divBdr>
    </w:div>
    <w:div w:id="568733130">
      <w:bodyDiv w:val="1"/>
      <w:marLeft w:val="0"/>
      <w:marRight w:val="0"/>
      <w:marTop w:val="0"/>
      <w:marBottom w:val="0"/>
      <w:divBdr>
        <w:top w:val="none" w:sz="0" w:space="0" w:color="auto"/>
        <w:left w:val="none" w:sz="0" w:space="0" w:color="auto"/>
        <w:bottom w:val="none" w:sz="0" w:space="0" w:color="auto"/>
        <w:right w:val="none" w:sz="0" w:space="0" w:color="auto"/>
      </w:divBdr>
    </w:div>
    <w:div w:id="571474559">
      <w:bodyDiv w:val="1"/>
      <w:marLeft w:val="0"/>
      <w:marRight w:val="0"/>
      <w:marTop w:val="0"/>
      <w:marBottom w:val="0"/>
      <w:divBdr>
        <w:top w:val="none" w:sz="0" w:space="0" w:color="auto"/>
        <w:left w:val="none" w:sz="0" w:space="0" w:color="auto"/>
        <w:bottom w:val="none" w:sz="0" w:space="0" w:color="auto"/>
        <w:right w:val="none" w:sz="0" w:space="0" w:color="auto"/>
      </w:divBdr>
    </w:div>
    <w:div w:id="575021588">
      <w:bodyDiv w:val="1"/>
      <w:marLeft w:val="0"/>
      <w:marRight w:val="0"/>
      <w:marTop w:val="0"/>
      <w:marBottom w:val="0"/>
      <w:divBdr>
        <w:top w:val="none" w:sz="0" w:space="0" w:color="auto"/>
        <w:left w:val="none" w:sz="0" w:space="0" w:color="auto"/>
        <w:bottom w:val="none" w:sz="0" w:space="0" w:color="auto"/>
        <w:right w:val="none" w:sz="0" w:space="0" w:color="auto"/>
      </w:divBdr>
    </w:div>
    <w:div w:id="577789984">
      <w:bodyDiv w:val="1"/>
      <w:marLeft w:val="0"/>
      <w:marRight w:val="0"/>
      <w:marTop w:val="0"/>
      <w:marBottom w:val="0"/>
      <w:divBdr>
        <w:top w:val="none" w:sz="0" w:space="0" w:color="auto"/>
        <w:left w:val="none" w:sz="0" w:space="0" w:color="auto"/>
        <w:bottom w:val="none" w:sz="0" w:space="0" w:color="auto"/>
        <w:right w:val="none" w:sz="0" w:space="0" w:color="auto"/>
      </w:divBdr>
    </w:div>
    <w:div w:id="579171708">
      <w:bodyDiv w:val="1"/>
      <w:marLeft w:val="0"/>
      <w:marRight w:val="0"/>
      <w:marTop w:val="0"/>
      <w:marBottom w:val="0"/>
      <w:divBdr>
        <w:top w:val="none" w:sz="0" w:space="0" w:color="auto"/>
        <w:left w:val="none" w:sz="0" w:space="0" w:color="auto"/>
        <w:bottom w:val="none" w:sz="0" w:space="0" w:color="auto"/>
        <w:right w:val="none" w:sz="0" w:space="0" w:color="auto"/>
      </w:divBdr>
    </w:div>
    <w:div w:id="586427503">
      <w:bodyDiv w:val="1"/>
      <w:marLeft w:val="0"/>
      <w:marRight w:val="0"/>
      <w:marTop w:val="0"/>
      <w:marBottom w:val="0"/>
      <w:divBdr>
        <w:top w:val="none" w:sz="0" w:space="0" w:color="auto"/>
        <w:left w:val="none" w:sz="0" w:space="0" w:color="auto"/>
        <w:bottom w:val="none" w:sz="0" w:space="0" w:color="auto"/>
        <w:right w:val="none" w:sz="0" w:space="0" w:color="auto"/>
      </w:divBdr>
    </w:div>
    <w:div w:id="588852294">
      <w:bodyDiv w:val="1"/>
      <w:marLeft w:val="0"/>
      <w:marRight w:val="0"/>
      <w:marTop w:val="0"/>
      <w:marBottom w:val="0"/>
      <w:divBdr>
        <w:top w:val="none" w:sz="0" w:space="0" w:color="auto"/>
        <w:left w:val="none" w:sz="0" w:space="0" w:color="auto"/>
        <w:bottom w:val="none" w:sz="0" w:space="0" w:color="auto"/>
        <w:right w:val="none" w:sz="0" w:space="0" w:color="auto"/>
      </w:divBdr>
    </w:div>
    <w:div w:id="590159426">
      <w:bodyDiv w:val="1"/>
      <w:marLeft w:val="0"/>
      <w:marRight w:val="0"/>
      <w:marTop w:val="0"/>
      <w:marBottom w:val="0"/>
      <w:divBdr>
        <w:top w:val="none" w:sz="0" w:space="0" w:color="auto"/>
        <w:left w:val="none" w:sz="0" w:space="0" w:color="auto"/>
        <w:bottom w:val="none" w:sz="0" w:space="0" w:color="auto"/>
        <w:right w:val="none" w:sz="0" w:space="0" w:color="auto"/>
      </w:divBdr>
    </w:div>
    <w:div w:id="593784404">
      <w:bodyDiv w:val="1"/>
      <w:marLeft w:val="0"/>
      <w:marRight w:val="0"/>
      <w:marTop w:val="0"/>
      <w:marBottom w:val="0"/>
      <w:divBdr>
        <w:top w:val="none" w:sz="0" w:space="0" w:color="auto"/>
        <w:left w:val="none" w:sz="0" w:space="0" w:color="auto"/>
        <w:bottom w:val="none" w:sz="0" w:space="0" w:color="auto"/>
        <w:right w:val="none" w:sz="0" w:space="0" w:color="auto"/>
      </w:divBdr>
    </w:div>
    <w:div w:id="596325500">
      <w:bodyDiv w:val="1"/>
      <w:marLeft w:val="0"/>
      <w:marRight w:val="0"/>
      <w:marTop w:val="0"/>
      <w:marBottom w:val="0"/>
      <w:divBdr>
        <w:top w:val="none" w:sz="0" w:space="0" w:color="auto"/>
        <w:left w:val="none" w:sz="0" w:space="0" w:color="auto"/>
        <w:bottom w:val="none" w:sz="0" w:space="0" w:color="auto"/>
        <w:right w:val="none" w:sz="0" w:space="0" w:color="auto"/>
      </w:divBdr>
    </w:div>
    <w:div w:id="598292987">
      <w:bodyDiv w:val="1"/>
      <w:marLeft w:val="0"/>
      <w:marRight w:val="0"/>
      <w:marTop w:val="0"/>
      <w:marBottom w:val="0"/>
      <w:divBdr>
        <w:top w:val="none" w:sz="0" w:space="0" w:color="auto"/>
        <w:left w:val="none" w:sz="0" w:space="0" w:color="auto"/>
        <w:bottom w:val="none" w:sz="0" w:space="0" w:color="auto"/>
        <w:right w:val="none" w:sz="0" w:space="0" w:color="auto"/>
      </w:divBdr>
    </w:div>
    <w:div w:id="607275987">
      <w:bodyDiv w:val="1"/>
      <w:marLeft w:val="0"/>
      <w:marRight w:val="0"/>
      <w:marTop w:val="0"/>
      <w:marBottom w:val="0"/>
      <w:divBdr>
        <w:top w:val="none" w:sz="0" w:space="0" w:color="auto"/>
        <w:left w:val="none" w:sz="0" w:space="0" w:color="auto"/>
        <w:bottom w:val="none" w:sz="0" w:space="0" w:color="auto"/>
        <w:right w:val="none" w:sz="0" w:space="0" w:color="auto"/>
      </w:divBdr>
    </w:div>
    <w:div w:id="607810320">
      <w:bodyDiv w:val="1"/>
      <w:marLeft w:val="0"/>
      <w:marRight w:val="0"/>
      <w:marTop w:val="0"/>
      <w:marBottom w:val="0"/>
      <w:divBdr>
        <w:top w:val="none" w:sz="0" w:space="0" w:color="auto"/>
        <w:left w:val="none" w:sz="0" w:space="0" w:color="auto"/>
        <w:bottom w:val="none" w:sz="0" w:space="0" w:color="auto"/>
        <w:right w:val="none" w:sz="0" w:space="0" w:color="auto"/>
      </w:divBdr>
    </w:div>
    <w:div w:id="608322002">
      <w:bodyDiv w:val="1"/>
      <w:marLeft w:val="0"/>
      <w:marRight w:val="0"/>
      <w:marTop w:val="0"/>
      <w:marBottom w:val="0"/>
      <w:divBdr>
        <w:top w:val="none" w:sz="0" w:space="0" w:color="auto"/>
        <w:left w:val="none" w:sz="0" w:space="0" w:color="auto"/>
        <w:bottom w:val="none" w:sz="0" w:space="0" w:color="auto"/>
        <w:right w:val="none" w:sz="0" w:space="0" w:color="auto"/>
      </w:divBdr>
    </w:div>
    <w:div w:id="616370391">
      <w:bodyDiv w:val="1"/>
      <w:marLeft w:val="0"/>
      <w:marRight w:val="0"/>
      <w:marTop w:val="0"/>
      <w:marBottom w:val="0"/>
      <w:divBdr>
        <w:top w:val="none" w:sz="0" w:space="0" w:color="auto"/>
        <w:left w:val="none" w:sz="0" w:space="0" w:color="auto"/>
        <w:bottom w:val="none" w:sz="0" w:space="0" w:color="auto"/>
        <w:right w:val="none" w:sz="0" w:space="0" w:color="auto"/>
      </w:divBdr>
    </w:div>
    <w:div w:id="620384042">
      <w:bodyDiv w:val="1"/>
      <w:marLeft w:val="0"/>
      <w:marRight w:val="0"/>
      <w:marTop w:val="0"/>
      <w:marBottom w:val="0"/>
      <w:divBdr>
        <w:top w:val="none" w:sz="0" w:space="0" w:color="auto"/>
        <w:left w:val="none" w:sz="0" w:space="0" w:color="auto"/>
        <w:bottom w:val="none" w:sz="0" w:space="0" w:color="auto"/>
        <w:right w:val="none" w:sz="0" w:space="0" w:color="auto"/>
      </w:divBdr>
    </w:div>
    <w:div w:id="620693405">
      <w:bodyDiv w:val="1"/>
      <w:marLeft w:val="0"/>
      <w:marRight w:val="0"/>
      <w:marTop w:val="0"/>
      <w:marBottom w:val="0"/>
      <w:divBdr>
        <w:top w:val="none" w:sz="0" w:space="0" w:color="auto"/>
        <w:left w:val="none" w:sz="0" w:space="0" w:color="auto"/>
        <w:bottom w:val="none" w:sz="0" w:space="0" w:color="auto"/>
        <w:right w:val="none" w:sz="0" w:space="0" w:color="auto"/>
      </w:divBdr>
    </w:div>
    <w:div w:id="621154106">
      <w:bodyDiv w:val="1"/>
      <w:marLeft w:val="0"/>
      <w:marRight w:val="0"/>
      <w:marTop w:val="0"/>
      <w:marBottom w:val="0"/>
      <w:divBdr>
        <w:top w:val="none" w:sz="0" w:space="0" w:color="auto"/>
        <w:left w:val="none" w:sz="0" w:space="0" w:color="auto"/>
        <w:bottom w:val="none" w:sz="0" w:space="0" w:color="auto"/>
        <w:right w:val="none" w:sz="0" w:space="0" w:color="auto"/>
      </w:divBdr>
    </w:div>
    <w:div w:id="625309123">
      <w:bodyDiv w:val="1"/>
      <w:marLeft w:val="0"/>
      <w:marRight w:val="0"/>
      <w:marTop w:val="0"/>
      <w:marBottom w:val="0"/>
      <w:divBdr>
        <w:top w:val="none" w:sz="0" w:space="0" w:color="auto"/>
        <w:left w:val="none" w:sz="0" w:space="0" w:color="auto"/>
        <w:bottom w:val="none" w:sz="0" w:space="0" w:color="auto"/>
        <w:right w:val="none" w:sz="0" w:space="0" w:color="auto"/>
      </w:divBdr>
    </w:div>
    <w:div w:id="642002004">
      <w:bodyDiv w:val="1"/>
      <w:marLeft w:val="0"/>
      <w:marRight w:val="0"/>
      <w:marTop w:val="0"/>
      <w:marBottom w:val="0"/>
      <w:divBdr>
        <w:top w:val="none" w:sz="0" w:space="0" w:color="auto"/>
        <w:left w:val="none" w:sz="0" w:space="0" w:color="auto"/>
        <w:bottom w:val="none" w:sz="0" w:space="0" w:color="auto"/>
        <w:right w:val="none" w:sz="0" w:space="0" w:color="auto"/>
      </w:divBdr>
    </w:div>
    <w:div w:id="643698041">
      <w:bodyDiv w:val="1"/>
      <w:marLeft w:val="0"/>
      <w:marRight w:val="0"/>
      <w:marTop w:val="0"/>
      <w:marBottom w:val="0"/>
      <w:divBdr>
        <w:top w:val="none" w:sz="0" w:space="0" w:color="auto"/>
        <w:left w:val="none" w:sz="0" w:space="0" w:color="auto"/>
        <w:bottom w:val="none" w:sz="0" w:space="0" w:color="auto"/>
        <w:right w:val="none" w:sz="0" w:space="0" w:color="auto"/>
      </w:divBdr>
    </w:div>
    <w:div w:id="648947313">
      <w:bodyDiv w:val="1"/>
      <w:marLeft w:val="0"/>
      <w:marRight w:val="0"/>
      <w:marTop w:val="0"/>
      <w:marBottom w:val="0"/>
      <w:divBdr>
        <w:top w:val="none" w:sz="0" w:space="0" w:color="auto"/>
        <w:left w:val="none" w:sz="0" w:space="0" w:color="auto"/>
        <w:bottom w:val="none" w:sz="0" w:space="0" w:color="auto"/>
        <w:right w:val="none" w:sz="0" w:space="0" w:color="auto"/>
      </w:divBdr>
    </w:div>
    <w:div w:id="662590226">
      <w:bodyDiv w:val="1"/>
      <w:marLeft w:val="0"/>
      <w:marRight w:val="0"/>
      <w:marTop w:val="0"/>
      <w:marBottom w:val="0"/>
      <w:divBdr>
        <w:top w:val="none" w:sz="0" w:space="0" w:color="auto"/>
        <w:left w:val="none" w:sz="0" w:space="0" w:color="auto"/>
        <w:bottom w:val="none" w:sz="0" w:space="0" w:color="auto"/>
        <w:right w:val="none" w:sz="0" w:space="0" w:color="auto"/>
      </w:divBdr>
    </w:div>
    <w:div w:id="663125712">
      <w:bodyDiv w:val="1"/>
      <w:marLeft w:val="0"/>
      <w:marRight w:val="0"/>
      <w:marTop w:val="0"/>
      <w:marBottom w:val="0"/>
      <w:divBdr>
        <w:top w:val="none" w:sz="0" w:space="0" w:color="auto"/>
        <w:left w:val="none" w:sz="0" w:space="0" w:color="auto"/>
        <w:bottom w:val="none" w:sz="0" w:space="0" w:color="auto"/>
        <w:right w:val="none" w:sz="0" w:space="0" w:color="auto"/>
      </w:divBdr>
    </w:div>
    <w:div w:id="668099793">
      <w:bodyDiv w:val="1"/>
      <w:marLeft w:val="0"/>
      <w:marRight w:val="0"/>
      <w:marTop w:val="0"/>
      <w:marBottom w:val="0"/>
      <w:divBdr>
        <w:top w:val="none" w:sz="0" w:space="0" w:color="auto"/>
        <w:left w:val="none" w:sz="0" w:space="0" w:color="auto"/>
        <w:bottom w:val="none" w:sz="0" w:space="0" w:color="auto"/>
        <w:right w:val="none" w:sz="0" w:space="0" w:color="auto"/>
      </w:divBdr>
    </w:div>
    <w:div w:id="671252447">
      <w:bodyDiv w:val="1"/>
      <w:marLeft w:val="0"/>
      <w:marRight w:val="0"/>
      <w:marTop w:val="0"/>
      <w:marBottom w:val="0"/>
      <w:divBdr>
        <w:top w:val="none" w:sz="0" w:space="0" w:color="auto"/>
        <w:left w:val="none" w:sz="0" w:space="0" w:color="auto"/>
        <w:bottom w:val="none" w:sz="0" w:space="0" w:color="auto"/>
        <w:right w:val="none" w:sz="0" w:space="0" w:color="auto"/>
      </w:divBdr>
    </w:div>
    <w:div w:id="671877991">
      <w:bodyDiv w:val="1"/>
      <w:marLeft w:val="0"/>
      <w:marRight w:val="0"/>
      <w:marTop w:val="0"/>
      <w:marBottom w:val="0"/>
      <w:divBdr>
        <w:top w:val="none" w:sz="0" w:space="0" w:color="auto"/>
        <w:left w:val="none" w:sz="0" w:space="0" w:color="auto"/>
        <w:bottom w:val="none" w:sz="0" w:space="0" w:color="auto"/>
        <w:right w:val="none" w:sz="0" w:space="0" w:color="auto"/>
      </w:divBdr>
    </w:div>
    <w:div w:id="674767430">
      <w:bodyDiv w:val="1"/>
      <w:marLeft w:val="0"/>
      <w:marRight w:val="0"/>
      <w:marTop w:val="0"/>
      <w:marBottom w:val="0"/>
      <w:divBdr>
        <w:top w:val="none" w:sz="0" w:space="0" w:color="auto"/>
        <w:left w:val="none" w:sz="0" w:space="0" w:color="auto"/>
        <w:bottom w:val="none" w:sz="0" w:space="0" w:color="auto"/>
        <w:right w:val="none" w:sz="0" w:space="0" w:color="auto"/>
      </w:divBdr>
    </w:div>
    <w:div w:id="676350843">
      <w:bodyDiv w:val="1"/>
      <w:marLeft w:val="0"/>
      <w:marRight w:val="0"/>
      <w:marTop w:val="0"/>
      <w:marBottom w:val="0"/>
      <w:divBdr>
        <w:top w:val="none" w:sz="0" w:space="0" w:color="auto"/>
        <w:left w:val="none" w:sz="0" w:space="0" w:color="auto"/>
        <w:bottom w:val="none" w:sz="0" w:space="0" w:color="auto"/>
        <w:right w:val="none" w:sz="0" w:space="0" w:color="auto"/>
      </w:divBdr>
    </w:div>
    <w:div w:id="679744325">
      <w:bodyDiv w:val="1"/>
      <w:marLeft w:val="0"/>
      <w:marRight w:val="0"/>
      <w:marTop w:val="0"/>
      <w:marBottom w:val="0"/>
      <w:divBdr>
        <w:top w:val="none" w:sz="0" w:space="0" w:color="auto"/>
        <w:left w:val="none" w:sz="0" w:space="0" w:color="auto"/>
        <w:bottom w:val="none" w:sz="0" w:space="0" w:color="auto"/>
        <w:right w:val="none" w:sz="0" w:space="0" w:color="auto"/>
      </w:divBdr>
    </w:div>
    <w:div w:id="688458138">
      <w:bodyDiv w:val="1"/>
      <w:marLeft w:val="0"/>
      <w:marRight w:val="0"/>
      <w:marTop w:val="0"/>
      <w:marBottom w:val="0"/>
      <w:divBdr>
        <w:top w:val="none" w:sz="0" w:space="0" w:color="auto"/>
        <w:left w:val="none" w:sz="0" w:space="0" w:color="auto"/>
        <w:bottom w:val="none" w:sz="0" w:space="0" w:color="auto"/>
        <w:right w:val="none" w:sz="0" w:space="0" w:color="auto"/>
      </w:divBdr>
    </w:div>
    <w:div w:id="689797735">
      <w:bodyDiv w:val="1"/>
      <w:marLeft w:val="0"/>
      <w:marRight w:val="0"/>
      <w:marTop w:val="0"/>
      <w:marBottom w:val="0"/>
      <w:divBdr>
        <w:top w:val="none" w:sz="0" w:space="0" w:color="auto"/>
        <w:left w:val="none" w:sz="0" w:space="0" w:color="auto"/>
        <w:bottom w:val="none" w:sz="0" w:space="0" w:color="auto"/>
        <w:right w:val="none" w:sz="0" w:space="0" w:color="auto"/>
      </w:divBdr>
    </w:div>
    <w:div w:id="691568144">
      <w:bodyDiv w:val="1"/>
      <w:marLeft w:val="0"/>
      <w:marRight w:val="0"/>
      <w:marTop w:val="0"/>
      <w:marBottom w:val="0"/>
      <w:divBdr>
        <w:top w:val="none" w:sz="0" w:space="0" w:color="auto"/>
        <w:left w:val="none" w:sz="0" w:space="0" w:color="auto"/>
        <w:bottom w:val="none" w:sz="0" w:space="0" w:color="auto"/>
        <w:right w:val="none" w:sz="0" w:space="0" w:color="auto"/>
      </w:divBdr>
    </w:div>
    <w:div w:id="693075015">
      <w:bodyDiv w:val="1"/>
      <w:marLeft w:val="0"/>
      <w:marRight w:val="0"/>
      <w:marTop w:val="0"/>
      <w:marBottom w:val="0"/>
      <w:divBdr>
        <w:top w:val="none" w:sz="0" w:space="0" w:color="auto"/>
        <w:left w:val="none" w:sz="0" w:space="0" w:color="auto"/>
        <w:bottom w:val="none" w:sz="0" w:space="0" w:color="auto"/>
        <w:right w:val="none" w:sz="0" w:space="0" w:color="auto"/>
      </w:divBdr>
    </w:div>
    <w:div w:id="698507058">
      <w:bodyDiv w:val="1"/>
      <w:marLeft w:val="0"/>
      <w:marRight w:val="0"/>
      <w:marTop w:val="0"/>
      <w:marBottom w:val="0"/>
      <w:divBdr>
        <w:top w:val="none" w:sz="0" w:space="0" w:color="auto"/>
        <w:left w:val="none" w:sz="0" w:space="0" w:color="auto"/>
        <w:bottom w:val="none" w:sz="0" w:space="0" w:color="auto"/>
        <w:right w:val="none" w:sz="0" w:space="0" w:color="auto"/>
      </w:divBdr>
    </w:div>
    <w:div w:id="701705748">
      <w:bodyDiv w:val="1"/>
      <w:marLeft w:val="0"/>
      <w:marRight w:val="0"/>
      <w:marTop w:val="0"/>
      <w:marBottom w:val="0"/>
      <w:divBdr>
        <w:top w:val="none" w:sz="0" w:space="0" w:color="auto"/>
        <w:left w:val="none" w:sz="0" w:space="0" w:color="auto"/>
        <w:bottom w:val="none" w:sz="0" w:space="0" w:color="auto"/>
        <w:right w:val="none" w:sz="0" w:space="0" w:color="auto"/>
      </w:divBdr>
    </w:div>
    <w:div w:id="711686059">
      <w:bodyDiv w:val="1"/>
      <w:marLeft w:val="0"/>
      <w:marRight w:val="0"/>
      <w:marTop w:val="0"/>
      <w:marBottom w:val="0"/>
      <w:divBdr>
        <w:top w:val="none" w:sz="0" w:space="0" w:color="auto"/>
        <w:left w:val="none" w:sz="0" w:space="0" w:color="auto"/>
        <w:bottom w:val="none" w:sz="0" w:space="0" w:color="auto"/>
        <w:right w:val="none" w:sz="0" w:space="0" w:color="auto"/>
      </w:divBdr>
    </w:div>
    <w:div w:id="712117049">
      <w:bodyDiv w:val="1"/>
      <w:marLeft w:val="0"/>
      <w:marRight w:val="0"/>
      <w:marTop w:val="0"/>
      <w:marBottom w:val="0"/>
      <w:divBdr>
        <w:top w:val="none" w:sz="0" w:space="0" w:color="auto"/>
        <w:left w:val="none" w:sz="0" w:space="0" w:color="auto"/>
        <w:bottom w:val="none" w:sz="0" w:space="0" w:color="auto"/>
        <w:right w:val="none" w:sz="0" w:space="0" w:color="auto"/>
      </w:divBdr>
      <w:divsChild>
        <w:div w:id="852765743">
          <w:marLeft w:val="0"/>
          <w:marRight w:val="0"/>
          <w:marTop w:val="0"/>
          <w:marBottom w:val="0"/>
          <w:divBdr>
            <w:top w:val="none" w:sz="0" w:space="0" w:color="auto"/>
            <w:left w:val="none" w:sz="0" w:space="0" w:color="auto"/>
            <w:bottom w:val="none" w:sz="0" w:space="0" w:color="auto"/>
            <w:right w:val="none" w:sz="0" w:space="0" w:color="auto"/>
          </w:divBdr>
          <w:divsChild>
            <w:div w:id="1700933490">
              <w:marLeft w:val="0"/>
              <w:marRight w:val="0"/>
              <w:marTop w:val="0"/>
              <w:marBottom w:val="0"/>
              <w:divBdr>
                <w:top w:val="none" w:sz="0" w:space="0" w:color="auto"/>
                <w:left w:val="none" w:sz="0" w:space="0" w:color="auto"/>
                <w:bottom w:val="none" w:sz="0" w:space="0" w:color="auto"/>
                <w:right w:val="none" w:sz="0" w:space="0" w:color="auto"/>
              </w:divBdr>
              <w:divsChild>
                <w:div w:id="442578013">
                  <w:marLeft w:val="0"/>
                  <w:marRight w:val="0"/>
                  <w:marTop w:val="0"/>
                  <w:marBottom w:val="0"/>
                  <w:divBdr>
                    <w:top w:val="none" w:sz="0" w:space="0" w:color="auto"/>
                    <w:left w:val="none" w:sz="0" w:space="0" w:color="auto"/>
                    <w:bottom w:val="none" w:sz="0" w:space="0" w:color="auto"/>
                    <w:right w:val="none" w:sz="0" w:space="0" w:color="auto"/>
                  </w:divBdr>
                  <w:divsChild>
                    <w:div w:id="1727415628">
                      <w:marLeft w:val="0"/>
                      <w:marRight w:val="0"/>
                      <w:marTop w:val="0"/>
                      <w:marBottom w:val="0"/>
                      <w:divBdr>
                        <w:top w:val="none" w:sz="0" w:space="0" w:color="auto"/>
                        <w:left w:val="none" w:sz="0" w:space="0" w:color="auto"/>
                        <w:bottom w:val="none" w:sz="0" w:space="0" w:color="auto"/>
                        <w:right w:val="none" w:sz="0" w:space="0" w:color="auto"/>
                      </w:divBdr>
                      <w:divsChild>
                        <w:div w:id="841970028">
                          <w:marLeft w:val="0"/>
                          <w:marRight w:val="0"/>
                          <w:marTop w:val="0"/>
                          <w:marBottom w:val="0"/>
                          <w:divBdr>
                            <w:top w:val="none" w:sz="0" w:space="0" w:color="auto"/>
                            <w:left w:val="none" w:sz="0" w:space="0" w:color="auto"/>
                            <w:bottom w:val="none" w:sz="0" w:space="0" w:color="auto"/>
                            <w:right w:val="none" w:sz="0" w:space="0" w:color="auto"/>
                          </w:divBdr>
                          <w:divsChild>
                            <w:div w:id="11141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350624">
      <w:bodyDiv w:val="1"/>
      <w:marLeft w:val="0"/>
      <w:marRight w:val="0"/>
      <w:marTop w:val="0"/>
      <w:marBottom w:val="0"/>
      <w:divBdr>
        <w:top w:val="none" w:sz="0" w:space="0" w:color="auto"/>
        <w:left w:val="none" w:sz="0" w:space="0" w:color="auto"/>
        <w:bottom w:val="none" w:sz="0" w:space="0" w:color="auto"/>
        <w:right w:val="none" w:sz="0" w:space="0" w:color="auto"/>
      </w:divBdr>
    </w:div>
    <w:div w:id="714935388">
      <w:bodyDiv w:val="1"/>
      <w:marLeft w:val="0"/>
      <w:marRight w:val="0"/>
      <w:marTop w:val="0"/>
      <w:marBottom w:val="0"/>
      <w:divBdr>
        <w:top w:val="none" w:sz="0" w:space="0" w:color="auto"/>
        <w:left w:val="none" w:sz="0" w:space="0" w:color="auto"/>
        <w:bottom w:val="none" w:sz="0" w:space="0" w:color="auto"/>
        <w:right w:val="none" w:sz="0" w:space="0" w:color="auto"/>
      </w:divBdr>
    </w:div>
    <w:div w:id="717047220">
      <w:bodyDiv w:val="1"/>
      <w:marLeft w:val="0"/>
      <w:marRight w:val="0"/>
      <w:marTop w:val="0"/>
      <w:marBottom w:val="0"/>
      <w:divBdr>
        <w:top w:val="none" w:sz="0" w:space="0" w:color="auto"/>
        <w:left w:val="none" w:sz="0" w:space="0" w:color="auto"/>
        <w:bottom w:val="none" w:sz="0" w:space="0" w:color="auto"/>
        <w:right w:val="none" w:sz="0" w:space="0" w:color="auto"/>
      </w:divBdr>
    </w:div>
    <w:div w:id="726954463">
      <w:bodyDiv w:val="1"/>
      <w:marLeft w:val="0"/>
      <w:marRight w:val="0"/>
      <w:marTop w:val="0"/>
      <w:marBottom w:val="0"/>
      <w:divBdr>
        <w:top w:val="none" w:sz="0" w:space="0" w:color="auto"/>
        <w:left w:val="none" w:sz="0" w:space="0" w:color="auto"/>
        <w:bottom w:val="none" w:sz="0" w:space="0" w:color="auto"/>
        <w:right w:val="none" w:sz="0" w:space="0" w:color="auto"/>
      </w:divBdr>
    </w:div>
    <w:div w:id="727336587">
      <w:bodyDiv w:val="1"/>
      <w:marLeft w:val="0"/>
      <w:marRight w:val="0"/>
      <w:marTop w:val="0"/>
      <w:marBottom w:val="0"/>
      <w:divBdr>
        <w:top w:val="none" w:sz="0" w:space="0" w:color="auto"/>
        <w:left w:val="none" w:sz="0" w:space="0" w:color="auto"/>
        <w:bottom w:val="none" w:sz="0" w:space="0" w:color="auto"/>
        <w:right w:val="none" w:sz="0" w:space="0" w:color="auto"/>
      </w:divBdr>
    </w:div>
    <w:div w:id="728071827">
      <w:bodyDiv w:val="1"/>
      <w:marLeft w:val="0"/>
      <w:marRight w:val="0"/>
      <w:marTop w:val="0"/>
      <w:marBottom w:val="0"/>
      <w:divBdr>
        <w:top w:val="none" w:sz="0" w:space="0" w:color="auto"/>
        <w:left w:val="none" w:sz="0" w:space="0" w:color="auto"/>
        <w:bottom w:val="none" w:sz="0" w:space="0" w:color="auto"/>
        <w:right w:val="none" w:sz="0" w:space="0" w:color="auto"/>
      </w:divBdr>
    </w:div>
    <w:div w:id="728500438">
      <w:bodyDiv w:val="1"/>
      <w:marLeft w:val="0"/>
      <w:marRight w:val="0"/>
      <w:marTop w:val="0"/>
      <w:marBottom w:val="0"/>
      <w:divBdr>
        <w:top w:val="none" w:sz="0" w:space="0" w:color="auto"/>
        <w:left w:val="none" w:sz="0" w:space="0" w:color="auto"/>
        <w:bottom w:val="none" w:sz="0" w:space="0" w:color="auto"/>
        <w:right w:val="none" w:sz="0" w:space="0" w:color="auto"/>
      </w:divBdr>
    </w:div>
    <w:div w:id="730348797">
      <w:bodyDiv w:val="1"/>
      <w:marLeft w:val="0"/>
      <w:marRight w:val="0"/>
      <w:marTop w:val="0"/>
      <w:marBottom w:val="0"/>
      <w:divBdr>
        <w:top w:val="none" w:sz="0" w:space="0" w:color="auto"/>
        <w:left w:val="none" w:sz="0" w:space="0" w:color="auto"/>
        <w:bottom w:val="none" w:sz="0" w:space="0" w:color="auto"/>
        <w:right w:val="none" w:sz="0" w:space="0" w:color="auto"/>
      </w:divBdr>
    </w:div>
    <w:div w:id="742026001">
      <w:bodyDiv w:val="1"/>
      <w:marLeft w:val="0"/>
      <w:marRight w:val="0"/>
      <w:marTop w:val="0"/>
      <w:marBottom w:val="0"/>
      <w:divBdr>
        <w:top w:val="none" w:sz="0" w:space="0" w:color="auto"/>
        <w:left w:val="none" w:sz="0" w:space="0" w:color="auto"/>
        <w:bottom w:val="none" w:sz="0" w:space="0" w:color="auto"/>
        <w:right w:val="none" w:sz="0" w:space="0" w:color="auto"/>
      </w:divBdr>
    </w:div>
    <w:div w:id="748814337">
      <w:bodyDiv w:val="1"/>
      <w:marLeft w:val="0"/>
      <w:marRight w:val="0"/>
      <w:marTop w:val="0"/>
      <w:marBottom w:val="0"/>
      <w:divBdr>
        <w:top w:val="none" w:sz="0" w:space="0" w:color="auto"/>
        <w:left w:val="none" w:sz="0" w:space="0" w:color="auto"/>
        <w:bottom w:val="none" w:sz="0" w:space="0" w:color="auto"/>
        <w:right w:val="none" w:sz="0" w:space="0" w:color="auto"/>
      </w:divBdr>
    </w:div>
    <w:div w:id="762184427">
      <w:bodyDiv w:val="1"/>
      <w:marLeft w:val="0"/>
      <w:marRight w:val="0"/>
      <w:marTop w:val="0"/>
      <w:marBottom w:val="0"/>
      <w:divBdr>
        <w:top w:val="none" w:sz="0" w:space="0" w:color="auto"/>
        <w:left w:val="none" w:sz="0" w:space="0" w:color="auto"/>
        <w:bottom w:val="none" w:sz="0" w:space="0" w:color="auto"/>
        <w:right w:val="none" w:sz="0" w:space="0" w:color="auto"/>
      </w:divBdr>
    </w:div>
    <w:div w:id="770516425">
      <w:bodyDiv w:val="1"/>
      <w:marLeft w:val="0"/>
      <w:marRight w:val="0"/>
      <w:marTop w:val="0"/>
      <w:marBottom w:val="0"/>
      <w:divBdr>
        <w:top w:val="none" w:sz="0" w:space="0" w:color="auto"/>
        <w:left w:val="none" w:sz="0" w:space="0" w:color="auto"/>
        <w:bottom w:val="none" w:sz="0" w:space="0" w:color="auto"/>
        <w:right w:val="none" w:sz="0" w:space="0" w:color="auto"/>
      </w:divBdr>
    </w:div>
    <w:div w:id="771626229">
      <w:bodyDiv w:val="1"/>
      <w:marLeft w:val="0"/>
      <w:marRight w:val="0"/>
      <w:marTop w:val="0"/>
      <w:marBottom w:val="0"/>
      <w:divBdr>
        <w:top w:val="none" w:sz="0" w:space="0" w:color="auto"/>
        <w:left w:val="none" w:sz="0" w:space="0" w:color="auto"/>
        <w:bottom w:val="none" w:sz="0" w:space="0" w:color="auto"/>
        <w:right w:val="none" w:sz="0" w:space="0" w:color="auto"/>
      </w:divBdr>
    </w:div>
    <w:div w:id="771823060">
      <w:bodyDiv w:val="1"/>
      <w:marLeft w:val="0"/>
      <w:marRight w:val="0"/>
      <w:marTop w:val="0"/>
      <w:marBottom w:val="0"/>
      <w:divBdr>
        <w:top w:val="none" w:sz="0" w:space="0" w:color="auto"/>
        <w:left w:val="none" w:sz="0" w:space="0" w:color="auto"/>
        <w:bottom w:val="none" w:sz="0" w:space="0" w:color="auto"/>
        <w:right w:val="none" w:sz="0" w:space="0" w:color="auto"/>
      </w:divBdr>
    </w:div>
    <w:div w:id="772633732">
      <w:bodyDiv w:val="1"/>
      <w:marLeft w:val="0"/>
      <w:marRight w:val="0"/>
      <w:marTop w:val="0"/>
      <w:marBottom w:val="0"/>
      <w:divBdr>
        <w:top w:val="none" w:sz="0" w:space="0" w:color="auto"/>
        <w:left w:val="none" w:sz="0" w:space="0" w:color="auto"/>
        <w:bottom w:val="none" w:sz="0" w:space="0" w:color="auto"/>
        <w:right w:val="none" w:sz="0" w:space="0" w:color="auto"/>
      </w:divBdr>
    </w:div>
    <w:div w:id="776366121">
      <w:bodyDiv w:val="1"/>
      <w:marLeft w:val="0"/>
      <w:marRight w:val="0"/>
      <w:marTop w:val="0"/>
      <w:marBottom w:val="0"/>
      <w:divBdr>
        <w:top w:val="none" w:sz="0" w:space="0" w:color="auto"/>
        <w:left w:val="none" w:sz="0" w:space="0" w:color="auto"/>
        <w:bottom w:val="none" w:sz="0" w:space="0" w:color="auto"/>
        <w:right w:val="none" w:sz="0" w:space="0" w:color="auto"/>
      </w:divBdr>
    </w:div>
    <w:div w:id="777720479">
      <w:bodyDiv w:val="1"/>
      <w:marLeft w:val="0"/>
      <w:marRight w:val="0"/>
      <w:marTop w:val="0"/>
      <w:marBottom w:val="0"/>
      <w:divBdr>
        <w:top w:val="none" w:sz="0" w:space="0" w:color="auto"/>
        <w:left w:val="none" w:sz="0" w:space="0" w:color="auto"/>
        <w:bottom w:val="none" w:sz="0" w:space="0" w:color="auto"/>
        <w:right w:val="none" w:sz="0" w:space="0" w:color="auto"/>
      </w:divBdr>
    </w:div>
    <w:div w:id="780224201">
      <w:bodyDiv w:val="1"/>
      <w:marLeft w:val="0"/>
      <w:marRight w:val="0"/>
      <w:marTop w:val="0"/>
      <w:marBottom w:val="0"/>
      <w:divBdr>
        <w:top w:val="none" w:sz="0" w:space="0" w:color="auto"/>
        <w:left w:val="none" w:sz="0" w:space="0" w:color="auto"/>
        <w:bottom w:val="none" w:sz="0" w:space="0" w:color="auto"/>
        <w:right w:val="none" w:sz="0" w:space="0" w:color="auto"/>
      </w:divBdr>
    </w:div>
    <w:div w:id="782460975">
      <w:bodyDiv w:val="1"/>
      <w:marLeft w:val="0"/>
      <w:marRight w:val="0"/>
      <w:marTop w:val="0"/>
      <w:marBottom w:val="0"/>
      <w:divBdr>
        <w:top w:val="none" w:sz="0" w:space="0" w:color="auto"/>
        <w:left w:val="none" w:sz="0" w:space="0" w:color="auto"/>
        <w:bottom w:val="none" w:sz="0" w:space="0" w:color="auto"/>
        <w:right w:val="none" w:sz="0" w:space="0" w:color="auto"/>
      </w:divBdr>
    </w:div>
    <w:div w:id="782572558">
      <w:bodyDiv w:val="1"/>
      <w:marLeft w:val="0"/>
      <w:marRight w:val="0"/>
      <w:marTop w:val="0"/>
      <w:marBottom w:val="0"/>
      <w:divBdr>
        <w:top w:val="none" w:sz="0" w:space="0" w:color="auto"/>
        <w:left w:val="none" w:sz="0" w:space="0" w:color="auto"/>
        <w:bottom w:val="none" w:sz="0" w:space="0" w:color="auto"/>
        <w:right w:val="none" w:sz="0" w:space="0" w:color="auto"/>
      </w:divBdr>
    </w:div>
    <w:div w:id="794564047">
      <w:bodyDiv w:val="1"/>
      <w:marLeft w:val="0"/>
      <w:marRight w:val="0"/>
      <w:marTop w:val="0"/>
      <w:marBottom w:val="0"/>
      <w:divBdr>
        <w:top w:val="none" w:sz="0" w:space="0" w:color="auto"/>
        <w:left w:val="none" w:sz="0" w:space="0" w:color="auto"/>
        <w:bottom w:val="none" w:sz="0" w:space="0" w:color="auto"/>
        <w:right w:val="none" w:sz="0" w:space="0" w:color="auto"/>
      </w:divBdr>
    </w:div>
    <w:div w:id="806975736">
      <w:bodyDiv w:val="1"/>
      <w:marLeft w:val="0"/>
      <w:marRight w:val="0"/>
      <w:marTop w:val="0"/>
      <w:marBottom w:val="0"/>
      <w:divBdr>
        <w:top w:val="none" w:sz="0" w:space="0" w:color="auto"/>
        <w:left w:val="none" w:sz="0" w:space="0" w:color="auto"/>
        <w:bottom w:val="none" w:sz="0" w:space="0" w:color="auto"/>
        <w:right w:val="none" w:sz="0" w:space="0" w:color="auto"/>
      </w:divBdr>
    </w:div>
    <w:div w:id="811368236">
      <w:bodyDiv w:val="1"/>
      <w:marLeft w:val="0"/>
      <w:marRight w:val="0"/>
      <w:marTop w:val="0"/>
      <w:marBottom w:val="0"/>
      <w:divBdr>
        <w:top w:val="none" w:sz="0" w:space="0" w:color="auto"/>
        <w:left w:val="none" w:sz="0" w:space="0" w:color="auto"/>
        <w:bottom w:val="none" w:sz="0" w:space="0" w:color="auto"/>
        <w:right w:val="none" w:sz="0" w:space="0" w:color="auto"/>
      </w:divBdr>
    </w:div>
    <w:div w:id="816841557">
      <w:bodyDiv w:val="1"/>
      <w:marLeft w:val="0"/>
      <w:marRight w:val="0"/>
      <w:marTop w:val="0"/>
      <w:marBottom w:val="0"/>
      <w:divBdr>
        <w:top w:val="none" w:sz="0" w:space="0" w:color="auto"/>
        <w:left w:val="none" w:sz="0" w:space="0" w:color="auto"/>
        <w:bottom w:val="none" w:sz="0" w:space="0" w:color="auto"/>
        <w:right w:val="none" w:sz="0" w:space="0" w:color="auto"/>
      </w:divBdr>
    </w:div>
    <w:div w:id="818692897">
      <w:bodyDiv w:val="1"/>
      <w:marLeft w:val="0"/>
      <w:marRight w:val="0"/>
      <w:marTop w:val="0"/>
      <w:marBottom w:val="0"/>
      <w:divBdr>
        <w:top w:val="none" w:sz="0" w:space="0" w:color="auto"/>
        <w:left w:val="none" w:sz="0" w:space="0" w:color="auto"/>
        <w:bottom w:val="none" w:sz="0" w:space="0" w:color="auto"/>
        <w:right w:val="none" w:sz="0" w:space="0" w:color="auto"/>
      </w:divBdr>
    </w:div>
    <w:div w:id="821121838">
      <w:bodyDiv w:val="1"/>
      <w:marLeft w:val="0"/>
      <w:marRight w:val="0"/>
      <w:marTop w:val="0"/>
      <w:marBottom w:val="0"/>
      <w:divBdr>
        <w:top w:val="none" w:sz="0" w:space="0" w:color="auto"/>
        <w:left w:val="none" w:sz="0" w:space="0" w:color="auto"/>
        <w:bottom w:val="none" w:sz="0" w:space="0" w:color="auto"/>
        <w:right w:val="none" w:sz="0" w:space="0" w:color="auto"/>
      </w:divBdr>
    </w:div>
    <w:div w:id="828327911">
      <w:bodyDiv w:val="1"/>
      <w:marLeft w:val="0"/>
      <w:marRight w:val="0"/>
      <w:marTop w:val="0"/>
      <w:marBottom w:val="0"/>
      <w:divBdr>
        <w:top w:val="none" w:sz="0" w:space="0" w:color="auto"/>
        <w:left w:val="none" w:sz="0" w:space="0" w:color="auto"/>
        <w:bottom w:val="none" w:sz="0" w:space="0" w:color="auto"/>
        <w:right w:val="none" w:sz="0" w:space="0" w:color="auto"/>
      </w:divBdr>
    </w:div>
    <w:div w:id="836655940">
      <w:bodyDiv w:val="1"/>
      <w:marLeft w:val="0"/>
      <w:marRight w:val="0"/>
      <w:marTop w:val="0"/>
      <w:marBottom w:val="0"/>
      <w:divBdr>
        <w:top w:val="none" w:sz="0" w:space="0" w:color="auto"/>
        <w:left w:val="none" w:sz="0" w:space="0" w:color="auto"/>
        <w:bottom w:val="none" w:sz="0" w:space="0" w:color="auto"/>
        <w:right w:val="none" w:sz="0" w:space="0" w:color="auto"/>
      </w:divBdr>
    </w:div>
    <w:div w:id="840773121">
      <w:bodyDiv w:val="1"/>
      <w:marLeft w:val="0"/>
      <w:marRight w:val="0"/>
      <w:marTop w:val="0"/>
      <w:marBottom w:val="0"/>
      <w:divBdr>
        <w:top w:val="none" w:sz="0" w:space="0" w:color="auto"/>
        <w:left w:val="none" w:sz="0" w:space="0" w:color="auto"/>
        <w:bottom w:val="none" w:sz="0" w:space="0" w:color="auto"/>
        <w:right w:val="none" w:sz="0" w:space="0" w:color="auto"/>
      </w:divBdr>
    </w:div>
    <w:div w:id="848058374">
      <w:bodyDiv w:val="1"/>
      <w:marLeft w:val="0"/>
      <w:marRight w:val="0"/>
      <w:marTop w:val="0"/>
      <w:marBottom w:val="0"/>
      <w:divBdr>
        <w:top w:val="none" w:sz="0" w:space="0" w:color="auto"/>
        <w:left w:val="none" w:sz="0" w:space="0" w:color="auto"/>
        <w:bottom w:val="none" w:sz="0" w:space="0" w:color="auto"/>
        <w:right w:val="none" w:sz="0" w:space="0" w:color="auto"/>
      </w:divBdr>
    </w:div>
    <w:div w:id="854853662">
      <w:bodyDiv w:val="1"/>
      <w:marLeft w:val="0"/>
      <w:marRight w:val="0"/>
      <w:marTop w:val="0"/>
      <w:marBottom w:val="0"/>
      <w:divBdr>
        <w:top w:val="none" w:sz="0" w:space="0" w:color="auto"/>
        <w:left w:val="none" w:sz="0" w:space="0" w:color="auto"/>
        <w:bottom w:val="none" w:sz="0" w:space="0" w:color="auto"/>
        <w:right w:val="none" w:sz="0" w:space="0" w:color="auto"/>
      </w:divBdr>
    </w:div>
    <w:div w:id="862866803">
      <w:bodyDiv w:val="1"/>
      <w:marLeft w:val="0"/>
      <w:marRight w:val="0"/>
      <w:marTop w:val="0"/>
      <w:marBottom w:val="0"/>
      <w:divBdr>
        <w:top w:val="none" w:sz="0" w:space="0" w:color="auto"/>
        <w:left w:val="none" w:sz="0" w:space="0" w:color="auto"/>
        <w:bottom w:val="none" w:sz="0" w:space="0" w:color="auto"/>
        <w:right w:val="none" w:sz="0" w:space="0" w:color="auto"/>
      </w:divBdr>
    </w:div>
    <w:div w:id="868876603">
      <w:bodyDiv w:val="1"/>
      <w:marLeft w:val="0"/>
      <w:marRight w:val="0"/>
      <w:marTop w:val="0"/>
      <w:marBottom w:val="0"/>
      <w:divBdr>
        <w:top w:val="none" w:sz="0" w:space="0" w:color="auto"/>
        <w:left w:val="none" w:sz="0" w:space="0" w:color="auto"/>
        <w:bottom w:val="none" w:sz="0" w:space="0" w:color="auto"/>
        <w:right w:val="none" w:sz="0" w:space="0" w:color="auto"/>
      </w:divBdr>
    </w:div>
    <w:div w:id="870874343">
      <w:bodyDiv w:val="1"/>
      <w:marLeft w:val="0"/>
      <w:marRight w:val="0"/>
      <w:marTop w:val="0"/>
      <w:marBottom w:val="0"/>
      <w:divBdr>
        <w:top w:val="none" w:sz="0" w:space="0" w:color="auto"/>
        <w:left w:val="none" w:sz="0" w:space="0" w:color="auto"/>
        <w:bottom w:val="none" w:sz="0" w:space="0" w:color="auto"/>
        <w:right w:val="none" w:sz="0" w:space="0" w:color="auto"/>
      </w:divBdr>
    </w:div>
    <w:div w:id="872766117">
      <w:bodyDiv w:val="1"/>
      <w:marLeft w:val="0"/>
      <w:marRight w:val="0"/>
      <w:marTop w:val="0"/>
      <w:marBottom w:val="0"/>
      <w:divBdr>
        <w:top w:val="none" w:sz="0" w:space="0" w:color="auto"/>
        <w:left w:val="none" w:sz="0" w:space="0" w:color="auto"/>
        <w:bottom w:val="none" w:sz="0" w:space="0" w:color="auto"/>
        <w:right w:val="none" w:sz="0" w:space="0" w:color="auto"/>
      </w:divBdr>
    </w:div>
    <w:div w:id="875703535">
      <w:bodyDiv w:val="1"/>
      <w:marLeft w:val="0"/>
      <w:marRight w:val="0"/>
      <w:marTop w:val="0"/>
      <w:marBottom w:val="0"/>
      <w:divBdr>
        <w:top w:val="none" w:sz="0" w:space="0" w:color="auto"/>
        <w:left w:val="none" w:sz="0" w:space="0" w:color="auto"/>
        <w:bottom w:val="none" w:sz="0" w:space="0" w:color="auto"/>
        <w:right w:val="none" w:sz="0" w:space="0" w:color="auto"/>
      </w:divBdr>
    </w:div>
    <w:div w:id="881789198">
      <w:bodyDiv w:val="1"/>
      <w:marLeft w:val="0"/>
      <w:marRight w:val="0"/>
      <w:marTop w:val="0"/>
      <w:marBottom w:val="0"/>
      <w:divBdr>
        <w:top w:val="none" w:sz="0" w:space="0" w:color="auto"/>
        <w:left w:val="none" w:sz="0" w:space="0" w:color="auto"/>
        <w:bottom w:val="none" w:sz="0" w:space="0" w:color="auto"/>
        <w:right w:val="none" w:sz="0" w:space="0" w:color="auto"/>
      </w:divBdr>
    </w:div>
    <w:div w:id="889152139">
      <w:bodyDiv w:val="1"/>
      <w:marLeft w:val="0"/>
      <w:marRight w:val="0"/>
      <w:marTop w:val="0"/>
      <w:marBottom w:val="0"/>
      <w:divBdr>
        <w:top w:val="none" w:sz="0" w:space="0" w:color="auto"/>
        <w:left w:val="none" w:sz="0" w:space="0" w:color="auto"/>
        <w:bottom w:val="none" w:sz="0" w:space="0" w:color="auto"/>
        <w:right w:val="none" w:sz="0" w:space="0" w:color="auto"/>
      </w:divBdr>
    </w:div>
    <w:div w:id="892888594">
      <w:bodyDiv w:val="1"/>
      <w:marLeft w:val="0"/>
      <w:marRight w:val="0"/>
      <w:marTop w:val="0"/>
      <w:marBottom w:val="0"/>
      <w:divBdr>
        <w:top w:val="none" w:sz="0" w:space="0" w:color="auto"/>
        <w:left w:val="none" w:sz="0" w:space="0" w:color="auto"/>
        <w:bottom w:val="none" w:sz="0" w:space="0" w:color="auto"/>
        <w:right w:val="none" w:sz="0" w:space="0" w:color="auto"/>
      </w:divBdr>
    </w:div>
    <w:div w:id="895164423">
      <w:bodyDiv w:val="1"/>
      <w:marLeft w:val="0"/>
      <w:marRight w:val="0"/>
      <w:marTop w:val="0"/>
      <w:marBottom w:val="0"/>
      <w:divBdr>
        <w:top w:val="none" w:sz="0" w:space="0" w:color="auto"/>
        <w:left w:val="none" w:sz="0" w:space="0" w:color="auto"/>
        <w:bottom w:val="none" w:sz="0" w:space="0" w:color="auto"/>
        <w:right w:val="none" w:sz="0" w:space="0" w:color="auto"/>
      </w:divBdr>
    </w:div>
    <w:div w:id="898436910">
      <w:bodyDiv w:val="1"/>
      <w:marLeft w:val="0"/>
      <w:marRight w:val="0"/>
      <w:marTop w:val="0"/>
      <w:marBottom w:val="0"/>
      <w:divBdr>
        <w:top w:val="none" w:sz="0" w:space="0" w:color="auto"/>
        <w:left w:val="none" w:sz="0" w:space="0" w:color="auto"/>
        <w:bottom w:val="none" w:sz="0" w:space="0" w:color="auto"/>
        <w:right w:val="none" w:sz="0" w:space="0" w:color="auto"/>
      </w:divBdr>
    </w:div>
    <w:div w:id="898441563">
      <w:bodyDiv w:val="1"/>
      <w:marLeft w:val="0"/>
      <w:marRight w:val="0"/>
      <w:marTop w:val="0"/>
      <w:marBottom w:val="0"/>
      <w:divBdr>
        <w:top w:val="none" w:sz="0" w:space="0" w:color="auto"/>
        <w:left w:val="none" w:sz="0" w:space="0" w:color="auto"/>
        <w:bottom w:val="none" w:sz="0" w:space="0" w:color="auto"/>
        <w:right w:val="none" w:sz="0" w:space="0" w:color="auto"/>
      </w:divBdr>
      <w:divsChild>
        <w:div w:id="1817913949">
          <w:marLeft w:val="0"/>
          <w:marRight w:val="0"/>
          <w:marTop w:val="0"/>
          <w:marBottom w:val="0"/>
          <w:divBdr>
            <w:top w:val="none" w:sz="0" w:space="0" w:color="auto"/>
            <w:left w:val="none" w:sz="0" w:space="0" w:color="auto"/>
            <w:bottom w:val="none" w:sz="0" w:space="0" w:color="auto"/>
            <w:right w:val="none" w:sz="0" w:space="0" w:color="auto"/>
          </w:divBdr>
          <w:divsChild>
            <w:div w:id="1770739374">
              <w:marLeft w:val="0"/>
              <w:marRight w:val="0"/>
              <w:marTop w:val="0"/>
              <w:marBottom w:val="0"/>
              <w:divBdr>
                <w:top w:val="none" w:sz="0" w:space="0" w:color="auto"/>
                <w:left w:val="none" w:sz="0" w:space="0" w:color="auto"/>
                <w:bottom w:val="none" w:sz="0" w:space="0" w:color="auto"/>
                <w:right w:val="none" w:sz="0" w:space="0" w:color="auto"/>
              </w:divBdr>
              <w:divsChild>
                <w:div w:id="676660974">
                  <w:marLeft w:val="0"/>
                  <w:marRight w:val="0"/>
                  <w:marTop w:val="0"/>
                  <w:marBottom w:val="0"/>
                  <w:divBdr>
                    <w:top w:val="none" w:sz="0" w:space="0" w:color="auto"/>
                    <w:left w:val="none" w:sz="0" w:space="0" w:color="auto"/>
                    <w:bottom w:val="none" w:sz="0" w:space="0" w:color="auto"/>
                    <w:right w:val="none" w:sz="0" w:space="0" w:color="auto"/>
                  </w:divBdr>
                  <w:divsChild>
                    <w:div w:id="267396166">
                      <w:marLeft w:val="0"/>
                      <w:marRight w:val="0"/>
                      <w:marTop w:val="0"/>
                      <w:marBottom w:val="0"/>
                      <w:divBdr>
                        <w:top w:val="none" w:sz="0" w:space="0" w:color="auto"/>
                        <w:left w:val="none" w:sz="0" w:space="0" w:color="auto"/>
                        <w:bottom w:val="none" w:sz="0" w:space="0" w:color="auto"/>
                        <w:right w:val="none" w:sz="0" w:space="0" w:color="auto"/>
                      </w:divBdr>
                      <w:divsChild>
                        <w:div w:id="1843814462">
                          <w:marLeft w:val="0"/>
                          <w:marRight w:val="0"/>
                          <w:marTop w:val="300"/>
                          <w:marBottom w:val="0"/>
                          <w:divBdr>
                            <w:top w:val="none" w:sz="0" w:space="0" w:color="auto"/>
                            <w:left w:val="none" w:sz="0" w:space="0" w:color="auto"/>
                            <w:bottom w:val="none" w:sz="0" w:space="0" w:color="auto"/>
                            <w:right w:val="none" w:sz="0" w:space="0" w:color="auto"/>
                          </w:divBdr>
                          <w:divsChild>
                            <w:div w:id="117999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556012">
      <w:bodyDiv w:val="1"/>
      <w:marLeft w:val="0"/>
      <w:marRight w:val="0"/>
      <w:marTop w:val="0"/>
      <w:marBottom w:val="0"/>
      <w:divBdr>
        <w:top w:val="none" w:sz="0" w:space="0" w:color="auto"/>
        <w:left w:val="none" w:sz="0" w:space="0" w:color="auto"/>
        <w:bottom w:val="none" w:sz="0" w:space="0" w:color="auto"/>
        <w:right w:val="none" w:sz="0" w:space="0" w:color="auto"/>
      </w:divBdr>
    </w:div>
    <w:div w:id="906261912">
      <w:bodyDiv w:val="1"/>
      <w:marLeft w:val="0"/>
      <w:marRight w:val="0"/>
      <w:marTop w:val="0"/>
      <w:marBottom w:val="0"/>
      <w:divBdr>
        <w:top w:val="none" w:sz="0" w:space="0" w:color="auto"/>
        <w:left w:val="none" w:sz="0" w:space="0" w:color="auto"/>
        <w:bottom w:val="none" w:sz="0" w:space="0" w:color="auto"/>
        <w:right w:val="none" w:sz="0" w:space="0" w:color="auto"/>
      </w:divBdr>
    </w:div>
    <w:div w:id="908345483">
      <w:bodyDiv w:val="1"/>
      <w:marLeft w:val="0"/>
      <w:marRight w:val="0"/>
      <w:marTop w:val="0"/>
      <w:marBottom w:val="0"/>
      <w:divBdr>
        <w:top w:val="none" w:sz="0" w:space="0" w:color="auto"/>
        <w:left w:val="none" w:sz="0" w:space="0" w:color="auto"/>
        <w:bottom w:val="none" w:sz="0" w:space="0" w:color="auto"/>
        <w:right w:val="none" w:sz="0" w:space="0" w:color="auto"/>
      </w:divBdr>
    </w:div>
    <w:div w:id="912392393">
      <w:bodyDiv w:val="1"/>
      <w:marLeft w:val="0"/>
      <w:marRight w:val="0"/>
      <w:marTop w:val="0"/>
      <w:marBottom w:val="0"/>
      <w:divBdr>
        <w:top w:val="none" w:sz="0" w:space="0" w:color="auto"/>
        <w:left w:val="none" w:sz="0" w:space="0" w:color="auto"/>
        <w:bottom w:val="none" w:sz="0" w:space="0" w:color="auto"/>
        <w:right w:val="none" w:sz="0" w:space="0" w:color="auto"/>
      </w:divBdr>
      <w:divsChild>
        <w:div w:id="1265186134">
          <w:marLeft w:val="0"/>
          <w:marRight w:val="0"/>
          <w:marTop w:val="0"/>
          <w:marBottom w:val="0"/>
          <w:divBdr>
            <w:top w:val="none" w:sz="0" w:space="0" w:color="auto"/>
            <w:left w:val="none" w:sz="0" w:space="0" w:color="auto"/>
            <w:bottom w:val="none" w:sz="0" w:space="0" w:color="auto"/>
            <w:right w:val="none" w:sz="0" w:space="0" w:color="auto"/>
          </w:divBdr>
          <w:divsChild>
            <w:div w:id="78909883">
              <w:marLeft w:val="0"/>
              <w:marRight w:val="0"/>
              <w:marTop w:val="0"/>
              <w:marBottom w:val="0"/>
              <w:divBdr>
                <w:top w:val="none" w:sz="0" w:space="0" w:color="auto"/>
                <w:left w:val="none" w:sz="0" w:space="0" w:color="auto"/>
                <w:bottom w:val="none" w:sz="0" w:space="0" w:color="auto"/>
                <w:right w:val="none" w:sz="0" w:space="0" w:color="auto"/>
              </w:divBdr>
              <w:divsChild>
                <w:div w:id="1444693888">
                  <w:marLeft w:val="0"/>
                  <w:marRight w:val="0"/>
                  <w:marTop w:val="0"/>
                  <w:marBottom w:val="0"/>
                  <w:divBdr>
                    <w:top w:val="none" w:sz="0" w:space="0" w:color="auto"/>
                    <w:left w:val="none" w:sz="0" w:space="0" w:color="auto"/>
                    <w:bottom w:val="none" w:sz="0" w:space="0" w:color="auto"/>
                    <w:right w:val="none" w:sz="0" w:space="0" w:color="auto"/>
                  </w:divBdr>
                  <w:divsChild>
                    <w:div w:id="1467509973">
                      <w:marLeft w:val="0"/>
                      <w:marRight w:val="0"/>
                      <w:marTop w:val="0"/>
                      <w:marBottom w:val="0"/>
                      <w:divBdr>
                        <w:top w:val="none" w:sz="0" w:space="0" w:color="auto"/>
                        <w:left w:val="none" w:sz="0" w:space="0" w:color="auto"/>
                        <w:bottom w:val="none" w:sz="0" w:space="0" w:color="auto"/>
                        <w:right w:val="none" w:sz="0" w:space="0" w:color="auto"/>
                      </w:divBdr>
                      <w:divsChild>
                        <w:div w:id="1267689695">
                          <w:marLeft w:val="0"/>
                          <w:marRight w:val="0"/>
                          <w:marTop w:val="300"/>
                          <w:marBottom w:val="0"/>
                          <w:divBdr>
                            <w:top w:val="none" w:sz="0" w:space="0" w:color="auto"/>
                            <w:left w:val="none" w:sz="0" w:space="0" w:color="auto"/>
                            <w:bottom w:val="none" w:sz="0" w:space="0" w:color="auto"/>
                            <w:right w:val="none" w:sz="0" w:space="0" w:color="auto"/>
                          </w:divBdr>
                          <w:divsChild>
                            <w:div w:id="150590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9677515">
      <w:bodyDiv w:val="1"/>
      <w:marLeft w:val="0"/>
      <w:marRight w:val="0"/>
      <w:marTop w:val="0"/>
      <w:marBottom w:val="0"/>
      <w:divBdr>
        <w:top w:val="none" w:sz="0" w:space="0" w:color="auto"/>
        <w:left w:val="none" w:sz="0" w:space="0" w:color="auto"/>
        <w:bottom w:val="none" w:sz="0" w:space="0" w:color="auto"/>
        <w:right w:val="none" w:sz="0" w:space="0" w:color="auto"/>
      </w:divBdr>
    </w:div>
    <w:div w:id="924463376">
      <w:bodyDiv w:val="1"/>
      <w:marLeft w:val="0"/>
      <w:marRight w:val="0"/>
      <w:marTop w:val="0"/>
      <w:marBottom w:val="0"/>
      <w:divBdr>
        <w:top w:val="none" w:sz="0" w:space="0" w:color="auto"/>
        <w:left w:val="none" w:sz="0" w:space="0" w:color="auto"/>
        <w:bottom w:val="none" w:sz="0" w:space="0" w:color="auto"/>
        <w:right w:val="none" w:sz="0" w:space="0" w:color="auto"/>
      </w:divBdr>
    </w:div>
    <w:div w:id="928734588">
      <w:bodyDiv w:val="1"/>
      <w:marLeft w:val="0"/>
      <w:marRight w:val="0"/>
      <w:marTop w:val="0"/>
      <w:marBottom w:val="0"/>
      <w:divBdr>
        <w:top w:val="none" w:sz="0" w:space="0" w:color="auto"/>
        <w:left w:val="none" w:sz="0" w:space="0" w:color="auto"/>
        <w:bottom w:val="none" w:sz="0" w:space="0" w:color="auto"/>
        <w:right w:val="none" w:sz="0" w:space="0" w:color="auto"/>
      </w:divBdr>
    </w:div>
    <w:div w:id="929192335">
      <w:bodyDiv w:val="1"/>
      <w:marLeft w:val="0"/>
      <w:marRight w:val="0"/>
      <w:marTop w:val="0"/>
      <w:marBottom w:val="0"/>
      <w:divBdr>
        <w:top w:val="none" w:sz="0" w:space="0" w:color="auto"/>
        <w:left w:val="none" w:sz="0" w:space="0" w:color="auto"/>
        <w:bottom w:val="none" w:sz="0" w:space="0" w:color="auto"/>
        <w:right w:val="none" w:sz="0" w:space="0" w:color="auto"/>
      </w:divBdr>
    </w:div>
    <w:div w:id="932669218">
      <w:bodyDiv w:val="1"/>
      <w:marLeft w:val="0"/>
      <w:marRight w:val="0"/>
      <w:marTop w:val="0"/>
      <w:marBottom w:val="0"/>
      <w:divBdr>
        <w:top w:val="none" w:sz="0" w:space="0" w:color="auto"/>
        <w:left w:val="none" w:sz="0" w:space="0" w:color="auto"/>
        <w:bottom w:val="none" w:sz="0" w:space="0" w:color="auto"/>
        <w:right w:val="none" w:sz="0" w:space="0" w:color="auto"/>
      </w:divBdr>
    </w:div>
    <w:div w:id="932906186">
      <w:bodyDiv w:val="1"/>
      <w:marLeft w:val="0"/>
      <w:marRight w:val="0"/>
      <w:marTop w:val="0"/>
      <w:marBottom w:val="0"/>
      <w:divBdr>
        <w:top w:val="none" w:sz="0" w:space="0" w:color="auto"/>
        <w:left w:val="none" w:sz="0" w:space="0" w:color="auto"/>
        <w:bottom w:val="none" w:sz="0" w:space="0" w:color="auto"/>
        <w:right w:val="none" w:sz="0" w:space="0" w:color="auto"/>
      </w:divBdr>
    </w:div>
    <w:div w:id="943615117">
      <w:bodyDiv w:val="1"/>
      <w:marLeft w:val="0"/>
      <w:marRight w:val="0"/>
      <w:marTop w:val="0"/>
      <w:marBottom w:val="0"/>
      <w:divBdr>
        <w:top w:val="none" w:sz="0" w:space="0" w:color="auto"/>
        <w:left w:val="none" w:sz="0" w:space="0" w:color="auto"/>
        <w:bottom w:val="none" w:sz="0" w:space="0" w:color="auto"/>
        <w:right w:val="none" w:sz="0" w:space="0" w:color="auto"/>
      </w:divBdr>
    </w:div>
    <w:div w:id="945117053">
      <w:bodyDiv w:val="1"/>
      <w:marLeft w:val="0"/>
      <w:marRight w:val="0"/>
      <w:marTop w:val="0"/>
      <w:marBottom w:val="0"/>
      <w:divBdr>
        <w:top w:val="none" w:sz="0" w:space="0" w:color="auto"/>
        <w:left w:val="none" w:sz="0" w:space="0" w:color="auto"/>
        <w:bottom w:val="none" w:sz="0" w:space="0" w:color="auto"/>
        <w:right w:val="none" w:sz="0" w:space="0" w:color="auto"/>
      </w:divBdr>
    </w:div>
    <w:div w:id="950017381">
      <w:bodyDiv w:val="1"/>
      <w:marLeft w:val="0"/>
      <w:marRight w:val="0"/>
      <w:marTop w:val="0"/>
      <w:marBottom w:val="0"/>
      <w:divBdr>
        <w:top w:val="none" w:sz="0" w:space="0" w:color="auto"/>
        <w:left w:val="none" w:sz="0" w:space="0" w:color="auto"/>
        <w:bottom w:val="none" w:sz="0" w:space="0" w:color="auto"/>
        <w:right w:val="none" w:sz="0" w:space="0" w:color="auto"/>
      </w:divBdr>
    </w:div>
    <w:div w:id="951015111">
      <w:bodyDiv w:val="1"/>
      <w:marLeft w:val="0"/>
      <w:marRight w:val="0"/>
      <w:marTop w:val="0"/>
      <w:marBottom w:val="0"/>
      <w:divBdr>
        <w:top w:val="none" w:sz="0" w:space="0" w:color="auto"/>
        <w:left w:val="none" w:sz="0" w:space="0" w:color="auto"/>
        <w:bottom w:val="none" w:sz="0" w:space="0" w:color="auto"/>
        <w:right w:val="none" w:sz="0" w:space="0" w:color="auto"/>
      </w:divBdr>
    </w:div>
    <w:div w:id="956251639">
      <w:bodyDiv w:val="1"/>
      <w:marLeft w:val="0"/>
      <w:marRight w:val="0"/>
      <w:marTop w:val="0"/>
      <w:marBottom w:val="0"/>
      <w:divBdr>
        <w:top w:val="none" w:sz="0" w:space="0" w:color="auto"/>
        <w:left w:val="none" w:sz="0" w:space="0" w:color="auto"/>
        <w:bottom w:val="none" w:sz="0" w:space="0" w:color="auto"/>
        <w:right w:val="none" w:sz="0" w:space="0" w:color="auto"/>
      </w:divBdr>
    </w:div>
    <w:div w:id="956910755">
      <w:bodyDiv w:val="1"/>
      <w:marLeft w:val="0"/>
      <w:marRight w:val="0"/>
      <w:marTop w:val="0"/>
      <w:marBottom w:val="0"/>
      <w:divBdr>
        <w:top w:val="none" w:sz="0" w:space="0" w:color="auto"/>
        <w:left w:val="none" w:sz="0" w:space="0" w:color="auto"/>
        <w:bottom w:val="none" w:sz="0" w:space="0" w:color="auto"/>
        <w:right w:val="none" w:sz="0" w:space="0" w:color="auto"/>
      </w:divBdr>
    </w:div>
    <w:div w:id="961494810">
      <w:bodyDiv w:val="1"/>
      <w:marLeft w:val="0"/>
      <w:marRight w:val="0"/>
      <w:marTop w:val="0"/>
      <w:marBottom w:val="0"/>
      <w:divBdr>
        <w:top w:val="none" w:sz="0" w:space="0" w:color="auto"/>
        <w:left w:val="none" w:sz="0" w:space="0" w:color="auto"/>
        <w:bottom w:val="none" w:sz="0" w:space="0" w:color="auto"/>
        <w:right w:val="none" w:sz="0" w:space="0" w:color="auto"/>
      </w:divBdr>
    </w:div>
    <w:div w:id="961960562">
      <w:bodyDiv w:val="1"/>
      <w:marLeft w:val="0"/>
      <w:marRight w:val="0"/>
      <w:marTop w:val="0"/>
      <w:marBottom w:val="0"/>
      <w:divBdr>
        <w:top w:val="none" w:sz="0" w:space="0" w:color="auto"/>
        <w:left w:val="none" w:sz="0" w:space="0" w:color="auto"/>
        <w:bottom w:val="none" w:sz="0" w:space="0" w:color="auto"/>
        <w:right w:val="none" w:sz="0" w:space="0" w:color="auto"/>
      </w:divBdr>
    </w:div>
    <w:div w:id="962492325">
      <w:bodyDiv w:val="1"/>
      <w:marLeft w:val="0"/>
      <w:marRight w:val="0"/>
      <w:marTop w:val="0"/>
      <w:marBottom w:val="0"/>
      <w:divBdr>
        <w:top w:val="none" w:sz="0" w:space="0" w:color="auto"/>
        <w:left w:val="none" w:sz="0" w:space="0" w:color="auto"/>
        <w:bottom w:val="none" w:sz="0" w:space="0" w:color="auto"/>
        <w:right w:val="none" w:sz="0" w:space="0" w:color="auto"/>
      </w:divBdr>
    </w:div>
    <w:div w:id="966542411">
      <w:bodyDiv w:val="1"/>
      <w:marLeft w:val="0"/>
      <w:marRight w:val="0"/>
      <w:marTop w:val="0"/>
      <w:marBottom w:val="0"/>
      <w:divBdr>
        <w:top w:val="none" w:sz="0" w:space="0" w:color="auto"/>
        <w:left w:val="none" w:sz="0" w:space="0" w:color="auto"/>
        <w:bottom w:val="none" w:sz="0" w:space="0" w:color="auto"/>
        <w:right w:val="none" w:sz="0" w:space="0" w:color="auto"/>
      </w:divBdr>
    </w:div>
    <w:div w:id="969436906">
      <w:bodyDiv w:val="1"/>
      <w:marLeft w:val="0"/>
      <w:marRight w:val="0"/>
      <w:marTop w:val="0"/>
      <w:marBottom w:val="0"/>
      <w:divBdr>
        <w:top w:val="none" w:sz="0" w:space="0" w:color="auto"/>
        <w:left w:val="none" w:sz="0" w:space="0" w:color="auto"/>
        <w:bottom w:val="none" w:sz="0" w:space="0" w:color="auto"/>
        <w:right w:val="none" w:sz="0" w:space="0" w:color="auto"/>
      </w:divBdr>
    </w:div>
    <w:div w:id="977421987">
      <w:bodyDiv w:val="1"/>
      <w:marLeft w:val="0"/>
      <w:marRight w:val="0"/>
      <w:marTop w:val="0"/>
      <w:marBottom w:val="0"/>
      <w:divBdr>
        <w:top w:val="none" w:sz="0" w:space="0" w:color="auto"/>
        <w:left w:val="none" w:sz="0" w:space="0" w:color="auto"/>
        <w:bottom w:val="none" w:sz="0" w:space="0" w:color="auto"/>
        <w:right w:val="none" w:sz="0" w:space="0" w:color="auto"/>
      </w:divBdr>
    </w:div>
    <w:div w:id="985822128">
      <w:bodyDiv w:val="1"/>
      <w:marLeft w:val="0"/>
      <w:marRight w:val="0"/>
      <w:marTop w:val="0"/>
      <w:marBottom w:val="0"/>
      <w:divBdr>
        <w:top w:val="none" w:sz="0" w:space="0" w:color="auto"/>
        <w:left w:val="none" w:sz="0" w:space="0" w:color="auto"/>
        <w:bottom w:val="none" w:sz="0" w:space="0" w:color="auto"/>
        <w:right w:val="none" w:sz="0" w:space="0" w:color="auto"/>
      </w:divBdr>
      <w:divsChild>
        <w:div w:id="1573201445">
          <w:marLeft w:val="0"/>
          <w:marRight w:val="0"/>
          <w:marTop w:val="0"/>
          <w:marBottom w:val="0"/>
          <w:divBdr>
            <w:top w:val="none" w:sz="0" w:space="0" w:color="auto"/>
            <w:left w:val="none" w:sz="0" w:space="0" w:color="auto"/>
            <w:bottom w:val="none" w:sz="0" w:space="0" w:color="auto"/>
            <w:right w:val="none" w:sz="0" w:space="0" w:color="auto"/>
          </w:divBdr>
        </w:div>
        <w:div w:id="2084914359">
          <w:marLeft w:val="0"/>
          <w:marRight w:val="0"/>
          <w:marTop w:val="0"/>
          <w:marBottom w:val="0"/>
          <w:divBdr>
            <w:top w:val="none" w:sz="0" w:space="0" w:color="auto"/>
            <w:left w:val="none" w:sz="0" w:space="0" w:color="auto"/>
            <w:bottom w:val="none" w:sz="0" w:space="0" w:color="auto"/>
            <w:right w:val="none" w:sz="0" w:space="0" w:color="auto"/>
          </w:divBdr>
        </w:div>
      </w:divsChild>
    </w:div>
    <w:div w:id="995259591">
      <w:bodyDiv w:val="1"/>
      <w:marLeft w:val="0"/>
      <w:marRight w:val="0"/>
      <w:marTop w:val="0"/>
      <w:marBottom w:val="0"/>
      <w:divBdr>
        <w:top w:val="none" w:sz="0" w:space="0" w:color="auto"/>
        <w:left w:val="none" w:sz="0" w:space="0" w:color="auto"/>
        <w:bottom w:val="none" w:sz="0" w:space="0" w:color="auto"/>
        <w:right w:val="none" w:sz="0" w:space="0" w:color="auto"/>
      </w:divBdr>
    </w:div>
    <w:div w:id="1000502598">
      <w:bodyDiv w:val="1"/>
      <w:marLeft w:val="0"/>
      <w:marRight w:val="0"/>
      <w:marTop w:val="0"/>
      <w:marBottom w:val="0"/>
      <w:divBdr>
        <w:top w:val="none" w:sz="0" w:space="0" w:color="auto"/>
        <w:left w:val="none" w:sz="0" w:space="0" w:color="auto"/>
        <w:bottom w:val="none" w:sz="0" w:space="0" w:color="auto"/>
        <w:right w:val="none" w:sz="0" w:space="0" w:color="auto"/>
      </w:divBdr>
    </w:div>
    <w:div w:id="1002120187">
      <w:bodyDiv w:val="1"/>
      <w:marLeft w:val="0"/>
      <w:marRight w:val="0"/>
      <w:marTop w:val="0"/>
      <w:marBottom w:val="0"/>
      <w:divBdr>
        <w:top w:val="none" w:sz="0" w:space="0" w:color="auto"/>
        <w:left w:val="none" w:sz="0" w:space="0" w:color="auto"/>
        <w:bottom w:val="none" w:sz="0" w:space="0" w:color="auto"/>
        <w:right w:val="none" w:sz="0" w:space="0" w:color="auto"/>
      </w:divBdr>
    </w:div>
    <w:div w:id="1003045003">
      <w:bodyDiv w:val="1"/>
      <w:marLeft w:val="0"/>
      <w:marRight w:val="0"/>
      <w:marTop w:val="0"/>
      <w:marBottom w:val="0"/>
      <w:divBdr>
        <w:top w:val="none" w:sz="0" w:space="0" w:color="auto"/>
        <w:left w:val="none" w:sz="0" w:space="0" w:color="auto"/>
        <w:bottom w:val="none" w:sz="0" w:space="0" w:color="auto"/>
        <w:right w:val="none" w:sz="0" w:space="0" w:color="auto"/>
      </w:divBdr>
      <w:divsChild>
        <w:div w:id="846214956">
          <w:marLeft w:val="0"/>
          <w:marRight w:val="0"/>
          <w:marTop w:val="0"/>
          <w:marBottom w:val="0"/>
          <w:divBdr>
            <w:top w:val="none" w:sz="0" w:space="0" w:color="auto"/>
            <w:left w:val="none" w:sz="0" w:space="0" w:color="auto"/>
            <w:bottom w:val="none" w:sz="0" w:space="0" w:color="auto"/>
            <w:right w:val="none" w:sz="0" w:space="0" w:color="auto"/>
          </w:divBdr>
          <w:divsChild>
            <w:div w:id="497354677">
              <w:marLeft w:val="0"/>
              <w:marRight w:val="0"/>
              <w:marTop w:val="0"/>
              <w:marBottom w:val="0"/>
              <w:divBdr>
                <w:top w:val="none" w:sz="0" w:space="0" w:color="auto"/>
                <w:left w:val="none" w:sz="0" w:space="0" w:color="auto"/>
                <w:bottom w:val="none" w:sz="0" w:space="0" w:color="auto"/>
                <w:right w:val="none" w:sz="0" w:space="0" w:color="auto"/>
              </w:divBdr>
              <w:divsChild>
                <w:div w:id="1757634377">
                  <w:marLeft w:val="0"/>
                  <w:marRight w:val="0"/>
                  <w:marTop w:val="0"/>
                  <w:marBottom w:val="0"/>
                  <w:divBdr>
                    <w:top w:val="none" w:sz="0" w:space="0" w:color="auto"/>
                    <w:left w:val="none" w:sz="0" w:space="0" w:color="auto"/>
                    <w:bottom w:val="none" w:sz="0" w:space="0" w:color="auto"/>
                    <w:right w:val="none" w:sz="0" w:space="0" w:color="auto"/>
                  </w:divBdr>
                  <w:divsChild>
                    <w:div w:id="1321351555">
                      <w:marLeft w:val="0"/>
                      <w:marRight w:val="0"/>
                      <w:marTop w:val="0"/>
                      <w:marBottom w:val="0"/>
                      <w:divBdr>
                        <w:top w:val="none" w:sz="0" w:space="0" w:color="auto"/>
                        <w:left w:val="none" w:sz="0" w:space="0" w:color="auto"/>
                        <w:bottom w:val="none" w:sz="0" w:space="0" w:color="auto"/>
                        <w:right w:val="none" w:sz="0" w:space="0" w:color="auto"/>
                      </w:divBdr>
                      <w:divsChild>
                        <w:div w:id="1822698399">
                          <w:marLeft w:val="0"/>
                          <w:marRight w:val="0"/>
                          <w:marTop w:val="300"/>
                          <w:marBottom w:val="0"/>
                          <w:divBdr>
                            <w:top w:val="none" w:sz="0" w:space="0" w:color="auto"/>
                            <w:left w:val="none" w:sz="0" w:space="0" w:color="auto"/>
                            <w:bottom w:val="none" w:sz="0" w:space="0" w:color="auto"/>
                            <w:right w:val="none" w:sz="0" w:space="0" w:color="auto"/>
                          </w:divBdr>
                          <w:divsChild>
                            <w:div w:id="152937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438578">
      <w:bodyDiv w:val="1"/>
      <w:marLeft w:val="0"/>
      <w:marRight w:val="0"/>
      <w:marTop w:val="0"/>
      <w:marBottom w:val="0"/>
      <w:divBdr>
        <w:top w:val="none" w:sz="0" w:space="0" w:color="auto"/>
        <w:left w:val="none" w:sz="0" w:space="0" w:color="auto"/>
        <w:bottom w:val="none" w:sz="0" w:space="0" w:color="auto"/>
        <w:right w:val="none" w:sz="0" w:space="0" w:color="auto"/>
      </w:divBdr>
    </w:div>
    <w:div w:id="1011953562">
      <w:bodyDiv w:val="1"/>
      <w:marLeft w:val="0"/>
      <w:marRight w:val="0"/>
      <w:marTop w:val="0"/>
      <w:marBottom w:val="0"/>
      <w:divBdr>
        <w:top w:val="none" w:sz="0" w:space="0" w:color="auto"/>
        <w:left w:val="none" w:sz="0" w:space="0" w:color="auto"/>
        <w:bottom w:val="none" w:sz="0" w:space="0" w:color="auto"/>
        <w:right w:val="none" w:sz="0" w:space="0" w:color="auto"/>
      </w:divBdr>
    </w:div>
    <w:div w:id="1014186909">
      <w:bodyDiv w:val="1"/>
      <w:marLeft w:val="0"/>
      <w:marRight w:val="0"/>
      <w:marTop w:val="0"/>
      <w:marBottom w:val="0"/>
      <w:divBdr>
        <w:top w:val="none" w:sz="0" w:space="0" w:color="auto"/>
        <w:left w:val="none" w:sz="0" w:space="0" w:color="auto"/>
        <w:bottom w:val="none" w:sz="0" w:space="0" w:color="auto"/>
        <w:right w:val="none" w:sz="0" w:space="0" w:color="auto"/>
      </w:divBdr>
    </w:div>
    <w:div w:id="1020816865">
      <w:bodyDiv w:val="1"/>
      <w:marLeft w:val="0"/>
      <w:marRight w:val="0"/>
      <w:marTop w:val="0"/>
      <w:marBottom w:val="0"/>
      <w:divBdr>
        <w:top w:val="none" w:sz="0" w:space="0" w:color="auto"/>
        <w:left w:val="none" w:sz="0" w:space="0" w:color="auto"/>
        <w:bottom w:val="none" w:sz="0" w:space="0" w:color="auto"/>
        <w:right w:val="none" w:sz="0" w:space="0" w:color="auto"/>
      </w:divBdr>
      <w:divsChild>
        <w:div w:id="558050555">
          <w:marLeft w:val="0"/>
          <w:marRight w:val="0"/>
          <w:marTop w:val="0"/>
          <w:marBottom w:val="0"/>
          <w:divBdr>
            <w:top w:val="none" w:sz="0" w:space="0" w:color="auto"/>
            <w:left w:val="none" w:sz="0" w:space="0" w:color="auto"/>
            <w:bottom w:val="none" w:sz="0" w:space="0" w:color="auto"/>
            <w:right w:val="none" w:sz="0" w:space="0" w:color="auto"/>
          </w:divBdr>
          <w:divsChild>
            <w:div w:id="550728996">
              <w:marLeft w:val="0"/>
              <w:marRight w:val="0"/>
              <w:marTop w:val="0"/>
              <w:marBottom w:val="0"/>
              <w:divBdr>
                <w:top w:val="none" w:sz="0" w:space="0" w:color="auto"/>
                <w:left w:val="none" w:sz="0" w:space="0" w:color="auto"/>
                <w:bottom w:val="none" w:sz="0" w:space="0" w:color="auto"/>
                <w:right w:val="none" w:sz="0" w:space="0" w:color="auto"/>
              </w:divBdr>
              <w:divsChild>
                <w:div w:id="1136294998">
                  <w:marLeft w:val="0"/>
                  <w:marRight w:val="0"/>
                  <w:marTop w:val="0"/>
                  <w:marBottom w:val="0"/>
                  <w:divBdr>
                    <w:top w:val="none" w:sz="0" w:space="0" w:color="auto"/>
                    <w:left w:val="none" w:sz="0" w:space="0" w:color="auto"/>
                    <w:bottom w:val="none" w:sz="0" w:space="0" w:color="auto"/>
                    <w:right w:val="none" w:sz="0" w:space="0" w:color="auto"/>
                  </w:divBdr>
                  <w:divsChild>
                    <w:div w:id="1260141781">
                      <w:marLeft w:val="0"/>
                      <w:marRight w:val="0"/>
                      <w:marTop w:val="0"/>
                      <w:marBottom w:val="0"/>
                      <w:divBdr>
                        <w:top w:val="none" w:sz="0" w:space="0" w:color="auto"/>
                        <w:left w:val="none" w:sz="0" w:space="0" w:color="auto"/>
                        <w:bottom w:val="none" w:sz="0" w:space="0" w:color="auto"/>
                        <w:right w:val="none" w:sz="0" w:space="0" w:color="auto"/>
                      </w:divBdr>
                      <w:divsChild>
                        <w:div w:id="2074769135">
                          <w:marLeft w:val="0"/>
                          <w:marRight w:val="0"/>
                          <w:marTop w:val="0"/>
                          <w:marBottom w:val="0"/>
                          <w:divBdr>
                            <w:top w:val="none" w:sz="0" w:space="0" w:color="auto"/>
                            <w:left w:val="none" w:sz="0" w:space="0" w:color="auto"/>
                            <w:bottom w:val="none" w:sz="0" w:space="0" w:color="auto"/>
                            <w:right w:val="none" w:sz="0" w:space="0" w:color="auto"/>
                          </w:divBdr>
                          <w:divsChild>
                            <w:div w:id="4516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3089510">
      <w:bodyDiv w:val="1"/>
      <w:marLeft w:val="0"/>
      <w:marRight w:val="0"/>
      <w:marTop w:val="0"/>
      <w:marBottom w:val="0"/>
      <w:divBdr>
        <w:top w:val="none" w:sz="0" w:space="0" w:color="auto"/>
        <w:left w:val="none" w:sz="0" w:space="0" w:color="auto"/>
        <w:bottom w:val="none" w:sz="0" w:space="0" w:color="auto"/>
        <w:right w:val="none" w:sz="0" w:space="0" w:color="auto"/>
      </w:divBdr>
    </w:div>
    <w:div w:id="1031878283">
      <w:bodyDiv w:val="1"/>
      <w:marLeft w:val="0"/>
      <w:marRight w:val="0"/>
      <w:marTop w:val="0"/>
      <w:marBottom w:val="0"/>
      <w:divBdr>
        <w:top w:val="none" w:sz="0" w:space="0" w:color="auto"/>
        <w:left w:val="none" w:sz="0" w:space="0" w:color="auto"/>
        <w:bottom w:val="none" w:sz="0" w:space="0" w:color="auto"/>
        <w:right w:val="none" w:sz="0" w:space="0" w:color="auto"/>
      </w:divBdr>
    </w:div>
    <w:div w:id="1035424024">
      <w:bodyDiv w:val="1"/>
      <w:marLeft w:val="0"/>
      <w:marRight w:val="0"/>
      <w:marTop w:val="0"/>
      <w:marBottom w:val="0"/>
      <w:divBdr>
        <w:top w:val="none" w:sz="0" w:space="0" w:color="auto"/>
        <w:left w:val="none" w:sz="0" w:space="0" w:color="auto"/>
        <w:bottom w:val="none" w:sz="0" w:space="0" w:color="auto"/>
        <w:right w:val="none" w:sz="0" w:space="0" w:color="auto"/>
      </w:divBdr>
    </w:div>
    <w:div w:id="1047528613">
      <w:bodyDiv w:val="1"/>
      <w:marLeft w:val="0"/>
      <w:marRight w:val="0"/>
      <w:marTop w:val="0"/>
      <w:marBottom w:val="0"/>
      <w:divBdr>
        <w:top w:val="none" w:sz="0" w:space="0" w:color="auto"/>
        <w:left w:val="none" w:sz="0" w:space="0" w:color="auto"/>
        <w:bottom w:val="none" w:sz="0" w:space="0" w:color="auto"/>
        <w:right w:val="none" w:sz="0" w:space="0" w:color="auto"/>
      </w:divBdr>
    </w:div>
    <w:div w:id="1047607218">
      <w:bodyDiv w:val="1"/>
      <w:marLeft w:val="0"/>
      <w:marRight w:val="0"/>
      <w:marTop w:val="0"/>
      <w:marBottom w:val="0"/>
      <w:divBdr>
        <w:top w:val="none" w:sz="0" w:space="0" w:color="auto"/>
        <w:left w:val="none" w:sz="0" w:space="0" w:color="auto"/>
        <w:bottom w:val="none" w:sz="0" w:space="0" w:color="auto"/>
        <w:right w:val="none" w:sz="0" w:space="0" w:color="auto"/>
      </w:divBdr>
    </w:div>
    <w:div w:id="1052658157">
      <w:bodyDiv w:val="1"/>
      <w:marLeft w:val="0"/>
      <w:marRight w:val="0"/>
      <w:marTop w:val="0"/>
      <w:marBottom w:val="0"/>
      <w:divBdr>
        <w:top w:val="none" w:sz="0" w:space="0" w:color="auto"/>
        <w:left w:val="none" w:sz="0" w:space="0" w:color="auto"/>
        <w:bottom w:val="none" w:sz="0" w:space="0" w:color="auto"/>
        <w:right w:val="none" w:sz="0" w:space="0" w:color="auto"/>
      </w:divBdr>
    </w:div>
    <w:div w:id="1053769738">
      <w:bodyDiv w:val="1"/>
      <w:marLeft w:val="0"/>
      <w:marRight w:val="0"/>
      <w:marTop w:val="0"/>
      <w:marBottom w:val="0"/>
      <w:divBdr>
        <w:top w:val="none" w:sz="0" w:space="0" w:color="auto"/>
        <w:left w:val="none" w:sz="0" w:space="0" w:color="auto"/>
        <w:bottom w:val="none" w:sz="0" w:space="0" w:color="auto"/>
        <w:right w:val="none" w:sz="0" w:space="0" w:color="auto"/>
      </w:divBdr>
    </w:div>
    <w:div w:id="1066417768">
      <w:bodyDiv w:val="1"/>
      <w:marLeft w:val="0"/>
      <w:marRight w:val="0"/>
      <w:marTop w:val="0"/>
      <w:marBottom w:val="0"/>
      <w:divBdr>
        <w:top w:val="none" w:sz="0" w:space="0" w:color="auto"/>
        <w:left w:val="none" w:sz="0" w:space="0" w:color="auto"/>
        <w:bottom w:val="none" w:sz="0" w:space="0" w:color="auto"/>
        <w:right w:val="none" w:sz="0" w:space="0" w:color="auto"/>
      </w:divBdr>
    </w:div>
    <w:div w:id="1082263315">
      <w:bodyDiv w:val="1"/>
      <w:marLeft w:val="0"/>
      <w:marRight w:val="0"/>
      <w:marTop w:val="0"/>
      <w:marBottom w:val="0"/>
      <w:divBdr>
        <w:top w:val="none" w:sz="0" w:space="0" w:color="auto"/>
        <w:left w:val="none" w:sz="0" w:space="0" w:color="auto"/>
        <w:bottom w:val="none" w:sz="0" w:space="0" w:color="auto"/>
        <w:right w:val="none" w:sz="0" w:space="0" w:color="auto"/>
      </w:divBdr>
    </w:div>
    <w:div w:id="1083255089">
      <w:bodyDiv w:val="1"/>
      <w:marLeft w:val="0"/>
      <w:marRight w:val="0"/>
      <w:marTop w:val="0"/>
      <w:marBottom w:val="0"/>
      <w:divBdr>
        <w:top w:val="none" w:sz="0" w:space="0" w:color="auto"/>
        <w:left w:val="none" w:sz="0" w:space="0" w:color="auto"/>
        <w:bottom w:val="none" w:sz="0" w:space="0" w:color="auto"/>
        <w:right w:val="none" w:sz="0" w:space="0" w:color="auto"/>
      </w:divBdr>
    </w:div>
    <w:div w:id="1085151237">
      <w:bodyDiv w:val="1"/>
      <w:marLeft w:val="0"/>
      <w:marRight w:val="0"/>
      <w:marTop w:val="0"/>
      <w:marBottom w:val="0"/>
      <w:divBdr>
        <w:top w:val="none" w:sz="0" w:space="0" w:color="auto"/>
        <w:left w:val="none" w:sz="0" w:space="0" w:color="auto"/>
        <w:bottom w:val="none" w:sz="0" w:space="0" w:color="auto"/>
        <w:right w:val="none" w:sz="0" w:space="0" w:color="auto"/>
      </w:divBdr>
    </w:div>
    <w:div w:id="1098064806">
      <w:bodyDiv w:val="1"/>
      <w:marLeft w:val="0"/>
      <w:marRight w:val="0"/>
      <w:marTop w:val="0"/>
      <w:marBottom w:val="0"/>
      <w:divBdr>
        <w:top w:val="none" w:sz="0" w:space="0" w:color="auto"/>
        <w:left w:val="none" w:sz="0" w:space="0" w:color="auto"/>
        <w:bottom w:val="none" w:sz="0" w:space="0" w:color="auto"/>
        <w:right w:val="none" w:sz="0" w:space="0" w:color="auto"/>
      </w:divBdr>
    </w:div>
    <w:div w:id="1099525971">
      <w:bodyDiv w:val="1"/>
      <w:marLeft w:val="0"/>
      <w:marRight w:val="0"/>
      <w:marTop w:val="0"/>
      <w:marBottom w:val="0"/>
      <w:divBdr>
        <w:top w:val="none" w:sz="0" w:space="0" w:color="auto"/>
        <w:left w:val="none" w:sz="0" w:space="0" w:color="auto"/>
        <w:bottom w:val="none" w:sz="0" w:space="0" w:color="auto"/>
        <w:right w:val="none" w:sz="0" w:space="0" w:color="auto"/>
      </w:divBdr>
    </w:div>
    <w:div w:id="1100180331">
      <w:bodyDiv w:val="1"/>
      <w:marLeft w:val="0"/>
      <w:marRight w:val="0"/>
      <w:marTop w:val="0"/>
      <w:marBottom w:val="0"/>
      <w:divBdr>
        <w:top w:val="none" w:sz="0" w:space="0" w:color="auto"/>
        <w:left w:val="none" w:sz="0" w:space="0" w:color="auto"/>
        <w:bottom w:val="none" w:sz="0" w:space="0" w:color="auto"/>
        <w:right w:val="none" w:sz="0" w:space="0" w:color="auto"/>
      </w:divBdr>
    </w:div>
    <w:div w:id="1104694156">
      <w:bodyDiv w:val="1"/>
      <w:marLeft w:val="0"/>
      <w:marRight w:val="0"/>
      <w:marTop w:val="0"/>
      <w:marBottom w:val="0"/>
      <w:divBdr>
        <w:top w:val="none" w:sz="0" w:space="0" w:color="auto"/>
        <w:left w:val="none" w:sz="0" w:space="0" w:color="auto"/>
        <w:bottom w:val="none" w:sz="0" w:space="0" w:color="auto"/>
        <w:right w:val="none" w:sz="0" w:space="0" w:color="auto"/>
      </w:divBdr>
    </w:div>
    <w:div w:id="1111821468">
      <w:bodyDiv w:val="1"/>
      <w:marLeft w:val="0"/>
      <w:marRight w:val="0"/>
      <w:marTop w:val="0"/>
      <w:marBottom w:val="0"/>
      <w:divBdr>
        <w:top w:val="none" w:sz="0" w:space="0" w:color="auto"/>
        <w:left w:val="none" w:sz="0" w:space="0" w:color="auto"/>
        <w:bottom w:val="none" w:sz="0" w:space="0" w:color="auto"/>
        <w:right w:val="none" w:sz="0" w:space="0" w:color="auto"/>
      </w:divBdr>
    </w:div>
    <w:div w:id="1117061357">
      <w:bodyDiv w:val="1"/>
      <w:marLeft w:val="0"/>
      <w:marRight w:val="0"/>
      <w:marTop w:val="0"/>
      <w:marBottom w:val="0"/>
      <w:divBdr>
        <w:top w:val="none" w:sz="0" w:space="0" w:color="auto"/>
        <w:left w:val="none" w:sz="0" w:space="0" w:color="auto"/>
        <w:bottom w:val="none" w:sz="0" w:space="0" w:color="auto"/>
        <w:right w:val="none" w:sz="0" w:space="0" w:color="auto"/>
      </w:divBdr>
    </w:div>
    <w:div w:id="1117454928">
      <w:bodyDiv w:val="1"/>
      <w:marLeft w:val="0"/>
      <w:marRight w:val="0"/>
      <w:marTop w:val="0"/>
      <w:marBottom w:val="0"/>
      <w:divBdr>
        <w:top w:val="none" w:sz="0" w:space="0" w:color="auto"/>
        <w:left w:val="none" w:sz="0" w:space="0" w:color="auto"/>
        <w:bottom w:val="none" w:sz="0" w:space="0" w:color="auto"/>
        <w:right w:val="none" w:sz="0" w:space="0" w:color="auto"/>
      </w:divBdr>
    </w:div>
    <w:div w:id="1118260207">
      <w:bodyDiv w:val="1"/>
      <w:marLeft w:val="0"/>
      <w:marRight w:val="0"/>
      <w:marTop w:val="0"/>
      <w:marBottom w:val="0"/>
      <w:divBdr>
        <w:top w:val="none" w:sz="0" w:space="0" w:color="auto"/>
        <w:left w:val="none" w:sz="0" w:space="0" w:color="auto"/>
        <w:bottom w:val="none" w:sz="0" w:space="0" w:color="auto"/>
        <w:right w:val="none" w:sz="0" w:space="0" w:color="auto"/>
      </w:divBdr>
    </w:div>
    <w:div w:id="1118372595">
      <w:bodyDiv w:val="1"/>
      <w:marLeft w:val="0"/>
      <w:marRight w:val="0"/>
      <w:marTop w:val="0"/>
      <w:marBottom w:val="0"/>
      <w:divBdr>
        <w:top w:val="none" w:sz="0" w:space="0" w:color="auto"/>
        <w:left w:val="none" w:sz="0" w:space="0" w:color="auto"/>
        <w:bottom w:val="none" w:sz="0" w:space="0" w:color="auto"/>
        <w:right w:val="none" w:sz="0" w:space="0" w:color="auto"/>
      </w:divBdr>
    </w:div>
    <w:div w:id="1119951650">
      <w:bodyDiv w:val="1"/>
      <w:marLeft w:val="0"/>
      <w:marRight w:val="0"/>
      <w:marTop w:val="0"/>
      <w:marBottom w:val="0"/>
      <w:divBdr>
        <w:top w:val="none" w:sz="0" w:space="0" w:color="auto"/>
        <w:left w:val="none" w:sz="0" w:space="0" w:color="auto"/>
        <w:bottom w:val="none" w:sz="0" w:space="0" w:color="auto"/>
        <w:right w:val="none" w:sz="0" w:space="0" w:color="auto"/>
      </w:divBdr>
    </w:div>
    <w:div w:id="1123577284">
      <w:bodyDiv w:val="1"/>
      <w:marLeft w:val="0"/>
      <w:marRight w:val="0"/>
      <w:marTop w:val="0"/>
      <w:marBottom w:val="0"/>
      <w:divBdr>
        <w:top w:val="none" w:sz="0" w:space="0" w:color="auto"/>
        <w:left w:val="none" w:sz="0" w:space="0" w:color="auto"/>
        <w:bottom w:val="none" w:sz="0" w:space="0" w:color="auto"/>
        <w:right w:val="none" w:sz="0" w:space="0" w:color="auto"/>
      </w:divBdr>
    </w:div>
    <w:div w:id="1134054842">
      <w:bodyDiv w:val="1"/>
      <w:marLeft w:val="0"/>
      <w:marRight w:val="0"/>
      <w:marTop w:val="0"/>
      <w:marBottom w:val="0"/>
      <w:divBdr>
        <w:top w:val="none" w:sz="0" w:space="0" w:color="auto"/>
        <w:left w:val="none" w:sz="0" w:space="0" w:color="auto"/>
        <w:bottom w:val="none" w:sz="0" w:space="0" w:color="auto"/>
        <w:right w:val="none" w:sz="0" w:space="0" w:color="auto"/>
      </w:divBdr>
    </w:div>
    <w:div w:id="1134568028">
      <w:bodyDiv w:val="1"/>
      <w:marLeft w:val="0"/>
      <w:marRight w:val="0"/>
      <w:marTop w:val="0"/>
      <w:marBottom w:val="0"/>
      <w:divBdr>
        <w:top w:val="none" w:sz="0" w:space="0" w:color="auto"/>
        <w:left w:val="none" w:sz="0" w:space="0" w:color="auto"/>
        <w:bottom w:val="none" w:sz="0" w:space="0" w:color="auto"/>
        <w:right w:val="none" w:sz="0" w:space="0" w:color="auto"/>
      </w:divBdr>
    </w:div>
    <w:div w:id="1142843350">
      <w:bodyDiv w:val="1"/>
      <w:marLeft w:val="0"/>
      <w:marRight w:val="0"/>
      <w:marTop w:val="0"/>
      <w:marBottom w:val="0"/>
      <w:divBdr>
        <w:top w:val="none" w:sz="0" w:space="0" w:color="auto"/>
        <w:left w:val="none" w:sz="0" w:space="0" w:color="auto"/>
        <w:bottom w:val="none" w:sz="0" w:space="0" w:color="auto"/>
        <w:right w:val="none" w:sz="0" w:space="0" w:color="auto"/>
      </w:divBdr>
    </w:div>
    <w:div w:id="1145732184">
      <w:bodyDiv w:val="1"/>
      <w:marLeft w:val="0"/>
      <w:marRight w:val="0"/>
      <w:marTop w:val="0"/>
      <w:marBottom w:val="0"/>
      <w:divBdr>
        <w:top w:val="none" w:sz="0" w:space="0" w:color="auto"/>
        <w:left w:val="none" w:sz="0" w:space="0" w:color="auto"/>
        <w:bottom w:val="none" w:sz="0" w:space="0" w:color="auto"/>
        <w:right w:val="none" w:sz="0" w:space="0" w:color="auto"/>
      </w:divBdr>
    </w:div>
    <w:div w:id="1145780500">
      <w:bodyDiv w:val="1"/>
      <w:marLeft w:val="0"/>
      <w:marRight w:val="0"/>
      <w:marTop w:val="0"/>
      <w:marBottom w:val="0"/>
      <w:divBdr>
        <w:top w:val="none" w:sz="0" w:space="0" w:color="auto"/>
        <w:left w:val="none" w:sz="0" w:space="0" w:color="auto"/>
        <w:bottom w:val="none" w:sz="0" w:space="0" w:color="auto"/>
        <w:right w:val="none" w:sz="0" w:space="0" w:color="auto"/>
      </w:divBdr>
    </w:div>
    <w:div w:id="1148085735">
      <w:bodyDiv w:val="1"/>
      <w:marLeft w:val="0"/>
      <w:marRight w:val="0"/>
      <w:marTop w:val="0"/>
      <w:marBottom w:val="0"/>
      <w:divBdr>
        <w:top w:val="none" w:sz="0" w:space="0" w:color="auto"/>
        <w:left w:val="none" w:sz="0" w:space="0" w:color="auto"/>
        <w:bottom w:val="none" w:sz="0" w:space="0" w:color="auto"/>
        <w:right w:val="none" w:sz="0" w:space="0" w:color="auto"/>
      </w:divBdr>
    </w:div>
    <w:div w:id="1150362499">
      <w:bodyDiv w:val="1"/>
      <w:marLeft w:val="0"/>
      <w:marRight w:val="0"/>
      <w:marTop w:val="0"/>
      <w:marBottom w:val="0"/>
      <w:divBdr>
        <w:top w:val="none" w:sz="0" w:space="0" w:color="auto"/>
        <w:left w:val="none" w:sz="0" w:space="0" w:color="auto"/>
        <w:bottom w:val="none" w:sz="0" w:space="0" w:color="auto"/>
        <w:right w:val="none" w:sz="0" w:space="0" w:color="auto"/>
      </w:divBdr>
    </w:div>
    <w:div w:id="1158380454">
      <w:bodyDiv w:val="1"/>
      <w:marLeft w:val="0"/>
      <w:marRight w:val="0"/>
      <w:marTop w:val="0"/>
      <w:marBottom w:val="0"/>
      <w:divBdr>
        <w:top w:val="none" w:sz="0" w:space="0" w:color="auto"/>
        <w:left w:val="none" w:sz="0" w:space="0" w:color="auto"/>
        <w:bottom w:val="none" w:sz="0" w:space="0" w:color="auto"/>
        <w:right w:val="none" w:sz="0" w:space="0" w:color="auto"/>
      </w:divBdr>
    </w:div>
    <w:div w:id="1167137815">
      <w:bodyDiv w:val="1"/>
      <w:marLeft w:val="0"/>
      <w:marRight w:val="0"/>
      <w:marTop w:val="0"/>
      <w:marBottom w:val="0"/>
      <w:divBdr>
        <w:top w:val="none" w:sz="0" w:space="0" w:color="auto"/>
        <w:left w:val="none" w:sz="0" w:space="0" w:color="auto"/>
        <w:bottom w:val="none" w:sz="0" w:space="0" w:color="auto"/>
        <w:right w:val="none" w:sz="0" w:space="0" w:color="auto"/>
      </w:divBdr>
    </w:div>
    <w:div w:id="1168134661">
      <w:bodyDiv w:val="1"/>
      <w:marLeft w:val="0"/>
      <w:marRight w:val="0"/>
      <w:marTop w:val="0"/>
      <w:marBottom w:val="0"/>
      <w:divBdr>
        <w:top w:val="none" w:sz="0" w:space="0" w:color="auto"/>
        <w:left w:val="none" w:sz="0" w:space="0" w:color="auto"/>
        <w:bottom w:val="none" w:sz="0" w:space="0" w:color="auto"/>
        <w:right w:val="none" w:sz="0" w:space="0" w:color="auto"/>
      </w:divBdr>
    </w:div>
    <w:div w:id="1169562167">
      <w:bodyDiv w:val="1"/>
      <w:marLeft w:val="0"/>
      <w:marRight w:val="0"/>
      <w:marTop w:val="0"/>
      <w:marBottom w:val="0"/>
      <w:divBdr>
        <w:top w:val="none" w:sz="0" w:space="0" w:color="auto"/>
        <w:left w:val="none" w:sz="0" w:space="0" w:color="auto"/>
        <w:bottom w:val="none" w:sz="0" w:space="0" w:color="auto"/>
        <w:right w:val="none" w:sz="0" w:space="0" w:color="auto"/>
      </w:divBdr>
    </w:div>
    <w:div w:id="1172918191">
      <w:bodyDiv w:val="1"/>
      <w:marLeft w:val="0"/>
      <w:marRight w:val="0"/>
      <w:marTop w:val="0"/>
      <w:marBottom w:val="0"/>
      <w:divBdr>
        <w:top w:val="none" w:sz="0" w:space="0" w:color="auto"/>
        <w:left w:val="none" w:sz="0" w:space="0" w:color="auto"/>
        <w:bottom w:val="none" w:sz="0" w:space="0" w:color="auto"/>
        <w:right w:val="none" w:sz="0" w:space="0" w:color="auto"/>
      </w:divBdr>
    </w:div>
    <w:div w:id="1173105614">
      <w:bodyDiv w:val="1"/>
      <w:marLeft w:val="0"/>
      <w:marRight w:val="0"/>
      <w:marTop w:val="0"/>
      <w:marBottom w:val="0"/>
      <w:divBdr>
        <w:top w:val="none" w:sz="0" w:space="0" w:color="auto"/>
        <w:left w:val="none" w:sz="0" w:space="0" w:color="auto"/>
        <w:bottom w:val="none" w:sz="0" w:space="0" w:color="auto"/>
        <w:right w:val="none" w:sz="0" w:space="0" w:color="auto"/>
      </w:divBdr>
    </w:div>
    <w:div w:id="1174806580">
      <w:bodyDiv w:val="1"/>
      <w:marLeft w:val="0"/>
      <w:marRight w:val="0"/>
      <w:marTop w:val="0"/>
      <w:marBottom w:val="0"/>
      <w:divBdr>
        <w:top w:val="none" w:sz="0" w:space="0" w:color="auto"/>
        <w:left w:val="none" w:sz="0" w:space="0" w:color="auto"/>
        <w:bottom w:val="none" w:sz="0" w:space="0" w:color="auto"/>
        <w:right w:val="none" w:sz="0" w:space="0" w:color="auto"/>
      </w:divBdr>
    </w:div>
    <w:div w:id="1177235910">
      <w:bodyDiv w:val="1"/>
      <w:marLeft w:val="0"/>
      <w:marRight w:val="0"/>
      <w:marTop w:val="0"/>
      <w:marBottom w:val="0"/>
      <w:divBdr>
        <w:top w:val="none" w:sz="0" w:space="0" w:color="auto"/>
        <w:left w:val="none" w:sz="0" w:space="0" w:color="auto"/>
        <w:bottom w:val="none" w:sz="0" w:space="0" w:color="auto"/>
        <w:right w:val="none" w:sz="0" w:space="0" w:color="auto"/>
      </w:divBdr>
    </w:div>
    <w:div w:id="1177767540">
      <w:bodyDiv w:val="1"/>
      <w:marLeft w:val="0"/>
      <w:marRight w:val="0"/>
      <w:marTop w:val="0"/>
      <w:marBottom w:val="0"/>
      <w:divBdr>
        <w:top w:val="none" w:sz="0" w:space="0" w:color="auto"/>
        <w:left w:val="none" w:sz="0" w:space="0" w:color="auto"/>
        <w:bottom w:val="none" w:sz="0" w:space="0" w:color="auto"/>
        <w:right w:val="none" w:sz="0" w:space="0" w:color="auto"/>
      </w:divBdr>
    </w:div>
    <w:div w:id="1178811057">
      <w:bodyDiv w:val="1"/>
      <w:marLeft w:val="0"/>
      <w:marRight w:val="0"/>
      <w:marTop w:val="0"/>
      <w:marBottom w:val="0"/>
      <w:divBdr>
        <w:top w:val="none" w:sz="0" w:space="0" w:color="auto"/>
        <w:left w:val="none" w:sz="0" w:space="0" w:color="auto"/>
        <w:bottom w:val="none" w:sz="0" w:space="0" w:color="auto"/>
        <w:right w:val="none" w:sz="0" w:space="0" w:color="auto"/>
      </w:divBdr>
    </w:div>
    <w:div w:id="1203634774">
      <w:bodyDiv w:val="1"/>
      <w:marLeft w:val="0"/>
      <w:marRight w:val="0"/>
      <w:marTop w:val="0"/>
      <w:marBottom w:val="0"/>
      <w:divBdr>
        <w:top w:val="none" w:sz="0" w:space="0" w:color="auto"/>
        <w:left w:val="none" w:sz="0" w:space="0" w:color="auto"/>
        <w:bottom w:val="none" w:sz="0" w:space="0" w:color="auto"/>
        <w:right w:val="none" w:sz="0" w:space="0" w:color="auto"/>
      </w:divBdr>
    </w:div>
    <w:div w:id="1204246145">
      <w:bodyDiv w:val="1"/>
      <w:marLeft w:val="0"/>
      <w:marRight w:val="0"/>
      <w:marTop w:val="0"/>
      <w:marBottom w:val="0"/>
      <w:divBdr>
        <w:top w:val="none" w:sz="0" w:space="0" w:color="auto"/>
        <w:left w:val="none" w:sz="0" w:space="0" w:color="auto"/>
        <w:bottom w:val="none" w:sz="0" w:space="0" w:color="auto"/>
        <w:right w:val="none" w:sz="0" w:space="0" w:color="auto"/>
      </w:divBdr>
    </w:div>
    <w:div w:id="1206791883">
      <w:bodyDiv w:val="1"/>
      <w:marLeft w:val="0"/>
      <w:marRight w:val="0"/>
      <w:marTop w:val="0"/>
      <w:marBottom w:val="0"/>
      <w:divBdr>
        <w:top w:val="none" w:sz="0" w:space="0" w:color="auto"/>
        <w:left w:val="none" w:sz="0" w:space="0" w:color="auto"/>
        <w:bottom w:val="none" w:sz="0" w:space="0" w:color="auto"/>
        <w:right w:val="none" w:sz="0" w:space="0" w:color="auto"/>
      </w:divBdr>
    </w:div>
    <w:div w:id="1221597559">
      <w:bodyDiv w:val="1"/>
      <w:marLeft w:val="0"/>
      <w:marRight w:val="0"/>
      <w:marTop w:val="0"/>
      <w:marBottom w:val="0"/>
      <w:divBdr>
        <w:top w:val="none" w:sz="0" w:space="0" w:color="auto"/>
        <w:left w:val="none" w:sz="0" w:space="0" w:color="auto"/>
        <w:bottom w:val="none" w:sz="0" w:space="0" w:color="auto"/>
        <w:right w:val="none" w:sz="0" w:space="0" w:color="auto"/>
      </w:divBdr>
    </w:div>
    <w:div w:id="1231580944">
      <w:bodyDiv w:val="1"/>
      <w:marLeft w:val="0"/>
      <w:marRight w:val="0"/>
      <w:marTop w:val="0"/>
      <w:marBottom w:val="0"/>
      <w:divBdr>
        <w:top w:val="none" w:sz="0" w:space="0" w:color="auto"/>
        <w:left w:val="none" w:sz="0" w:space="0" w:color="auto"/>
        <w:bottom w:val="none" w:sz="0" w:space="0" w:color="auto"/>
        <w:right w:val="none" w:sz="0" w:space="0" w:color="auto"/>
      </w:divBdr>
    </w:div>
    <w:div w:id="1257712307">
      <w:bodyDiv w:val="1"/>
      <w:marLeft w:val="0"/>
      <w:marRight w:val="0"/>
      <w:marTop w:val="0"/>
      <w:marBottom w:val="0"/>
      <w:divBdr>
        <w:top w:val="none" w:sz="0" w:space="0" w:color="auto"/>
        <w:left w:val="none" w:sz="0" w:space="0" w:color="auto"/>
        <w:bottom w:val="none" w:sz="0" w:space="0" w:color="auto"/>
        <w:right w:val="none" w:sz="0" w:space="0" w:color="auto"/>
      </w:divBdr>
      <w:divsChild>
        <w:div w:id="70859382">
          <w:marLeft w:val="0"/>
          <w:marRight w:val="0"/>
          <w:marTop w:val="0"/>
          <w:marBottom w:val="0"/>
          <w:divBdr>
            <w:top w:val="none" w:sz="0" w:space="0" w:color="auto"/>
            <w:left w:val="none" w:sz="0" w:space="0" w:color="auto"/>
            <w:bottom w:val="none" w:sz="0" w:space="0" w:color="auto"/>
            <w:right w:val="none" w:sz="0" w:space="0" w:color="auto"/>
          </w:divBdr>
          <w:divsChild>
            <w:div w:id="1015616430">
              <w:marLeft w:val="0"/>
              <w:marRight w:val="0"/>
              <w:marTop w:val="0"/>
              <w:marBottom w:val="0"/>
              <w:divBdr>
                <w:top w:val="none" w:sz="0" w:space="0" w:color="auto"/>
                <w:left w:val="none" w:sz="0" w:space="0" w:color="auto"/>
                <w:bottom w:val="none" w:sz="0" w:space="0" w:color="auto"/>
                <w:right w:val="none" w:sz="0" w:space="0" w:color="auto"/>
              </w:divBdr>
              <w:divsChild>
                <w:div w:id="297730697">
                  <w:marLeft w:val="0"/>
                  <w:marRight w:val="0"/>
                  <w:marTop w:val="0"/>
                  <w:marBottom w:val="0"/>
                  <w:divBdr>
                    <w:top w:val="none" w:sz="0" w:space="0" w:color="auto"/>
                    <w:left w:val="none" w:sz="0" w:space="0" w:color="auto"/>
                    <w:bottom w:val="none" w:sz="0" w:space="0" w:color="auto"/>
                    <w:right w:val="none" w:sz="0" w:space="0" w:color="auto"/>
                  </w:divBdr>
                  <w:divsChild>
                    <w:div w:id="1913739314">
                      <w:marLeft w:val="0"/>
                      <w:marRight w:val="0"/>
                      <w:marTop w:val="0"/>
                      <w:marBottom w:val="0"/>
                      <w:divBdr>
                        <w:top w:val="none" w:sz="0" w:space="0" w:color="auto"/>
                        <w:left w:val="none" w:sz="0" w:space="0" w:color="auto"/>
                        <w:bottom w:val="none" w:sz="0" w:space="0" w:color="auto"/>
                        <w:right w:val="none" w:sz="0" w:space="0" w:color="auto"/>
                      </w:divBdr>
                      <w:divsChild>
                        <w:div w:id="1591692526">
                          <w:marLeft w:val="0"/>
                          <w:marRight w:val="0"/>
                          <w:marTop w:val="300"/>
                          <w:marBottom w:val="0"/>
                          <w:divBdr>
                            <w:top w:val="none" w:sz="0" w:space="0" w:color="auto"/>
                            <w:left w:val="none" w:sz="0" w:space="0" w:color="auto"/>
                            <w:bottom w:val="none" w:sz="0" w:space="0" w:color="auto"/>
                            <w:right w:val="none" w:sz="0" w:space="0" w:color="auto"/>
                          </w:divBdr>
                          <w:divsChild>
                            <w:div w:id="104564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598939">
      <w:bodyDiv w:val="1"/>
      <w:marLeft w:val="0"/>
      <w:marRight w:val="0"/>
      <w:marTop w:val="0"/>
      <w:marBottom w:val="0"/>
      <w:divBdr>
        <w:top w:val="none" w:sz="0" w:space="0" w:color="auto"/>
        <w:left w:val="none" w:sz="0" w:space="0" w:color="auto"/>
        <w:bottom w:val="none" w:sz="0" w:space="0" w:color="auto"/>
        <w:right w:val="none" w:sz="0" w:space="0" w:color="auto"/>
      </w:divBdr>
    </w:div>
    <w:div w:id="1266769531">
      <w:bodyDiv w:val="1"/>
      <w:marLeft w:val="0"/>
      <w:marRight w:val="0"/>
      <w:marTop w:val="0"/>
      <w:marBottom w:val="0"/>
      <w:divBdr>
        <w:top w:val="none" w:sz="0" w:space="0" w:color="auto"/>
        <w:left w:val="none" w:sz="0" w:space="0" w:color="auto"/>
        <w:bottom w:val="none" w:sz="0" w:space="0" w:color="auto"/>
        <w:right w:val="none" w:sz="0" w:space="0" w:color="auto"/>
      </w:divBdr>
    </w:div>
    <w:div w:id="1269390061">
      <w:bodyDiv w:val="1"/>
      <w:marLeft w:val="0"/>
      <w:marRight w:val="0"/>
      <w:marTop w:val="0"/>
      <w:marBottom w:val="0"/>
      <w:divBdr>
        <w:top w:val="none" w:sz="0" w:space="0" w:color="auto"/>
        <w:left w:val="none" w:sz="0" w:space="0" w:color="auto"/>
        <w:bottom w:val="none" w:sz="0" w:space="0" w:color="auto"/>
        <w:right w:val="none" w:sz="0" w:space="0" w:color="auto"/>
      </w:divBdr>
    </w:div>
    <w:div w:id="1270353324">
      <w:bodyDiv w:val="1"/>
      <w:marLeft w:val="0"/>
      <w:marRight w:val="0"/>
      <w:marTop w:val="0"/>
      <w:marBottom w:val="0"/>
      <w:divBdr>
        <w:top w:val="none" w:sz="0" w:space="0" w:color="auto"/>
        <w:left w:val="none" w:sz="0" w:space="0" w:color="auto"/>
        <w:bottom w:val="none" w:sz="0" w:space="0" w:color="auto"/>
        <w:right w:val="none" w:sz="0" w:space="0" w:color="auto"/>
      </w:divBdr>
      <w:divsChild>
        <w:div w:id="1234243033">
          <w:marLeft w:val="0"/>
          <w:marRight w:val="0"/>
          <w:marTop w:val="0"/>
          <w:marBottom w:val="0"/>
          <w:divBdr>
            <w:top w:val="none" w:sz="0" w:space="0" w:color="auto"/>
            <w:left w:val="none" w:sz="0" w:space="0" w:color="auto"/>
            <w:bottom w:val="none" w:sz="0" w:space="0" w:color="auto"/>
            <w:right w:val="none" w:sz="0" w:space="0" w:color="auto"/>
          </w:divBdr>
        </w:div>
      </w:divsChild>
    </w:div>
    <w:div w:id="1270548240">
      <w:bodyDiv w:val="1"/>
      <w:marLeft w:val="0"/>
      <w:marRight w:val="0"/>
      <w:marTop w:val="0"/>
      <w:marBottom w:val="0"/>
      <w:divBdr>
        <w:top w:val="none" w:sz="0" w:space="0" w:color="auto"/>
        <w:left w:val="none" w:sz="0" w:space="0" w:color="auto"/>
        <w:bottom w:val="none" w:sz="0" w:space="0" w:color="auto"/>
        <w:right w:val="none" w:sz="0" w:space="0" w:color="auto"/>
      </w:divBdr>
    </w:div>
    <w:div w:id="1274901344">
      <w:bodyDiv w:val="1"/>
      <w:marLeft w:val="0"/>
      <w:marRight w:val="0"/>
      <w:marTop w:val="0"/>
      <w:marBottom w:val="0"/>
      <w:divBdr>
        <w:top w:val="none" w:sz="0" w:space="0" w:color="auto"/>
        <w:left w:val="none" w:sz="0" w:space="0" w:color="auto"/>
        <w:bottom w:val="none" w:sz="0" w:space="0" w:color="auto"/>
        <w:right w:val="none" w:sz="0" w:space="0" w:color="auto"/>
      </w:divBdr>
    </w:div>
    <w:div w:id="1290552435">
      <w:bodyDiv w:val="1"/>
      <w:marLeft w:val="0"/>
      <w:marRight w:val="0"/>
      <w:marTop w:val="0"/>
      <w:marBottom w:val="0"/>
      <w:divBdr>
        <w:top w:val="none" w:sz="0" w:space="0" w:color="auto"/>
        <w:left w:val="none" w:sz="0" w:space="0" w:color="auto"/>
        <w:bottom w:val="none" w:sz="0" w:space="0" w:color="auto"/>
        <w:right w:val="none" w:sz="0" w:space="0" w:color="auto"/>
      </w:divBdr>
    </w:div>
    <w:div w:id="1310788684">
      <w:bodyDiv w:val="1"/>
      <w:marLeft w:val="0"/>
      <w:marRight w:val="0"/>
      <w:marTop w:val="0"/>
      <w:marBottom w:val="0"/>
      <w:divBdr>
        <w:top w:val="none" w:sz="0" w:space="0" w:color="auto"/>
        <w:left w:val="none" w:sz="0" w:space="0" w:color="auto"/>
        <w:bottom w:val="none" w:sz="0" w:space="0" w:color="auto"/>
        <w:right w:val="none" w:sz="0" w:space="0" w:color="auto"/>
      </w:divBdr>
    </w:div>
    <w:div w:id="1320692573">
      <w:bodyDiv w:val="1"/>
      <w:marLeft w:val="0"/>
      <w:marRight w:val="0"/>
      <w:marTop w:val="0"/>
      <w:marBottom w:val="0"/>
      <w:divBdr>
        <w:top w:val="none" w:sz="0" w:space="0" w:color="auto"/>
        <w:left w:val="none" w:sz="0" w:space="0" w:color="auto"/>
        <w:bottom w:val="none" w:sz="0" w:space="0" w:color="auto"/>
        <w:right w:val="none" w:sz="0" w:space="0" w:color="auto"/>
      </w:divBdr>
      <w:divsChild>
        <w:div w:id="1506895885">
          <w:marLeft w:val="0"/>
          <w:marRight w:val="0"/>
          <w:marTop w:val="0"/>
          <w:marBottom w:val="0"/>
          <w:divBdr>
            <w:top w:val="none" w:sz="0" w:space="0" w:color="auto"/>
            <w:left w:val="none" w:sz="0" w:space="0" w:color="auto"/>
            <w:bottom w:val="none" w:sz="0" w:space="0" w:color="auto"/>
            <w:right w:val="none" w:sz="0" w:space="0" w:color="auto"/>
          </w:divBdr>
          <w:divsChild>
            <w:div w:id="1494947981">
              <w:marLeft w:val="0"/>
              <w:marRight w:val="0"/>
              <w:marTop w:val="0"/>
              <w:marBottom w:val="0"/>
              <w:divBdr>
                <w:top w:val="none" w:sz="0" w:space="0" w:color="auto"/>
                <w:left w:val="none" w:sz="0" w:space="0" w:color="auto"/>
                <w:bottom w:val="none" w:sz="0" w:space="0" w:color="auto"/>
                <w:right w:val="none" w:sz="0" w:space="0" w:color="auto"/>
              </w:divBdr>
              <w:divsChild>
                <w:div w:id="1792094847">
                  <w:marLeft w:val="0"/>
                  <w:marRight w:val="0"/>
                  <w:marTop w:val="0"/>
                  <w:marBottom w:val="0"/>
                  <w:divBdr>
                    <w:top w:val="none" w:sz="0" w:space="0" w:color="auto"/>
                    <w:left w:val="none" w:sz="0" w:space="0" w:color="auto"/>
                    <w:bottom w:val="none" w:sz="0" w:space="0" w:color="auto"/>
                    <w:right w:val="none" w:sz="0" w:space="0" w:color="auto"/>
                  </w:divBdr>
                  <w:divsChild>
                    <w:div w:id="1181892315">
                      <w:marLeft w:val="0"/>
                      <w:marRight w:val="0"/>
                      <w:marTop w:val="0"/>
                      <w:marBottom w:val="0"/>
                      <w:divBdr>
                        <w:top w:val="none" w:sz="0" w:space="0" w:color="auto"/>
                        <w:left w:val="none" w:sz="0" w:space="0" w:color="auto"/>
                        <w:bottom w:val="none" w:sz="0" w:space="0" w:color="auto"/>
                        <w:right w:val="none" w:sz="0" w:space="0" w:color="auto"/>
                      </w:divBdr>
                      <w:divsChild>
                        <w:div w:id="2004699917">
                          <w:marLeft w:val="0"/>
                          <w:marRight w:val="0"/>
                          <w:marTop w:val="300"/>
                          <w:marBottom w:val="0"/>
                          <w:divBdr>
                            <w:top w:val="none" w:sz="0" w:space="0" w:color="auto"/>
                            <w:left w:val="none" w:sz="0" w:space="0" w:color="auto"/>
                            <w:bottom w:val="none" w:sz="0" w:space="0" w:color="auto"/>
                            <w:right w:val="none" w:sz="0" w:space="0" w:color="auto"/>
                          </w:divBdr>
                          <w:divsChild>
                            <w:div w:id="180133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483893">
      <w:bodyDiv w:val="1"/>
      <w:marLeft w:val="0"/>
      <w:marRight w:val="0"/>
      <w:marTop w:val="0"/>
      <w:marBottom w:val="0"/>
      <w:divBdr>
        <w:top w:val="none" w:sz="0" w:space="0" w:color="auto"/>
        <w:left w:val="none" w:sz="0" w:space="0" w:color="auto"/>
        <w:bottom w:val="none" w:sz="0" w:space="0" w:color="auto"/>
        <w:right w:val="none" w:sz="0" w:space="0" w:color="auto"/>
      </w:divBdr>
    </w:div>
    <w:div w:id="1339308556">
      <w:bodyDiv w:val="1"/>
      <w:marLeft w:val="0"/>
      <w:marRight w:val="0"/>
      <w:marTop w:val="0"/>
      <w:marBottom w:val="0"/>
      <w:divBdr>
        <w:top w:val="none" w:sz="0" w:space="0" w:color="auto"/>
        <w:left w:val="none" w:sz="0" w:space="0" w:color="auto"/>
        <w:bottom w:val="none" w:sz="0" w:space="0" w:color="auto"/>
        <w:right w:val="none" w:sz="0" w:space="0" w:color="auto"/>
      </w:divBdr>
    </w:div>
    <w:div w:id="1342506299">
      <w:bodyDiv w:val="1"/>
      <w:marLeft w:val="0"/>
      <w:marRight w:val="0"/>
      <w:marTop w:val="0"/>
      <w:marBottom w:val="0"/>
      <w:divBdr>
        <w:top w:val="none" w:sz="0" w:space="0" w:color="auto"/>
        <w:left w:val="none" w:sz="0" w:space="0" w:color="auto"/>
        <w:bottom w:val="none" w:sz="0" w:space="0" w:color="auto"/>
        <w:right w:val="none" w:sz="0" w:space="0" w:color="auto"/>
      </w:divBdr>
    </w:div>
    <w:div w:id="1352532789">
      <w:bodyDiv w:val="1"/>
      <w:marLeft w:val="0"/>
      <w:marRight w:val="0"/>
      <w:marTop w:val="0"/>
      <w:marBottom w:val="0"/>
      <w:divBdr>
        <w:top w:val="none" w:sz="0" w:space="0" w:color="auto"/>
        <w:left w:val="none" w:sz="0" w:space="0" w:color="auto"/>
        <w:bottom w:val="none" w:sz="0" w:space="0" w:color="auto"/>
        <w:right w:val="none" w:sz="0" w:space="0" w:color="auto"/>
      </w:divBdr>
    </w:div>
    <w:div w:id="1354306972">
      <w:bodyDiv w:val="1"/>
      <w:marLeft w:val="0"/>
      <w:marRight w:val="0"/>
      <w:marTop w:val="0"/>
      <w:marBottom w:val="0"/>
      <w:divBdr>
        <w:top w:val="none" w:sz="0" w:space="0" w:color="auto"/>
        <w:left w:val="none" w:sz="0" w:space="0" w:color="auto"/>
        <w:bottom w:val="none" w:sz="0" w:space="0" w:color="auto"/>
        <w:right w:val="none" w:sz="0" w:space="0" w:color="auto"/>
      </w:divBdr>
    </w:div>
    <w:div w:id="1356347886">
      <w:bodyDiv w:val="1"/>
      <w:marLeft w:val="0"/>
      <w:marRight w:val="0"/>
      <w:marTop w:val="0"/>
      <w:marBottom w:val="0"/>
      <w:divBdr>
        <w:top w:val="none" w:sz="0" w:space="0" w:color="auto"/>
        <w:left w:val="none" w:sz="0" w:space="0" w:color="auto"/>
        <w:bottom w:val="none" w:sz="0" w:space="0" w:color="auto"/>
        <w:right w:val="none" w:sz="0" w:space="0" w:color="auto"/>
      </w:divBdr>
    </w:div>
    <w:div w:id="1364284202">
      <w:bodyDiv w:val="1"/>
      <w:marLeft w:val="0"/>
      <w:marRight w:val="0"/>
      <w:marTop w:val="0"/>
      <w:marBottom w:val="0"/>
      <w:divBdr>
        <w:top w:val="none" w:sz="0" w:space="0" w:color="auto"/>
        <w:left w:val="none" w:sz="0" w:space="0" w:color="auto"/>
        <w:bottom w:val="none" w:sz="0" w:space="0" w:color="auto"/>
        <w:right w:val="none" w:sz="0" w:space="0" w:color="auto"/>
      </w:divBdr>
    </w:div>
    <w:div w:id="1395085067">
      <w:bodyDiv w:val="1"/>
      <w:marLeft w:val="0"/>
      <w:marRight w:val="0"/>
      <w:marTop w:val="0"/>
      <w:marBottom w:val="0"/>
      <w:divBdr>
        <w:top w:val="none" w:sz="0" w:space="0" w:color="auto"/>
        <w:left w:val="none" w:sz="0" w:space="0" w:color="auto"/>
        <w:bottom w:val="none" w:sz="0" w:space="0" w:color="auto"/>
        <w:right w:val="none" w:sz="0" w:space="0" w:color="auto"/>
      </w:divBdr>
    </w:div>
    <w:div w:id="1403328801">
      <w:bodyDiv w:val="1"/>
      <w:marLeft w:val="0"/>
      <w:marRight w:val="0"/>
      <w:marTop w:val="0"/>
      <w:marBottom w:val="0"/>
      <w:divBdr>
        <w:top w:val="none" w:sz="0" w:space="0" w:color="auto"/>
        <w:left w:val="none" w:sz="0" w:space="0" w:color="auto"/>
        <w:bottom w:val="none" w:sz="0" w:space="0" w:color="auto"/>
        <w:right w:val="none" w:sz="0" w:space="0" w:color="auto"/>
      </w:divBdr>
    </w:div>
    <w:div w:id="1403406209">
      <w:bodyDiv w:val="1"/>
      <w:marLeft w:val="0"/>
      <w:marRight w:val="0"/>
      <w:marTop w:val="0"/>
      <w:marBottom w:val="0"/>
      <w:divBdr>
        <w:top w:val="none" w:sz="0" w:space="0" w:color="auto"/>
        <w:left w:val="none" w:sz="0" w:space="0" w:color="auto"/>
        <w:bottom w:val="none" w:sz="0" w:space="0" w:color="auto"/>
        <w:right w:val="none" w:sz="0" w:space="0" w:color="auto"/>
      </w:divBdr>
    </w:div>
    <w:div w:id="1405026680">
      <w:bodyDiv w:val="1"/>
      <w:marLeft w:val="0"/>
      <w:marRight w:val="0"/>
      <w:marTop w:val="0"/>
      <w:marBottom w:val="0"/>
      <w:divBdr>
        <w:top w:val="none" w:sz="0" w:space="0" w:color="auto"/>
        <w:left w:val="none" w:sz="0" w:space="0" w:color="auto"/>
        <w:bottom w:val="none" w:sz="0" w:space="0" w:color="auto"/>
        <w:right w:val="none" w:sz="0" w:space="0" w:color="auto"/>
      </w:divBdr>
    </w:div>
    <w:div w:id="1405957847">
      <w:bodyDiv w:val="1"/>
      <w:marLeft w:val="0"/>
      <w:marRight w:val="0"/>
      <w:marTop w:val="0"/>
      <w:marBottom w:val="0"/>
      <w:divBdr>
        <w:top w:val="none" w:sz="0" w:space="0" w:color="auto"/>
        <w:left w:val="none" w:sz="0" w:space="0" w:color="auto"/>
        <w:bottom w:val="none" w:sz="0" w:space="0" w:color="auto"/>
        <w:right w:val="none" w:sz="0" w:space="0" w:color="auto"/>
      </w:divBdr>
    </w:div>
    <w:div w:id="1415080446">
      <w:bodyDiv w:val="1"/>
      <w:marLeft w:val="0"/>
      <w:marRight w:val="0"/>
      <w:marTop w:val="0"/>
      <w:marBottom w:val="0"/>
      <w:divBdr>
        <w:top w:val="none" w:sz="0" w:space="0" w:color="auto"/>
        <w:left w:val="none" w:sz="0" w:space="0" w:color="auto"/>
        <w:bottom w:val="none" w:sz="0" w:space="0" w:color="auto"/>
        <w:right w:val="none" w:sz="0" w:space="0" w:color="auto"/>
      </w:divBdr>
    </w:div>
    <w:div w:id="1415586678">
      <w:bodyDiv w:val="1"/>
      <w:marLeft w:val="0"/>
      <w:marRight w:val="0"/>
      <w:marTop w:val="0"/>
      <w:marBottom w:val="0"/>
      <w:divBdr>
        <w:top w:val="none" w:sz="0" w:space="0" w:color="auto"/>
        <w:left w:val="none" w:sz="0" w:space="0" w:color="auto"/>
        <w:bottom w:val="none" w:sz="0" w:space="0" w:color="auto"/>
        <w:right w:val="none" w:sz="0" w:space="0" w:color="auto"/>
      </w:divBdr>
    </w:div>
    <w:div w:id="1424298415">
      <w:bodyDiv w:val="1"/>
      <w:marLeft w:val="0"/>
      <w:marRight w:val="0"/>
      <w:marTop w:val="0"/>
      <w:marBottom w:val="0"/>
      <w:divBdr>
        <w:top w:val="none" w:sz="0" w:space="0" w:color="auto"/>
        <w:left w:val="none" w:sz="0" w:space="0" w:color="auto"/>
        <w:bottom w:val="none" w:sz="0" w:space="0" w:color="auto"/>
        <w:right w:val="none" w:sz="0" w:space="0" w:color="auto"/>
      </w:divBdr>
    </w:div>
    <w:div w:id="1425760686">
      <w:bodyDiv w:val="1"/>
      <w:marLeft w:val="0"/>
      <w:marRight w:val="0"/>
      <w:marTop w:val="0"/>
      <w:marBottom w:val="0"/>
      <w:divBdr>
        <w:top w:val="none" w:sz="0" w:space="0" w:color="auto"/>
        <w:left w:val="none" w:sz="0" w:space="0" w:color="auto"/>
        <w:bottom w:val="none" w:sz="0" w:space="0" w:color="auto"/>
        <w:right w:val="none" w:sz="0" w:space="0" w:color="auto"/>
      </w:divBdr>
    </w:div>
    <w:div w:id="1426730333">
      <w:bodyDiv w:val="1"/>
      <w:marLeft w:val="0"/>
      <w:marRight w:val="0"/>
      <w:marTop w:val="0"/>
      <w:marBottom w:val="0"/>
      <w:divBdr>
        <w:top w:val="none" w:sz="0" w:space="0" w:color="auto"/>
        <w:left w:val="none" w:sz="0" w:space="0" w:color="auto"/>
        <w:bottom w:val="none" w:sz="0" w:space="0" w:color="auto"/>
        <w:right w:val="none" w:sz="0" w:space="0" w:color="auto"/>
      </w:divBdr>
    </w:div>
    <w:div w:id="1431001293">
      <w:bodyDiv w:val="1"/>
      <w:marLeft w:val="0"/>
      <w:marRight w:val="0"/>
      <w:marTop w:val="0"/>
      <w:marBottom w:val="0"/>
      <w:divBdr>
        <w:top w:val="none" w:sz="0" w:space="0" w:color="auto"/>
        <w:left w:val="none" w:sz="0" w:space="0" w:color="auto"/>
        <w:bottom w:val="none" w:sz="0" w:space="0" w:color="auto"/>
        <w:right w:val="none" w:sz="0" w:space="0" w:color="auto"/>
      </w:divBdr>
    </w:div>
    <w:div w:id="1433552864">
      <w:bodyDiv w:val="1"/>
      <w:marLeft w:val="0"/>
      <w:marRight w:val="0"/>
      <w:marTop w:val="0"/>
      <w:marBottom w:val="0"/>
      <w:divBdr>
        <w:top w:val="none" w:sz="0" w:space="0" w:color="auto"/>
        <w:left w:val="none" w:sz="0" w:space="0" w:color="auto"/>
        <w:bottom w:val="none" w:sz="0" w:space="0" w:color="auto"/>
        <w:right w:val="none" w:sz="0" w:space="0" w:color="auto"/>
      </w:divBdr>
    </w:div>
    <w:div w:id="1438526340">
      <w:bodyDiv w:val="1"/>
      <w:marLeft w:val="0"/>
      <w:marRight w:val="0"/>
      <w:marTop w:val="0"/>
      <w:marBottom w:val="0"/>
      <w:divBdr>
        <w:top w:val="none" w:sz="0" w:space="0" w:color="auto"/>
        <w:left w:val="none" w:sz="0" w:space="0" w:color="auto"/>
        <w:bottom w:val="none" w:sz="0" w:space="0" w:color="auto"/>
        <w:right w:val="none" w:sz="0" w:space="0" w:color="auto"/>
      </w:divBdr>
    </w:div>
    <w:div w:id="1440835157">
      <w:bodyDiv w:val="1"/>
      <w:marLeft w:val="0"/>
      <w:marRight w:val="0"/>
      <w:marTop w:val="0"/>
      <w:marBottom w:val="0"/>
      <w:divBdr>
        <w:top w:val="none" w:sz="0" w:space="0" w:color="auto"/>
        <w:left w:val="none" w:sz="0" w:space="0" w:color="auto"/>
        <w:bottom w:val="none" w:sz="0" w:space="0" w:color="auto"/>
        <w:right w:val="none" w:sz="0" w:space="0" w:color="auto"/>
      </w:divBdr>
    </w:div>
    <w:div w:id="1442989159">
      <w:bodyDiv w:val="1"/>
      <w:marLeft w:val="0"/>
      <w:marRight w:val="0"/>
      <w:marTop w:val="0"/>
      <w:marBottom w:val="0"/>
      <w:divBdr>
        <w:top w:val="none" w:sz="0" w:space="0" w:color="auto"/>
        <w:left w:val="none" w:sz="0" w:space="0" w:color="auto"/>
        <w:bottom w:val="none" w:sz="0" w:space="0" w:color="auto"/>
        <w:right w:val="none" w:sz="0" w:space="0" w:color="auto"/>
      </w:divBdr>
    </w:div>
    <w:div w:id="1443574664">
      <w:bodyDiv w:val="1"/>
      <w:marLeft w:val="0"/>
      <w:marRight w:val="0"/>
      <w:marTop w:val="0"/>
      <w:marBottom w:val="0"/>
      <w:divBdr>
        <w:top w:val="none" w:sz="0" w:space="0" w:color="auto"/>
        <w:left w:val="none" w:sz="0" w:space="0" w:color="auto"/>
        <w:bottom w:val="none" w:sz="0" w:space="0" w:color="auto"/>
        <w:right w:val="none" w:sz="0" w:space="0" w:color="auto"/>
      </w:divBdr>
    </w:div>
    <w:div w:id="1443651611">
      <w:bodyDiv w:val="1"/>
      <w:marLeft w:val="0"/>
      <w:marRight w:val="0"/>
      <w:marTop w:val="0"/>
      <w:marBottom w:val="0"/>
      <w:divBdr>
        <w:top w:val="none" w:sz="0" w:space="0" w:color="auto"/>
        <w:left w:val="none" w:sz="0" w:space="0" w:color="auto"/>
        <w:bottom w:val="none" w:sz="0" w:space="0" w:color="auto"/>
        <w:right w:val="none" w:sz="0" w:space="0" w:color="auto"/>
      </w:divBdr>
    </w:div>
    <w:div w:id="1445223748">
      <w:bodyDiv w:val="1"/>
      <w:marLeft w:val="0"/>
      <w:marRight w:val="0"/>
      <w:marTop w:val="0"/>
      <w:marBottom w:val="0"/>
      <w:divBdr>
        <w:top w:val="none" w:sz="0" w:space="0" w:color="auto"/>
        <w:left w:val="none" w:sz="0" w:space="0" w:color="auto"/>
        <w:bottom w:val="none" w:sz="0" w:space="0" w:color="auto"/>
        <w:right w:val="none" w:sz="0" w:space="0" w:color="auto"/>
      </w:divBdr>
    </w:div>
    <w:div w:id="1448810489">
      <w:bodyDiv w:val="1"/>
      <w:marLeft w:val="0"/>
      <w:marRight w:val="0"/>
      <w:marTop w:val="0"/>
      <w:marBottom w:val="0"/>
      <w:divBdr>
        <w:top w:val="none" w:sz="0" w:space="0" w:color="auto"/>
        <w:left w:val="none" w:sz="0" w:space="0" w:color="auto"/>
        <w:bottom w:val="none" w:sz="0" w:space="0" w:color="auto"/>
        <w:right w:val="none" w:sz="0" w:space="0" w:color="auto"/>
      </w:divBdr>
    </w:div>
    <w:div w:id="1450782142">
      <w:bodyDiv w:val="1"/>
      <w:marLeft w:val="0"/>
      <w:marRight w:val="0"/>
      <w:marTop w:val="0"/>
      <w:marBottom w:val="0"/>
      <w:divBdr>
        <w:top w:val="none" w:sz="0" w:space="0" w:color="auto"/>
        <w:left w:val="none" w:sz="0" w:space="0" w:color="auto"/>
        <w:bottom w:val="none" w:sz="0" w:space="0" w:color="auto"/>
        <w:right w:val="none" w:sz="0" w:space="0" w:color="auto"/>
      </w:divBdr>
    </w:div>
    <w:div w:id="1452477170">
      <w:bodyDiv w:val="1"/>
      <w:marLeft w:val="0"/>
      <w:marRight w:val="0"/>
      <w:marTop w:val="0"/>
      <w:marBottom w:val="0"/>
      <w:divBdr>
        <w:top w:val="none" w:sz="0" w:space="0" w:color="auto"/>
        <w:left w:val="none" w:sz="0" w:space="0" w:color="auto"/>
        <w:bottom w:val="none" w:sz="0" w:space="0" w:color="auto"/>
        <w:right w:val="none" w:sz="0" w:space="0" w:color="auto"/>
      </w:divBdr>
    </w:div>
    <w:div w:id="1457062266">
      <w:bodyDiv w:val="1"/>
      <w:marLeft w:val="0"/>
      <w:marRight w:val="0"/>
      <w:marTop w:val="0"/>
      <w:marBottom w:val="0"/>
      <w:divBdr>
        <w:top w:val="none" w:sz="0" w:space="0" w:color="auto"/>
        <w:left w:val="none" w:sz="0" w:space="0" w:color="auto"/>
        <w:bottom w:val="none" w:sz="0" w:space="0" w:color="auto"/>
        <w:right w:val="none" w:sz="0" w:space="0" w:color="auto"/>
      </w:divBdr>
    </w:div>
    <w:div w:id="1462922026">
      <w:bodyDiv w:val="1"/>
      <w:marLeft w:val="0"/>
      <w:marRight w:val="0"/>
      <w:marTop w:val="0"/>
      <w:marBottom w:val="0"/>
      <w:divBdr>
        <w:top w:val="none" w:sz="0" w:space="0" w:color="auto"/>
        <w:left w:val="none" w:sz="0" w:space="0" w:color="auto"/>
        <w:bottom w:val="none" w:sz="0" w:space="0" w:color="auto"/>
        <w:right w:val="none" w:sz="0" w:space="0" w:color="auto"/>
      </w:divBdr>
    </w:div>
    <w:div w:id="1478645396">
      <w:bodyDiv w:val="1"/>
      <w:marLeft w:val="0"/>
      <w:marRight w:val="0"/>
      <w:marTop w:val="0"/>
      <w:marBottom w:val="0"/>
      <w:divBdr>
        <w:top w:val="none" w:sz="0" w:space="0" w:color="auto"/>
        <w:left w:val="none" w:sz="0" w:space="0" w:color="auto"/>
        <w:bottom w:val="none" w:sz="0" w:space="0" w:color="auto"/>
        <w:right w:val="none" w:sz="0" w:space="0" w:color="auto"/>
      </w:divBdr>
    </w:div>
    <w:div w:id="1479345890">
      <w:bodyDiv w:val="1"/>
      <w:marLeft w:val="0"/>
      <w:marRight w:val="0"/>
      <w:marTop w:val="0"/>
      <w:marBottom w:val="0"/>
      <w:divBdr>
        <w:top w:val="none" w:sz="0" w:space="0" w:color="auto"/>
        <w:left w:val="none" w:sz="0" w:space="0" w:color="auto"/>
        <w:bottom w:val="none" w:sz="0" w:space="0" w:color="auto"/>
        <w:right w:val="none" w:sz="0" w:space="0" w:color="auto"/>
      </w:divBdr>
    </w:div>
    <w:div w:id="1488130220">
      <w:bodyDiv w:val="1"/>
      <w:marLeft w:val="0"/>
      <w:marRight w:val="0"/>
      <w:marTop w:val="0"/>
      <w:marBottom w:val="0"/>
      <w:divBdr>
        <w:top w:val="none" w:sz="0" w:space="0" w:color="auto"/>
        <w:left w:val="none" w:sz="0" w:space="0" w:color="auto"/>
        <w:bottom w:val="none" w:sz="0" w:space="0" w:color="auto"/>
        <w:right w:val="none" w:sz="0" w:space="0" w:color="auto"/>
      </w:divBdr>
    </w:div>
    <w:div w:id="1491556221">
      <w:bodyDiv w:val="1"/>
      <w:marLeft w:val="0"/>
      <w:marRight w:val="0"/>
      <w:marTop w:val="0"/>
      <w:marBottom w:val="0"/>
      <w:divBdr>
        <w:top w:val="none" w:sz="0" w:space="0" w:color="auto"/>
        <w:left w:val="none" w:sz="0" w:space="0" w:color="auto"/>
        <w:bottom w:val="none" w:sz="0" w:space="0" w:color="auto"/>
        <w:right w:val="none" w:sz="0" w:space="0" w:color="auto"/>
      </w:divBdr>
    </w:div>
    <w:div w:id="1500271889">
      <w:bodyDiv w:val="1"/>
      <w:marLeft w:val="0"/>
      <w:marRight w:val="0"/>
      <w:marTop w:val="0"/>
      <w:marBottom w:val="0"/>
      <w:divBdr>
        <w:top w:val="none" w:sz="0" w:space="0" w:color="auto"/>
        <w:left w:val="none" w:sz="0" w:space="0" w:color="auto"/>
        <w:bottom w:val="none" w:sz="0" w:space="0" w:color="auto"/>
        <w:right w:val="none" w:sz="0" w:space="0" w:color="auto"/>
      </w:divBdr>
    </w:div>
    <w:div w:id="1501198123">
      <w:bodyDiv w:val="1"/>
      <w:marLeft w:val="0"/>
      <w:marRight w:val="0"/>
      <w:marTop w:val="0"/>
      <w:marBottom w:val="0"/>
      <w:divBdr>
        <w:top w:val="none" w:sz="0" w:space="0" w:color="auto"/>
        <w:left w:val="none" w:sz="0" w:space="0" w:color="auto"/>
        <w:bottom w:val="none" w:sz="0" w:space="0" w:color="auto"/>
        <w:right w:val="none" w:sz="0" w:space="0" w:color="auto"/>
      </w:divBdr>
    </w:div>
    <w:div w:id="1502353509">
      <w:bodyDiv w:val="1"/>
      <w:marLeft w:val="0"/>
      <w:marRight w:val="0"/>
      <w:marTop w:val="0"/>
      <w:marBottom w:val="0"/>
      <w:divBdr>
        <w:top w:val="none" w:sz="0" w:space="0" w:color="auto"/>
        <w:left w:val="none" w:sz="0" w:space="0" w:color="auto"/>
        <w:bottom w:val="none" w:sz="0" w:space="0" w:color="auto"/>
        <w:right w:val="none" w:sz="0" w:space="0" w:color="auto"/>
      </w:divBdr>
    </w:div>
    <w:div w:id="1506746475">
      <w:bodyDiv w:val="1"/>
      <w:marLeft w:val="0"/>
      <w:marRight w:val="0"/>
      <w:marTop w:val="0"/>
      <w:marBottom w:val="0"/>
      <w:divBdr>
        <w:top w:val="none" w:sz="0" w:space="0" w:color="auto"/>
        <w:left w:val="none" w:sz="0" w:space="0" w:color="auto"/>
        <w:bottom w:val="none" w:sz="0" w:space="0" w:color="auto"/>
        <w:right w:val="none" w:sz="0" w:space="0" w:color="auto"/>
      </w:divBdr>
    </w:div>
    <w:div w:id="1506825097">
      <w:bodyDiv w:val="1"/>
      <w:marLeft w:val="0"/>
      <w:marRight w:val="0"/>
      <w:marTop w:val="0"/>
      <w:marBottom w:val="0"/>
      <w:divBdr>
        <w:top w:val="none" w:sz="0" w:space="0" w:color="auto"/>
        <w:left w:val="none" w:sz="0" w:space="0" w:color="auto"/>
        <w:bottom w:val="none" w:sz="0" w:space="0" w:color="auto"/>
        <w:right w:val="none" w:sz="0" w:space="0" w:color="auto"/>
      </w:divBdr>
    </w:div>
    <w:div w:id="1509713053">
      <w:bodyDiv w:val="1"/>
      <w:marLeft w:val="0"/>
      <w:marRight w:val="0"/>
      <w:marTop w:val="0"/>
      <w:marBottom w:val="0"/>
      <w:divBdr>
        <w:top w:val="none" w:sz="0" w:space="0" w:color="auto"/>
        <w:left w:val="none" w:sz="0" w:space="0" w:color="auto"/>
        <w:bottom w:val="none" w:sz="0" w:space="0" w:color="auto"/>
        <w:right w:val="none" w:sz="0" w:space="0" w:color="auto"/>
      </w:divBdr>
    </w:div>
    <w:div w:id="1514414668">
      <w:bodyDiv w:val="1"/>
      <w:marLeft w:val="0"/>
      <w:marRight w:val="0"/>
      <w:marTop w:val="0"/>
      <w:marBottom w:val="0"/>
      <w:divBdr>
        <w:top w:val="none" w:sz="0" w:space="0" w:color="auto"/>
        <w:left w:val="none" w:sz="0" w:space="0" w:color="auto"/>
        <w:bottom w:val="none" w:sz="0" w:space="0" w:color="auto"/>
        <w:right w:val="none" w:sz="0" w:space="0" w:color="auto"/>
      </w:divBdr>
    </w:div>
    <w:div w:id="1516187621">
      <w:bodyDiv w:val="1"/>
      <w:marLeft w:val="0"/>
      <w:marRight w:val="0"/>
      <w:marTop w:val="0"/>
      <w:marBottom w:val="0"/>
      <w:divBdr>
        <w:top w:val="none" w:sz="0" w:space="0" w:color="auto"/>
        <w:left w:val="none" w:sz="0" w:space="0" w:color="auto"/>
        <w:bottom w:val="none" w:sz="0" w:space="0" w:color="auto"/>
        <w:right w:val="none" w:sz="0" w:space="0" w:color="auto"/>
      </w:divBdr>
    </w:div>
    <w:div w:id="1527258182">
      <w:bodyDiv w:val="1"/>
      <w:marLeft w:val="0"/>
      <w:marRight w:val="0"/>
      <w:marTop w:val="0"/>
      <w:marBottom w:val="0"/>
      <w:divBdr>
        <w:top w:val="none" w:sz="0" w:space="0" w:color="auto"/>
        <w:left w:val="none" w:sz="0" w:space="0" w:color="auto"/>
        <w:bottom w:val="none" w:sz="0" w:space="0" w:color="auto"/>
        <w:right w:val="none" w:sz="0" w:space="0" w:color="auto"/>
      </w:divBdr>
    </w:div>
    <w:div w:id="1528789896">
      <w:bodyDiv w:val="1"/>
      <w:marLeft w:val="0"/>
      <w:marRight w:val="0"/>
      <w:marTop w:val="0"/>
      <w:marBottom w:val="0"/>
      <w:divBdr>
        <w:top w:val="none" w:sz="0" w:space="0" w:color="auto"/>
        <w:left w:val="none" w:sz="0" w:space="0" w:color="auto"/>
        <w:bottom w:val="none" w:sz="0" w:space="0" w:color="auto"/>
        <w:right w:val="none" w:sz="0" w:space="0" w:color="auto"/>
      </w:divBdr>
    </w:div>
    <w:div w:id="1532500699">
      <w:bodyDiv w:val="1"/>
      <w:marLeft w:val="0"/>
      <w:marRight w:val="0"/>
      <w:marTop w:val="0"/>
      <w:marBottom w:val="0"/>
      <w:divBdr>
        <w:top w:val="none" w:sz="0" w:space="0" w:color="auto"/>
        <w:left w:val="none" w:sz="0" w:space="0" w:color="auto"/>
        <w:bottom w:val="none" w:sz="0" w:space="0" w:color="auto"/>
        <w:right w:val="none" w:sz="0" w:space="0" w:color="auto"/>
      </w:divBdr>
    </w:div>
    <w:div w:id="1535146097">
      <w:bodyDiv w:val="1"/>
      <w:marLeft w:val="0"/>
      <w:marRight w:val="0"/>
      <w:marTop w:val="0"/>
      <w:marBottom w:val="0"/>
      <w:divBdr>
        <w:top w:val="none" w:sz="0" w:space="0" w:color="auto"/>
        <w:left w:val="none" w:sz="0" w:space="0" w:color="auto"/>
        <w:bottom w:val="none" w:sz="0" w:space="0" w:color="auto"/>
        <w:right w:val="none" w:sz="0" w:space="0" w:color="auto"/>
      </w:divBdr>
    </w:div>
    <w:div w:id="1536574641">
      <w:bodyDiv w:val="1"/>
      <w:marLeft w:val="0"/>
      <w:marRight w:val="0"/>
      <w:marTop w:val="0"/>
      <w:marBottom w:val="0"/>
      <w:divBdr>
        <w:top w:val="none" w:sz="0" w:space="0" w:color="auto"/>
        <w:left w:val="none" w:sz="0" w:space="0" w:color="auto"/>
        <w:bottom w:val="none" w:sz="0" w:space="0" w:color="auto"/>
        <w:right w:val="none" w:sz="0" w:space="0" w:color="auto"/>
      </w:divBdr>
    </w:div>
    <w:div w:id="1538811827">
      <w:bodyDiv w:val="1"/>
      <w:marLeft w:val="0"/>
      <w:marRight w:val="0"/>
      <w:marTop w:val="0"/>
      <w:marBottom w:val="0"/>
      <w:divBdr>
        <w:top w:val="none" w:sz="0" w:space="0" w:color="auto"/>
        <w:left w:val="none" w:sz="0" w:space="0" w:color="auto"/>
        <w:bottom w:val="none" w:sz="0" w:space="0" w:color="auto"/>
        <w:right w:val="none" w:sz="0" w:space="0" w:color="auto"/>
      </w:divBdr>
    </w:div>
    <w:div w:id="1544830221">
      <w:bodyDiv w:val="1"/>
      <w:marLeft w:val="0"/>
      <w:marRight w:val="0"/>
      <w:marTop w:val="0"/>
      <w:marBottom w:val="0"/>
      <w:divBdr>
        <w:top w:val="none" w:sz="0" w:space="0" w:color="auto"/>
        <w:left w:val="none" w:sz="0" w:space="0" w:color="auto"/>
        <w:bottom w:val="none" w:sz="0" w:space="0" w:color="auto"/>
        <w:right w:val="none" w:sz="0" w:space="0" w:color="auto"/>
      </w:divBdr>
    </w:div>
    <w:div w:id="1554195424">
      <w:bodyDiv w:val="1"/>
      <w:marLeft w:val="0"/>
      <w:marRight w:val="0"/>
      <w:marTop w:val="0"/>
      <w:marBottom w:val="0"/>
      <w:divBdr>
        <w:top w:val="none" w:sz="0" w:space="0" w:color="auto"/>
        <w:left w:val="none" w:sz="0" w:space="0" w:color="auto"/>
        <w:bottom w:val="none" w:sz="0" w:space="0" w:color="auto"/>
        <w:right w:val="none" w:sz="0" w:space="0" w:color="auto"/>
      </w:divBdr>
    </w:div>
    <w:div w:id="1554611014">
      <w:bodyDiv w:val="1"/>
      <w:marLeft w:val="0"/>
      <w:marRight w:val="0"/>
      <w:marTop w:val="0"/>
      <w:marBottom w:val="0"/>
      <w:divBdr>
        <w:top w:val="none" w:sz="0" w:space="0" w:color="auto"/>
        <w:left w:val="none" w:sz="0" w:space="0" w:color="auto"/>
        <w:bottom w:val="none" w:sz="0" w:space="0" w:color="auto"/>
        <w:right w:val="none" w:sz="0" w:space="0" w:color="auto"/>
      </w:divBdr>
    </w:div>
    <w:div w:id="1557206209">
      <w:bodyDiv w:val="1"/>
      <w:marLeft w:val="0"/>
      <w:marRight w:val="0"/>
      <w:marTop w:val="0"/>
      <w:marBottom w:val="0"/>
      <w:divBdr>
        <w:top w:val="none" w:sz="0" w:space="0" w:color="auto"/>
        <w:left w:val="none" w:sz="0" w:space="0" w:color="auto"/>
        <w:bottom w:val="none" w:sz="0" w:space="0" w:color="auto"/>
        <w:right w:val="none" w:sz="0" w:space="0" w:color="auto"/>
      </w:divBdr>
    </w:div>
    <w:div w:id="1558323122">
      <w:bodyDiv w:val="1"/>
      <w:marLeft w:val="0"/>
      <w:marRight w:val="0"/>
      <w:marTop w:val="0"/>
      <w:marBottom w:val="0"/>
      <w:divBdr>
        <w:top w:val="none" w:sz="0" w:space="0" w:color="auto"/>
        <w:left w:val="none" w:sz="0" w:space="0" w:color="auto"/>
        <w:bottom w:val="none" w:sz="0" w:space="0" w:color="auto"/>
        <w:right w:val="none" w:sz="0" w:space="0" w:color="auto"/>
      </w:divBdr>
    </w:div>
    <w:div w:id="1563103589">
      <w:bodyDiv w:val="1"/>
      <w:marLeft w:val="0"/>
      <w:marRight w:val="0"/>
      <w:marTop w:val="0"/>
      <w:marBottom w:val="0"/>
      <w:divBdr>
        <w:top w:val="none" w:sz="0" w:space="0" w:color="auto"/>
        <w:left w:val="none" w:sz="0" w:space="0" w:color="auto"/>
        <w:bottom w:val="none" w:sz="0" w:space="0" w:color="auto"/>
        <w:right w:val="none" w:sz="0" w:space="0" w:color="auto"/>
      </w:divBdr>
    </w:div>
    <w:div w:id="1564487827">
      <w:bodyDiv w:val="1"/>
      <w:marLeft w:val="0"/>
      <w:marRight w:val="0"/>
      <w:marTop w:val="0"/>
      <w:marBottom w:val="0"/>
      <w:divBdr>
        <w:top w:val="none" w:sz="0" w:space="0" w:color="auto"/>
        <w:left w:val="none" w:sz="0" w:space="0" w:color="auto"/>
        <w:bottom w:val="none" w:sz="0" w:space="0" w:color="auto"/>
        <w:right w:val="none" w:sz="0" w:space="0" w:color="auto"/>
      </w:divBdr>
    </w:div>
    <w:div w:id="1574586547">
      <w:bodyDiv w:val="1"/>
      <w:marLeft w:val="0"/>
      <w:marRight w:val="0"/>
      <w:marTop w:val="0"/>
      <w:marBottom w:val="0"/>
      <w:divBdr>
        <w:top w:val="none" w:sz="0" w:space="0" w:color="auto"/>
        <w:left w:val="none" w:sz="0" w:space="0" w:color="auto"/>
        <w:bottom w:val="none" w:sz="0" w:space="0" w:color="auto"/>
        <w:right w:val="none" w:sz="0" w:space="0" w:color="auto"/>
      </w:divBdr>
    </w:div>
    <w:div w:id="1576624132">
      <w:bodyDiv w:val="1"/>
      <w:marLeft w:val="0"/>
      <w:marRight w:val="0"/>
      <w:marTop w:val="0"/>
      <w:marBottom w:val="0"/>
      <w:divBdr>
        <w:top w:val="none" w:sz="0" w:space="0" w:color="auto"/>
        <w:left w:val="none" w:sz="0" w:space="0" w:color="auto"/>
        <w:bottom w:val="none" w:sz="0" w:space="0" w:color="auto"/>
        <w:right w:val="none" w:sz="0" w:space="0" w:color="auto"/>
      </w:divBdr>
    </w:div>
    <w:div w:id="1589777338">
      <w:bodyDiv w:val="1"/>
      <w:marLeft w:val="0"/>
      <w:marRight w:val="0"/>
      <w:marTop w:val="0"/>
      <w:marBottom w:val="0"/>
      <w:divBdr>
        <w:top w:val="none" w:sz="0" w:space="0" w:color="auto"/>
        <w:left w:val="none" w:sz="0" w:space="0" w:color="auto"/>
        <w:bottom w:val="none" w:sz="0" w:space="0" w:color="auto"/>
        <w:right w:val="none" w:sz="0" w:space="0" w:color="auto"/>
      </w:divBdr>
      <w:divsChild>
        <w:div w:id="536507886">
          <w:marLeft w:val="0"/>
          <w:marRight w:val="0"/>
          <w:marTop w:val="0"/>
          <w:marBottom w:val="0"/>
          <w:divBdr>
            <w:top w:val="none" w:sz="0" w:space="0" w:color="auto"/>
            <w:left w:val="none" w:sz="0" w:space="0" w:color="auto"/>
            <w:bottom w:val="none" w:sz="0" w:space="0" w:color="auto"/>
            <w:right w:val="none" w:sz="0" w:space="0" w:color="auto"/>
          </w:divBdr>
          <w:divsChild>
            <w:div w:id="380595118">
              <w:marLeft w:val="0"/>
              <w:marRight w:val="0"/>
              <w:marTop w:val="0"/>
              <w:marBottom w:val="0"/>
              <w:divBdr>
                <w:top w:val="none" w:sz="0" w:space="0" w:color="auto"/>
                <w:left w:val="none" w:sz="0" w:space="0" w:color="auto"/>
                <w:bottom w:val="none" w:sz="0" w:space="0" w:color="auto"/>
                <w:right w:val="none" w:sz="0" w:space="0" w:color="auto"/>
              </w:divBdr>
              <w:divsChild>
                <w:div w:id="1394692219">
                  <w:marLeft w:val="0"/>
                  <w:marRight w:val="0"/>
                  <w:marTop w:val="0"/>
                  <w:marBottom w:val="0"/>
                  <w:divBdr>
                    <w:top w:val="none" w:sz="0" w:space="0" w:color="auto"/>
                    <w:left w:val="none" w:sz="0" w:space="0" w:color="auto"/>
                    <w:bottom w:val="none" w:sz="0" w:space="0" w:color="auto"/>
                    <w:right w:val="none" w:sz="0" w:space="0" w:color="auto"/>
                  </w:divBdr>
                  <w:divsChild>
                    <w:div w:id="1902397364">
                      <w:marLeft w:val="0"/>
                      <w:marRight w:val="0"/>
                      <w:marTop w:val="0"/>
                      <w:marBottom w:val="0"/>
                      <w:divBdr>
                        <w:top w:val="none" w:sz="0" w:space="0" w:color="auto"/>
                        <w:left w:val="none" w:sz="0" w:space="0" w:color="auto"/>
                        <w:bottom w:val="none" w:sz="0" w:space="0" w:color="auto"/>
                        <w:right w:val="none" w:sz="0" w:space="0" w:color="auto"/>
                      </w:divBdr>
                      <w:divsChild>
                        <w:div w:id="583494073">
                          <w:marLeft w:val="0"/>
                          <w:marRight w:val="0"/>
                          <w:marTop w:val="300"/>
                          <w:marBottom w:val="0"/>
                          <w:divBdr>
                            <w:top w:val="none" w:sz="0" w:space="0" w:color="auto"/>
                            <w:left w:val="none" w:sz="0" w:space="0" w:color="auto"/>
                            <w:bottom w:val="none" w:sz="0" w:space="0" w:color="auto"/>
                            <w:right w:val="none" w:sz="0" w:space="0" w:color="auto"/>
                          </w:divBdr>
                          <w:divsChild>
                            <w:div w:id="237253611">
                              <w:marLeft w:val="0"/>
                              <w:marRight w:val="0"/>
                              <w:marTop w:val="0"/>
                              <w:marBottom w:val="0"/>
                              <w:divBdr>
                                <w:top w:val="none" w:sz="0" w:space="0" w:color="auto"/>
                                <w:left w:val="none" w:sz="0" w:space="0" w:color="auto"/>
                                <w:bottom w:val="none" w:sz="0" w:space="0" w:color="auto"/>
                                <w:right w:val="none" w:sz="0" w:space="0" w:color="auto"/>
                              </w:divBdr>
                              <w:divsChild>
                                <w:div w:id="384181815">
                                  <w:marLeft w:val="0"/>
                                  <w:marRight w:val="0"/>
                                  <w:marTop w:val="0"/>
                                  <w:marBottom w:val="0"/>
                                  <w:divBdr>
                                    <w:top w:val="none" w:sz="0" w:space="0" w:color="auto"/>
                                    <w:left w:val="none" w:sz="0" w:space="0" w:color="auto"/>
                                    <w:bottom w:val="none" w:sz="0" w:space="0" w:color="auto"/>
                                    <w:right w:val="none" w:sz="0" w:space="0" w:color="auto"/>
                                  </w:divBdr>
                                </w:div>
                              </w:divsChild>
                            </w:div>
                            <w:div w:id="162237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865331">
      <w:bodyDiv w:val="1"/>
      <w:marLeft w:val="0"/>
      <w:marRight w:val="0"/>
      <w:marTop w:val="0"/>
      <w:marBottom w:val="0"/>
      <w:divBdr>
        <w:top w:val="none" w:sz="0" w:space="0" w:color="auto"/>
        <w:left w:val="none" w:sz="0" w:space="0" w:color="auto"/>
        <w:bottom w:val="none" w:sz="0" w:space="0" w:color="auto"/>
        <w:right w:val="none" w:sz="0" w:space="0" w:color="auto"/>
      </w:divBdr>
    </w:div>
    <w:div w:id="1601181474">
      <w:bodyDiv w:val="1"/>
      <w:marLeft w:val="0"/>
      <w:marRight w:val="0"/>
      <w:marTop w:val="0"/>
      <w:marBottom w:val="0"/>
      <w:divBdr>
        <w:top w:val="none" w:sz="0" w:space="0" w:color="auto"/>
        <w:left w:val="none" w:sz="0" w:space="0" w:color="auto"/>
        <w:bottom w:val="none" w:sz="0" w:space="0" w:color="auto"/>
        <w:right w:val="none" w:sz="0" w:space="0" w:color="auto"/>
      </w:divBdr>
    </w:div>
    <w:div w:id="1602715228">
      <w:bodyDiv w:val="1"/>
      <w:marLeft w:val="0"/>
      <w:marRight w:val="0"/>
      <w:marTop w:val="0"/>
      <w:marBottom w:val="0"/>
      <w:divBdr>
        <w:top w:val="none" w:sz="0" w:space="0" w:color="auto"/>
        <w:left w:val="none" w:sz="0" w:space="0" w:color="auto"/>
        <w:bottom w:val="none" w:sz="0" w:space="0" w:color="auto"/>
        <w:right w:val="none" w:sz="0" w:space="0" w:color="auto"/>
      </w:divBdr>
    </w:div>
    <w:div w:id="1602757002">
      <w:bodyDiv w:val="1"/>
      <w:marLeft w:val="0"/>
      <w:marRight w:val="0"/>
      <w:marTop w:val="0"/>
      <w:marBottom w:val="0"/>
      <w:divBdr>
        <w:top w:val="none" w:sz="0" w:space="0" w:color="auto"/>
        <w:left w:val="none" w:sz="0" w:space="0" w:color="auto"/>
        <w:bottom w:val="none" w:sz="0" w:space="0" w:color="auto"/>
        <w:right w:val="none" w:sz="0" w:space="0" w:color="auto"/>
      </w:divBdr>
    </w:div>
    <w:div w:id="1603028138">
      <w:bodyDiv w:val="1"/>
      <w:marLeft w:val="0"/>
      <w:marRight w:val="0"/>
      <w:marTop w:val="0"/>
      <w:marBottom w:val="0"/>
      <w:divBdr>
        <w:top w:val="none" w:sz="0" w:space="0" w:color="auto"/>
        <w:left w:val="none" w:sz="0" w:space="0" w:color="auto"/>
        <w:bottom w:val="none" w:sz="0" w:space="0" w:color="auto"/>
        <w:right w:val="none" w:sz="0" w:space="0" w:color="auto"/>
      </w:divBdr>
    </w:div>
    <w:div w:id="1606621651">
      <w:bodyDiv w:val="1"/>
      <w:marLeft w:val="0"/>
      <w:marRight w:val="0"/>
      <w:marTop w:val="0"/>
      <w:marBottom w:val="0"/>
      <w:divBdr>
        <w:top w:val="none" w:sz="0" w:space="0" w:color="auto"/>
        <w:left w:val="none" w:sz="0" w:space="0" w:color="auto"/>
        <w:bottom w:val="none" w:sz="0" w:space="0" w:color="auto"/>
        <w:right w:val="none" w:sz="0" w:space="0" w:color="auto"/>
      </w:divBdr>
    </w:div>
    <w:div w:id="1611859364">
      <w:bodyDiv w:val="1"/>
      <w:marLeft w:val="0"/>
      <w:marRight w:val="0"/>
      <w:marTop w:val="0"/>
      <w:marBottom w:val="0"/>
      <w:divBdr>
        <w:top w:val="none" w:sz="0" w:space="0" w:color="auto"/>
        <w:left w:val="none" w:sz="0" w:space="0" w:color="auto"/>
        <w:bottom w:val="none" w:sz="0" w:space="0" w:color="auto"/>
        <w:right w:val="none" w:sz="0" w:space="0" w:color="auto"/>
      </w:divBdr>
    </w:div>
    <w:div w:id="1612594290">
      <w:bodyDiv w:val="1"/>
      <w:marLeft w:val="0"/>
      <w:marRight w:val="0"/>
      <w:marTop w:val="0"/>
      <w:marBottom w:val="0"/>
      <w:divBdr>
        <w:top w:val="none" w:sz="0" w:space="0" w:color="auto"/>
        <w:left w:val="none" w:sz="0" w:space="0" w:color="auto"/>
        <w:bottom w:val="none" w:sz="0" w:space="0" w:color="auto"/>
        <w:right w:val="none" w:sz="0" w:space="0" w:color="auto"/>
      </w:divBdr>
    </w:div>
    <w:div w:id="1612779089">
      <w:bodyDiv w:val="1"/>
      <w:marLeft w:val="0"/>
      <w:marRight w:val="0"/>
      <w:marTop w:val="0"/>
      <w:marBottom w:val="0"/>
      <w:divBdr>
        <w:top w:val="none" w:sz="0" w:space="0" w:color="auto"/>
        <w:left w:val="none" w:sz="0" w:space="0" w:color="auto"/>
        <w:bottom w:val="none" w:sz="0" w:space="0" w:color="auto"/>
        <w:right w:val="none" w:sz="0" w:space="0" w:color="auto"/>
      </w:divBdr>
    </w:div>
    <w:div w:id="1614440360">
      <w:bodyDiv w:val="1"/>
      <w:marLeft w:val="0"/>
      <w:marRight w:val="0"/>
      <w:marTop w:val="0"/>
      <w:marBottom w:val="0"/>
      <w:divBdr>
        <w:top w:val="none" w:sz="0" w:space="0" w:color="auto"/>
        <w:left w:val="none" w:sz="0" w:space="0" w:color="auto"/>
        <w:bottom w:val="none" w:sz="0" w:space="0" w:color="auto"/>
        <w:right w:val="none" w:sz="0" w:space="0" w:color="auto"/>
      </w:divBdr>
    </w:div>
    <w:div w:id="1622684926">
      <w:bodyDiv w:val="1"/>
      <w:marLeft w:val="0"/>
      <w:marRight w:val="0"/>
      <w:marTop w:val="0"/>
      <w:marBottom w:val="0"/>
      <w:divBdr>
        <w:top w:val="none" w:sz="0" w:space="0" w:color="auto"/>
        <w:left w:val="none" w:sz="0" w:space="0" w:color="auto"/>
        <w:bottom w:val="none" w:sz="0" w:space="0" w:color="auto"/>
        <w:right w:val="none" w:sz="0" w:space="0" w:color="auto"/>
      </w:divBdr>
    </w:div>
    <w:div w:id="1623413734">
      <w:bodyDiv w:val="1"/>
      <w:marLeft w:val="0"/>
      <w:marRight w:val="0"/>
      <w:marTop w:val="0"/>
      <w:marBottom w:val="0"/>
      <w:divBdr>
        <w:top w:val="none" w:sz="0" w:space="0" w:color="auto"/>
        <w:left w:val="none" w:sz="0" w:space="0" w:color="auto"/>
        <w:bottom w:val="none" w:sz="0" w:space="0" w:color="auto"/>
        <w:right w:val="none" w:sz="0" w:space="0" w:color="auto"/>
      </w:divBdr>
    </w:div>
    <w:div w:id="1635990511">
      <w:bodyDiv w:val="1"/>
      <w:marLeft w:val="0"/>
      <w:marRight w:val="0"/>
      <w:marTop w:val="0"/>
      <w:marBottom w:val="0"/>
      <w:divBdr>
        <w:top w:val="none" w:sz="0" w:space="0" w:color="auto"/>
        <w:left w:val="none" w:sz="0" w:space="0" w:color="auto"/>
        <w:bottom w:val="none" w:sz="0" w:space="0" w:color="auto"/>
        <w:right w:val="none" w:sz="0" w:space="0" w:color="auto"/>
      </w:divBdr>
    </w:div>
    <w:div w:id="1637905020">
      <w:bodyDiv w:val="1"/>
      <w:marLeft w:val="0"/>
      <w:marRight w:val="0"/>
      <w:marTop w:val="0"/>
      <w:marBottom w:val="0"/>
      <w:divBdr>
        <w:top w:val="none" w:sz="0" w:space="0" w:color="auto"/>
        <w:left w:val="none" w:sz="0" w:space="0" w:color="auto"/>
        <w:bottom w:val="none" w:sz="0" w:space="0" w:color="auto"/>
        <w:right w:val="none" w:sz="0" w:space="0" w:color="auto"/>
      </w:divBdr>
    </w:div>
    <w:div w:id="1638225296">
      <w:bodyDiv w:val="1"/>
      <w:marLeft w:val="0"/>
      <w:marRight w:val="0"/>
      <w:marTop w:val="0"/>
      <w:marBottom w:val="0"/>
      <w:divBdr>
        <w:top w:val="none" w:sz="0" w:space="0" w:color="auto"/>
        <w:left w:val="none" w:sz="0" w:space="0" w:color="auto"/>
        <w:bottom w:val="none" w:sz="0" w:space="0" w:color="auto"/>
        <w:right w:val="none" w:sz="0" w:space="0" w:color="auto"/>
      </w:divBdr>
    </w:div>
    <w:div w:id="1648511351">
      <w:bodyDiv w:val="1"/>
      <w:marLeft w:val="0"/>
      <w:marRight w:val="0"/>
      <w:marTop w:val="0"/>
      <w:marBottom w:val="0"/>
      <w:divBdr>
        <w:top w:val="none" w:sz="0" w:space="0" w:color="auto"/>
        <w:left w:val="none" w:sz="0" w:space="0" w:color="auto"/>
        <w:bottom w:val="none" w:sz="0" w:space="0" w:color="auto"/>
        <w:right w:val="none" w:sz="0" w:space="0" w:color="auto"/>
      </w:divBdr>
    </w:div>
    <w:div w:id="1649826295">
      <w:bodyDiv w:val="1"/>
      <w:marLeft w:val="0"/>
      <w:marRight w:val="0"/>
      <w:marTop w:val="0"/>
      <w:marBottom w:val="0"/>
      <w:divBdr>
        <w:top w:val="none" w:sz="0" w:space="0" w:color="auto"/>
        <w:left w:val="none" w:sz="0" w:space="0" w:color="auto"/>
        <w:bottom w:val="none" w:sz="0" w:space="0" w:color="auto"/>
        <w:right w:val="none" w:sz="0" w:space="0" w:color="auto"/>
      </w:divBdr>
    </w:div>
    <w:div w:id="1653489597">
      <w:bodyDiv w:val="1"/>
      <w:marLeft w:val="0"/>
      <w:marRight w:val="0"/>
      <w:marTop w:val="0"/>
      <w:marBottom w:val="0"/>
      <w:divBdr>
        <w:top w:val="none" w:sz="0" w:space="0" w:color="auto"/>
        <w:left w:val="none" w:sz="0" w:space="0" w:color="auto"/>
        <w:bottom w:val="none" w:sz="0" w:space="0" w:color="auto"/>
        <w:right w:val="none" w:sz="0" w:space="0" w:color="auto"/>
      </w:divBdr>
    </w:div>
    <w:div w:id="1662197615">
      <w:bodyDiv w:val="1"/>
      <w:marLeft w:val="0"/>
      <w:marRight w:val="0"/>
      <w:marTop w:val="0"/>
      <w:marBottom w:val="0"/>
      <w:divBdr>
        <w:top w:val="none" w:sz="0" w:space="0" w:color="auto"/>
        <w:left w:val="none" w:sz="0" w:space="0" w:color="auto"/>
        <w:bottom w:val="none" w:sz="0" w:space="0" w:color="auto"/>
        <w:right w:val="none" w:sz="0" w:space="0" w:color="auto"/>
      </w:divBdr>
    </w:div>
    <w:div w:id="1668361063">
      <w:bodyDiv w:val="1"/>
      <w:marLeft w:val="0"/>
      <w:marRight w:val="0"/>
      <w:marTop w:val="0"/>
      <w:marBottom w:val="0"/>
      <w:divBdr>
        <w:top w:val="none" w:sz="0" w:space="0" w:color="auto"/>
        <w:left w:val="none" w:sz="0" w:space="0" w:color="auto"/>
        <w:bottom w:val="none" w:sz="0" w:space="0" w:color="auto"/>
        <w:right w:val="none" w:sz="0" w:space="0" w:color="auto"/>
      </w:divBdr>
    </w:div>
    <w:div w:id="1670520344">
      <w:bodyDiv w:val="1"/>
      <w:marLeft w:val="0"/>
      <w:marRight w:val="0"/>
      <w:marTop w:val="0"/>
      <w:marBottom w:val="0"/>
      <w:divBdr>
        <w:top w:val="none" w:sz="0" w:space="0" w:color="auto"/>
        <w:left w:val="none" w:sz="0" w:space="0" w:color="auto"/>
        <w:bottom w:val="none" w:sz="0" w:space="0" w:color="auto"/>
        <w:right w:val="none" w:sz="0" w:space="0" w:color="auto"/>
      </w:divBdr>
    </w:div>
    <w:div w:id="1672023530">
      <w:bodyDiv w:val="1"/>
      <w:marLeft w:val="0"/>
      <w:marRight w:val="0"/>
      <w:marTop w:val="0"/>
      <w:marBottom w:val="0"/>
      <w:divBdr>
        <w:top w:val="none" w:sz="0" w:space="0" w:color="auto"/>
        <w:left w:val="none" w:sz="0" w:space="0" w:color="auto"/>
        <w:bottom w:val="none" w:sz="0" w:space="0" w:color="auto"/>
        <w:right w:val="none" w:sz="0" w:space="0" w:color="auto"/>
      </w:divBdr>
    </w:div>
    <w:div w:id="1672221393">
      <w:bodyDiv w:val="1"/>
      <w:marLeft w:val="0"/>
      <w:marRight w:val="0"/>
      <w:marTop w:val="0"/>
      <w:marBottom w:val="0"/>
      <w:divBdr>
        <w:top w:val="none" w:sz="0" w:space="0" w:color="auto"/>
        <w:left w:val="none" w:sz="0" w:space="0" w:color="auto"/>
        <w:bottom w:val="none" w:sz="0" w:space="0" w:color="auto"/>
        <w:right w:val="none" w:sz="0" w:space="0" w:color="auto"/>
      </w:divBdr>
    </w:div>
    <w:div w:id="1675065824">
      <w:bodyDiv w:val="1"/>
      <w:marLeft w:val="0"/>
      <w:marRight w:val="0"/>
      <w:marTop w:val="0"/>
      <w:marBottom w:val="0"/>
      <w:divBdr>
        <w:top w:val="none" w:sz="0" w:space="0" w:color="auto"/>
        <w:left w:val="none" w:sz="0" w:space="0" w:color="auto"/>
        <w:bottom w:val="none" w:sz="0" w:space="0" w:color="auto"/>
        <w:right w:val="none" w:sz="0" w:space="0" w:color="auto"/>
      </w:divBdr>
    </w:div>
    <w:div w:id="1678649403">
      <w:bodyDiv w:val="1"/>
      <w:marLeft w:val="0"/>
      <w:marRight w:val="0"/>
      <w:marTop w:val="0"/>
      <w:marBottom w:val="0"/>
      <w:divBdr>
        <w:top w:val="none" w:sz="0" w:space="0" w:color="auto"/>
        <w:left w:val="none" w:sz="0" w:space="0" w:color="auto"/>
        <w:bottom w:val="none" w:sz="0" w:space="0" w:color="auto"/>
        <w:right w:val="none" w:sz="0" w:space="0" w:color="auto"/>
      </w:divBdr>
      <w:divsChild>
        <w:div w:id="71897912">
          <w:marLeft w:val="0"/>
          <w:marRight w:val="0"/>
          <w:marTop w:val="0"/>
          <w:marBottom w:val="0"/>
          <w:divBdr>
            <w:top w:val="none" w:sz="0" w:space="0" w:color="auto"/>
            <w:left w:val="none" w:sz="0" w:space="0" w:color="auto"/>
            <w:bottom w:val="none" w:sz="0" w:space="0" w:color="auto"/>
            <w:right w:val="none" w:sz="0" w:space="0" w:color="auto"/>
          </w:divBdr>
          <w:divsChild>
            <w:div w:id="475731693">
              <w:marLeft w:val="0"/>
              <w:marRight w:val="0"/>
              <w:marTop w:val="0"/>
              <w:marBottom w:val="0"/>
              <w:divBdr>
                <w:top w:val="none" w:sz="0" w:space="0" w:color="auto"/>
                <w:left w:val="none" w:sz="0" w:space="0" w:color="auto"/>
                <w:bottom w:val="none" w:sz="0" w:space="0" w:color="auto"/>
                <w:right w:val="none" w:sz="0" w:space="0" w:color="auto"/>
              </w:divBdr>
              <w:divsChild>
                <w:div w:id="2032604202">
                  <w:marLeft w:val="0"/>
                  <w:marRight w:val="0"/>
                  <w:marTop w:val="0"/>
                  <w:marBottom w:val="0"/>
                  <w:divBdr>
                    <w:top w:val="none" w:sz="0" w:space="0" w:color="auto"/>
                    <w:left w:val="none" w:sz="0" w:space="0" w:color="auto"/>
                    <w:bottom w:val="none" w:sz="0" w:space="0" w:color="auto"/>
                    <w:right w:val="none" w:sz="0" w:space="0" w:color="auto"/>
                  </w:divBdr>
                  <w:divsChild>
                    <w:div w:id="1361977409">
                      <w:marLeft w:val="0"/>
                      <w:marRight w:val="0"/>
                      <w:marTop w:val="0"/>
                      <w:marBottom w:val="0"/>
                      <w:divBdr>
                        <w:top w:val="none" w:sz="0" w:space="0" w:color="auto"/>
                        <w:left w:val="none" w:sz="0" w:space="0" w:color="auto"/>
                        <w:bottom w:val="none" w:sz="0" w:space="0" w:color="auto"/>
                        <w:right w:val="none" w:sz="0" w:space="0" w:color="auto"/>
                      </w:divBdr>
                      <w:divsChild>
                        <w:div w:id="1276407668">
                          <w:marLeft w:val="0"/>
                          <w:marRight w:val="0"/>
                          <w:marTop w:val="300"/>
                          <w:marBottom w:val="0"/>
                          <w:divBdr>
                            <w:top w:val="none" w:sz="0" w:space="0" w:color="auto"/>
                            <w:left w:val="none" w:sz="0" w:space="0" w:color="auto"/>
                            <w:bottom w:val="none" w:sz="0" w:space="0" w:color="auto"/>
                            <w:right w:val="none" w:sz="0" w:space="0" w:color="auto"/>
                          </w:divBdr>
                          <w:divsChild>
                            <w:div w:id="18794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354038">
      <w:bodyDiv w:val="1"/>
      <w:marLeft w:val="0"/>
      <w:marRight w:val="0"/>
      <w:marTop w:val="0"/>
      <w:marBottom w:val="0"/>
      <w:divBdr>
        <w:top w:val="none" w:sz="0" w:space="0" w:color="auto"/>
        <w:left w:val="none" w:sz="0" w:space="0" w:color="auto"/>
        <w:bottom w:val="none" w:sz="0" w:space="0" w:color="auto"/>
        <w:right w:val="none" w:sz="0" w:space="0" w:color="auto"/>
      </w:divBdr>
    </w:div>
    <w:div w:id="1687899921">
      <w:bodyDiv w:val="1"/>
      <w:marLeft w:val="0"/>
      <w:marRight w:val="0"/>
      <w:marTop w:val="0"/>
      <w:marBottom w:val="0"/>
      <w:divBdr>
        <w:top w:val="none" w:sz="0" w:space="0" w:color="auto"/>
        <w:left w:val="none" w:sz="0" w:space="0" w:color="auto"/>
        <w:bottom w:val="none" w:sz="0" w:space="0" w:color="auto"/>
        <w:right w:val="none" w:sz="0" w:space="0" w:color="auto"/>
      </w:divBdr>
    </w:div>
    <w:div w:id="1690402545">
      <w:bodyDiv w:val="1"/>
      <w:marLeft w:val="0"/>
      <w:marRight w:val="0"/>
      <w:marTop w:val="0"/>
      <w:marBottom w:val="0"/>
      <w:divBdr>
        <w:top w:val="none" w:sz="0" w:space="0" w:color="auto"/>
        <w:left w:val="none" w:sz="0" w:space="0" w:color="auto"/>
        <w:bottom w:val="none" w:sz="0" w:space="0" w:color="auto"/>
        <w:right w:val="none" w:sz="0" w:space="0" w:color="auto"/>
      </w:divBdr>
    </w:div>
    <w:div w:id="1691179173">
      <w:bodyDiv w:val="1"/>
      <w:marLeft w:val="0"/>
      <w:marRight w:val="0"/>
      <w:marTop w:val="0"/>
      <w:marBottom w:val="0"/>
      <w:divBdr>
        <w:top w:val="none" w:sz="0" w:space="0" w:color="auto"/>
        <w:left w:val="none" w:sz="0" w:space="0" w:color="auto"/>
        <w:bottom w:val="none" w:sz="0" w:space="0" w:color="auto"/>
        <w:right w:val="none" w:sz="0" w:space="0" w:color="auto"/>
      </w:divBdr>
    </w:div>
    <w:div w:id="1691295093">
      <w:bodyDiv w:val="1"/>
      <w:marLeft w:val="0"/>
      <w:marRight w:val="0"/>
      <w:marTop w:val="0"/>
      <w:marBottom w:val="0"/>
      <w:divBdr>
        <w:top w:val="none" w:sz="0" w:space="0" w:color="auto"/>
        <w:left w:val="none" w:sz="0" w:space="0" w:color="auto"/>
        <w:bottom w:val="none" w:sz="0" w:space="0" w:color="auto"/>
        <w:right w:val="none" w:sz="0" w:space="0" w:color="auto"/>
      </w:divBdr>
    </w:div>
    <w:div w:id="1691952170">
      <w:bodyDiv w:val="1"/>
      <w:marLeft w:val="0"/>
      <w:marRight w:val="0"/>
      <w:marTop w:val="0"/>
      <w:marBottom w:val="0"/>
      <w:divBdr>
        <w:top w:val="none" w:sz="0" w:space="0" w:color="auto"/>
        <w:left w:val="none" w:sz="0" w:space="0" w:color="auto"/>
        <w:bottom w:val="none" w:sz="0" w:space="0" w:color="auto"/>
        <w:right w:val="none" w:sz="0" w:space="0" w:color="auto"/>
      </w:divBdr>
    </w:div>
    <w:div w:id="1692605882">
      <w:bodyDiv w:val="1"/>
      <w:marLeft w:val="0"/>
      <w:marRight w:val="0"/>
      <w:marTop w:val="0"/>
      <w:marBottom w:val="0"/>
      <w:divBdr>
        <w:top w:val="none" w:sz="0" w:space="0" w:color="auto"/>
        <w:left w:val="none" w:sz="0" w:space="0" w:color="auto"/>
        <w:bottom w:val="none" w:sz="0" w:space="0" w:color="auto"/>
        <w:right w:val="none" w:sz="0" w:space="0" w:color="auto"/>
      </w:divBdr>
    </w:div>
    <w:div w:id="1699816389">
      <w:bodyDiv w:val="1"/>
      <w:marLeft w:val="0"/>
      <w:marRight w:val="0"/>
      <w:marTop w:val="0"/>
      <w:marBottom w:val="0"/>
      <w:divBdr>
        <w:top w:val="none" w:sz="0" w:space="0" w:color="auto"/>
        <w:left w:val="none" w:sz="0" w:space="0" w:color="auto"/>
        <w:bottom w:val="none" w:sz="0" w:space="0" w:color="auto"/>
        <w:right w:val="none" w:sz="0" w:space="0" w:color="auto"/>
      </w:divBdr>
    </w:div>
    <w:div w:id="1702433704">
      <w:bodyDiv w:val="1"/>
      <w:marLeft w:val="0"/>
      <w:marRight w:val="0"/>
      <w:marTop w:val="0"/>
      <w:marBottom w:val="0"/>
      <w:divBdr>
        <w:top w:val="none" w:sz="0" w:space="0" w:color="auto"/>
        <w:left w:val="none" w:sz="0" w:space="0" w:color="auto"/>
        <w:bottom w:val="none" w:sz="0" w:space="0" w:color="auto"/>
        <w:right w:val="none" w:sz="0" w:space="0" w:color="auto"/>
      </w:divBdr>
    </w:div>
    <w:div w:id="1717781010">
      <w:bodyDiv w:val="1"/>
      <w:marLeft w:val="0"/>
      <w:marRight w:val="0"/>
      <w:marTop w:val="0"/>
      <w:marBottom w:val="0"/>
      <w:divBdr>
        <w:top w:val="none" w:sz="0" w:space="0" w:color="auto"/>
        <w:left w:val="none" w:sz="0" w:space="0" w:color="auto"/>
        <w:bottom w:val="none" w:sz="0" w:space="0" w:color="auto"/>
        <w:right w:val="none" w:sz="0" w:space="0" w:color="auto"/>
      </w:divBdr>
    </w:div>
    <w:div w:id="1723599080">
      <w:bodyDiv w:val="1"/>
      <w:marLeft w:val="0"/>
      <w:marRight w:val="0"/>
      <w:marTop w:val="0"/>
      <w:marBottom w:val="0"/>
      <w:divBdr>
        <w:top w:val="none" w:sz="0" w:space="0" w:color="auto"/>
        <w:left w:val="none" w:sz="0" w:space="0" w:color="auto"/>
        <w:bottom w:val="none" w:sz="0" w:space="0" w:color="auto"/>
        <w:right w:val="none" w:sz="0" w:space="0" w:color="auto"/>
      </w:divBdr>
    </w:div>
    <w:div w:id="1725563633">
      <w:bodyDiv w:val="1"/>
      <w:marLeft w:val="0"/>
      <w:marRight w:val="0"/>
      <w:marTop w:val="0"/>
      <w:marBottom w:val="0"/>
      <w:divBdr>
        <w:top w:val="none" w:sz="0" w:space="0" w:color="auto"/>
        <w:left w:val="none" w:sz="0" w:space="0" w:color="auto"/>
        <w:bottom w:val="none" w:sz="0" w:space="0" w:color="auto"/>
        <w:right w:val="none" w:sz="0" w:space="0" w:color="auto"/>
      </w:divBdr>
    </w:div>
    <w:div w:id="1725717734">
      <w:bodyDiv w:val="1"/>
      <w:marLeft w:val="0"/>
      <w:marRight w:val="0"/>
      <w:marTop w:val="0"/>
      <w:marBottom w:val="0"/>
      <w:divBdr>
        <w:top w:val="none" w:sz="0" w:space="0" w:color="auto"/>
        <w:left w:val="none" w:sz="0" w:space="0" w:color="auto"/>
        <w:bottom w:val="none" w:sz="0" w:space="0" w:color="auto"/>
        <w:right w:val="none" w:sz="0" w:space="0" w:color="auto"/>
      </w:divBdr>
    </w:div>
    <w:div w:id="1733774374">
      <w:bodyDiv w:val="1"/>
      <w:marLeft w:val="0"/>
      <w:marRight w:val="0"/>
      <w:marTop w:val="0"/>
      <w:marBottom w:val="0"/>
      <w:divBdr>
        <w:top w:val="none" w:sz="0" w:space="0" w:color="auto"/>
        <w:left w:val="none" w:sz="0" w:space="0" w:color="auto"/>
        <w:bottom w:val="none" w:sz="0" w:space="0" w:color="auto"/>
        <w:right w:val="none" w:sz="0" w:space="0" w:color="auto"/>
      </w:divBdr>
    </w:div>
    <w:div w:id="1742632873">
      <w:bodyDiv w:val="1"/>
      <w:marLeft w:val="0"/>
      <w:marRight w:val="0"/>
      <w:marTop w:val="0"/>
      <w:marBottom w:val="0"/>
      <w:divBdr>
        <w:top w:val="none" w:sz="0" w:space="0" w:color="auto"/>
        <w:left w:val="none" w:sz="0" w:space="0" w:color="auto"/>
        <w:bottom w:val="none" w:sz="0" w:space="0" w:color="auto"/>
        <w:right w:val="none" w:sz="0" w:space="0" w:color="auto"/>
      </w:divBdr>
    </w:div>
    <w:div w:id="1742829037">
      <w:bodyDiv w:val="1"/>
      <w:marLeft w:val="0"/>
      <w:marRight w:val="0"/>
      <w:marTop w:val="0"/>
      <w:marBottom w:val="0"/>
      <w:divBdr>
        <w:top w:val="none" w:sz="0" w:space="0" w:color="auto"/>
        <w:left w:val="none" w:sz="0" w:space="0" w:color="auto"/>
        <w:bottom w:val="none" w:sz="0" w:space="0" w:color="auto"/>
        <w:right w:val="none" w:sz="0" w:space="0" w:color="auto"/>
      </w:divBdr>
    </w:div>
    <w:div w:id="1746566772">
      <w:bodyDiv w:val="1"/>
      <w:marLeft w:val="0"/>
      <w:marRight w:val="0"/>
      <w:marTop w:val="0"/>
      <w:marBottom w:val="0"/>
      <w:divBdr>
        <w:top w:val="none" w:sz="0" w:space="0" w:color="auto"/>
        <w:left w:val="none" w:sz="0" w:space="0" w:color="auto"/>
        <w:bottom w:val="none" w:sz="0" w:space="0" w:color="auto"/>
        <w:right w:val="none" w:sz="0" w:space="0" w:color="auto"/>
      </w:divBdr>
    </w:div>
    <w:div w:id="1751777673">
      <w:bodyDiv w:val="1"/>
      <w:marLeft w:val="0"/>
      <w:marRight w:val="0"/>
      <w:marTop w:val="0"/>
      <w:marBottom w:val="0"/>
      <w:divBdr>
        <w:top w:val="none" w:sz="0" w:space="0" w:color="auto"/>
        <w:left w:val="none" w:sz="0" w:space="0" w:color="auto"/>
        <w:bottom w:val="none" w:sz="0" w:space="0" w:color="auto"/>
        <w:right w:val="none" w:sz="0" w:space="0" w:color="auto"/>
      </w:divBdr>
    </w:div>
    <w:div w:id="1759593109">
      <w:bodyDiv w:val="1"/>
      <w:marLeft w:val="0"/>
      <w:marRight w:val="0"/>
      <w:marTop w:val="0"/>
      <w:marBottom w:val="0"/>
      <w:divBdr>
        <w:top w:val="none" w:sz="0" w:space="0" w:color="auto"/>
        <w:left w:val="none" w:sz="0" w:space="0" w:color="auto"/>
        <w:bottom w:val="none" w:sz="0" w:space="0" w:color="auto"/>
        <w:right w:val="none" w:sz="0" w:space="0" w:color="auto"/>
      </w:divBdr>
    </w:div>
    <w:div w:id="1759986917">
      <w:bodyDiv w:val="1"/>
      <w:marLeft w:val="0"/>
      <w:marRight w:val="0"/>
      <w:marTop w:val="0"/>
      <w:marBottom w:val="0"/>
      <w:divBdr>
        <w:top w:val="none" w:sz="0" w:space="0" w:color="auto"/>
        <w:left w:val="none" w:sz="0" w:space="0" w:color="auto"/>
        <w:bottom w:val="none" w:sz="0" w:space="0" w:color="auto"/>
        <w:right w:val="none" w:sz="0" w:space="0" w:color="auto"/>
      </w:divBdr>
    </w:div>
    <w:div w:id="1759987048">
      <w:bodyDiv w:val="1"/>
      <w:marLeft w:val="0"/>
      <w:marRight w:val="0"/>
      <w:marTop w:val="0"/>
      <w:marBottom w:val="0"/>
      <w:divBdr>
        <w:top w:val="none" w:sz="0" w:space="0" w:color="auto"/>
        <w:left w:val="none" w:sz="0" w:space="0" w:color="auto"/>
        <w:bottom w:val="none" w:sz="0" w:space="0" w:color="auto"/>
        <w:right w:val="none" w:sz="0" w:space="0" w:color="auto"/>
      </w:divBdr>
      <w:divsChild>
        <w:div w:id="1176075776">
          <w:marLeft w:val="0"/>
          <w:marRight w:val="0"/>
          <w:marTop w:val="0"/>
          <w:marBottom w:val="0"/>
          <w:divBdr>
            <w:top w:val="none" w:sz="0" w:space="0" w:color="auto"/>
            <w:left w:val="none" w:sz="0" w:space="0" w:color="auto"/>
            <w:bottom w:val="none" w:sz="0" w:space="0" w:color="auto"/>
            <w:right w:val="none" w:sz="0" w:space="0" w:color="auto"/>
          </w:divBdr>
          <w:divsChild>
            <w:div w:id="2035183672">
              <w:marLeft w:val="0"/>
              <w:marRight w:val="0"/>
              <w:marTop w:val="0"/>
              <w:marBottom w:val="0"/>
              <w:divBdr>
                <w:top w:val="none" w:sz="0" w:space="0" w:color="auto"/>
                <w:left w:val="none" w:sz="0" w:space="0" w:color="auto"/>
                <w:bottom w:val="none" w:sz="0" w:space="0" w:color="auto"/>
                <w:right w:val="none" w:sz="0" w:space="0" w:color="auto"/>
              </w:divBdr>
              <w:divsChild>
                <w:div w:id="675232055">
                  <w:marLeft w:val="0"/>
                  <w:marRight w:val="0"/>
                  <w:marTop w:val="0"/>
                  <w:marBottom w:val="0"/>
                  <w:divBdr>
                    <w:top w:val="none" w:sz="0" w:space="0" w:color="auto"/>
                    <w:left w:val="none" w:sz="0" w:space="0" w:color="auto"/>
                    <w:bottom w:val="none" w:sz="0" w:space="0" w:color="auto"/>
                    <w:right w:val="none" w:sz="0" w:space="0" w:color="auto"/>
                  </w:divBdr>
                  <w:divsChild>
                    <w:div w:id="392967486">
                      <w:marLeft w:val="0"/>
                      <w:marRight w:val="0"/>
                      <w:marTop w:val="0"/>
                      <w:marBottom w:val="0"/>
                      <w:divBdr>
                        <w:top w:val="none" w:sz="0" w:space="0" w:color="auto"/>
                        <w:left w:val="none" w:sz="0" w:space="0" w:color="auto"/>
                        <w:bottom w:val="none" w:sz="0" w:space="0" w:color="auto"/>
                        <w:right w:val="none" w:sz="0" w:space="0" w:color="auto"/>
                      </w:divBdr>
                      <w:divsChild>
                        <w:div w:id="3242258">
                          <w:marLeft w:val="0"/>
                          <w:marRight w:val="0"/>
                          <w:marTop w:val="300"/>
                          <w:marBottom w:val="0"/>
                          <w:divBdr>
                            <w:top w:val="none" w:sz="0" w:space="0" w:color="auto"/>
                            <w:left w:val="none" w:sz="0" w:space="0" w:color="auto"/>
                            <w:bottom w:val="none" w:sz="0" w:space="0" w:color="auto"/>
                            <w:right w:val="none" w:sz="0" w:space="0" w:color="auto"/>
                          </w:divBdr>
                          <w:divsChild>
                            <w:div w:id="168416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408047">
      <w:bodyDiv w:val="1"/>
      <w:marLeft w:val="0"/>
      <w:marRight w:val="0"/>
      <w:marTop w:val="0"/>
      <w:marBottom w:val="0"/>
      <w:divBdr>
        <w:top w:val="none" w:sz="0" w:space="0" w:color="auto"/>
        <w:left w:val="none" w:sz="0" w:space="0" w:color="auto"/>
        <w:bottom w:val="none" w:sz="0" w:space="0" w:color="auto"/>
        <w:right w:val="none" w:sz="0" w:space="0" w:color="auto"/>
      </w:divBdr>
    </w:div>
    <w:div w:id="1763721854">
      <w:bodyDiv w:val="1"/>
      <w:marLeft w:val="0"/>
      <w:marRight w:val="0"/>
      <w:marTop w:val="0"/>
      <w:marBottom w:val="0"/>
      <w:divBdr>
        <w:top w:val="none" w:sz="0" w:space="0" w:color="auto"/>
        <w:left w:val="none" w:sz="0" w:space="0" w:color="auto"/>
        <w:bottom w:val="none" w:sz="0" w:space="0" w:color="auto"/>
        <w:right w:val="none" w:sz="0" w:space="0" w:color="auto"/>
      </w:divBdr>
    </w:div>
    <w:div w:id="1764568034">
      <w:bodyDiv w:val="1"/>
      <w:marLeft w:val="0"/>
      <w:marRight w:val="0"/>
      <w:marTop w:val="0"/>
      <w:marBottom w:val="0"/>
      <w:divBdr>
        <w:top w:val="none" w:sz="0" w:space="0" w:color="auto"/>
        <w:left w:val="none" w:sz="0" w:space="0" w:color="auto"/>
        <w:bottom w:val="none" w:sz="0" w:space="0" w:color="auto"/>
        <w:right w:val="none" w:sz="0" w:space="0" w:color="auto"/>
      </w:divBdr>
    </w:div>
    <w:div w:id="1765151436">
      <w:bodyDiv w:val="1"/>
      <w:marLeft w:val="0"/>
      <w:marRight w:val="0"/>
      <w:marTop w:val="0"/>
      <w:marBottom w:val="0"/>
      <w:divBdr>
        <w:top w:val="none" w:sz="0" w:space="0" w:color="auto"/>
        <w:left w:val="none" w:sz="0" w:space="0" w:color="auto"/>
        <w:bottom w:val="none" w:sz="0" w:space="0" w:color="auto"/>
        <w:right w:val="none" w:sz="0" w:space="0" w:color="auto"/>
      </w:divBdr>
    </w:div>
    <w:div w:id="1768622111">
      <w:bodyDiv w:val="1"/>
      <w:marLeft w:val="0"/>
      <w:marRight w:val="0"/>
      <w:marTop w:val="0"/>
      <w:marBottom w:val="0"/>
      <w:divBdr>
        <w:top w:val="none" w:sz="0" w:space="0" w:color="auto"/>
        <w:left w:val="none" w:sz="0" w:space="0" w:color="auto"/>
        <w:bottom w:val="none" w:sz="0" w:space="0" w:color="auto"/>
        <w:right w:val="none" w:sz="0" w:space="0" w:color="auto"/>
      </w:divBdr>
    </w:div>
    <w:div w:id="1769813336">
      <w:bodyDiv w:val="1"/>
      <w:marLeft w:val="0"/>
      <w:marRight w:val="0"/>
      <w:marTop w:val="0"/>
      <w:marBottom w:val="0"/>
      <w:divBdr>
        <w:top w:val="none" w:sz="0" w:space="0" w:color="auto"/>
        <w:left w:val="none" w:sz="0" w:space="0" w:color="auto"/>
        <w:bottom w:val="none" w:sz="0" w:space="0" w:color="auto"/>
        <w:right w:val="none" w:sz="0" w:space="0" w:color="auto"/>
      </w:divBdr>
    </w:div>
    <w:div w:id="1782798224">
      <w:bodyDiv w:val="1"/>
      <w:marLeft w:val="0"/>
      <w:marRight w:val="0"/>
      <w:marTop w:val="0"/>
      <w:marBottom w:val="0"/>
      <w:divBdr>
        <w:top w:val="none" w:sz="0" w:space="0" w:color="auto"/>
        <w:left w:val="none" w:sz="0" w:space="0" w:color="auto"/>
        <w:bottom w:val="none" w:sz="0" w:space="0" w:color="auto"/>
        <w:right w:val="none" w:sz="0" w:space="0" w:color="auto"/>
      </w:divBdr>
    </w:div>
    <w:div w:id="1782993282">
      <w:bodyDiv w:val="1"/>
      <w:marLeft w:val="0"/>
      <w:marRight w:val="0"/>
      <w:marTop w:val="0"/>
      <w:marBottom w:val="0"/>
      <w:divBdr>
        <w:top w:val="none" w:sz="0" w:space="0" w:color="auto"/>
        <w:left w:val="none" w:sz="0" w:space="0" w:color="auto"/>
        <w:bottom w:val="none" w:sz="0" w:space="0" w:color="auto"/>
        <w:right w:val="none" w:sz="0" w:space="0" w:color="auto"/>
      </w:divBdr>
    </w:div>
    <w:div w:id="1785802274">
      <w:bodyDiv w:val="1"/>
      <w:marLeft w:val="0"/>
      <w:marRight w:val="0"/>
      <w:marTop w:val="0"/>
      <w:marBottom w:val="0"/>
      <w:divBdr>
        <w:top w:val="none" w:sz="0" w:space="0" w:color="auto"/>
        <w:left w:val="none" w:sz="0" w:space="0" w:color="auto"/>
        <w:bottom w:val="none" w:sz="0" w:space="0" w:color="auto"/>
        <w:right w:val="none" w:sz="0" w:space="0" w:color="auto"/>
      </w:divBdr>
    </w:div>
    <w:div w:id="1791624956">
      <w:bodyDiv w:val="1"/>
      <w:marLeft w:val="0"/>
      <w:marRight w:val="0"/>
      <w:marTop w:val="0"/>
      <w:marBottom w:val="0"/>
      <w:divBdr>
        <w:top w:val="none" w:sz="0" w:space="0" w:color="auto"/>
        <w:left w:val="none" w:sz="0" w:space="0" w:color="auto"/>
        <w:bottom w:val="none" w:sz="0" w:space="0" w:color="auto"/>
        <w:right w:val="none" w:sz="0" w:space="0" w:color="auto"/>
      </w:divBdr>
    </w:div>
    <w:div w:id="1792899099">
      <w:bodyDiv w:val="1"/>
      <w:marLeft w:val="0"/>
      <w:marRight w:val="0"/>
      <w:marTop w:val="0"/>
      <w:marBottom w:val="0"/>
      <w:divBdr>
        <w:top w:val="none" w:sz="0" w:space="0" w:color="auto"/>
        <w:left w:val="none" w:sz="0" w:space="0" w:color="auto"/>
        <w:bottom w:val="none" w:sz="0" w:space="0" w:color="auto"/>
        <w:right w:val="none" w:sz="0" w:space="0" w:color="auto"/>
      </w:divBdr>
    </w:div>
    <w:div w:id="1801414483">
      <w:bodyDiv w:val="1"/>
      <w:marLeft w:val="0"/>
      <w:marRight w:val="0"/>
      <w:marTop w:val="0"/>
      <w:marBottom w:val="0"/>
      <w:divBdr>
        <w:top w:val="none" w:sz="0" w:space="0" w:color="auto"/>
        <w:left w:val="none" w:sz="0" w:space="0" w:color="auto"/>
        <w:bottom w:val="none" w:sz="0" w:space="0" w:color="auto"/>
        <w:right w:val="none" w:sz="0" w:space="0" w:color="auto"/>
      </w:divBdr>
    </w:div>
    <w:div w:id="1803421114">
      <w:bodyDiv w:val="1"/>
      <w:marLeft w:val="0"/>
      <w:marRight w:val="0"/>
      <w:marTop w:val="0"/>
      <w:marBottom w:val="0"/>
      <w:divBdr>
        <w:top w:val="none" w:sz="0" w:space="0" w:color="auto"/>
        <w:left w:val="none" w:sz="0" w:space="0" w:color="auto"/>
        <w:bottom w:val="none" w:sz="0" w:space="0" w:color="auto"/>
        <w:right w:val="none" w:sz="0" w:space="0" w:color="auto"/>
      </w:divBdr>
    </w:div>
    <w:div w:id="1804419765">
      <w:bodyDiv w:val="1"/>
      <w:marLeft w:val="0"/>
      <w:marRight w:val="0"/>
      <w:marTop w:val="0"/>
      <w:marBottom w:val="0"/>
      <w:divBdr>
        <w:top w:val="none" w:sz="0" w:space="0" w:color="auto"/>
        <w:left w:val="none" w:sz="0" w:space="0" w:color="auto"/>
        <w:bottom w:val="none" w:sz="0" w:space="0" w:color="auto"/>
        <w:right w:val="none" w:sz="0" w:space="0" w:color="auto"/>
      </w:divBdr>
    </w:div>
    <w:div w:id="1804689379">
      <w:bodyDiv w:val="1"/>
      <w:marLeft w:val="0"/>
      <w:marRight w:val="0"/>
      <w:marTop w:val="0"/>
      <w:marBottom w:val="0"/>
      <w:divBdr>
        <w:top w:val="none" w:sz="0" w:space="0" w:color="auto"/>
        <w:left w:val="none" w:sz="0" w:space="0" w:color="auto"/>
        <w:bottom w:val="none" w:sz="0" w:space="0" w:color="auto"/>
        <w:right w:val="none" w:sz="0" w:space="0" w:color="auto"/>
      </w:divBdr>
    </w:div>
    <w:div w:id="1805150012">
      <w:bodyDiv w:val="1"/>
      <w:marLeft w:val="0"/>
      <w:marRight w:val="0"/>
      <w:marTop w:val="0"/>
      <w:marBottom w:val="0"/>
      <w:divBdr>
        <w:top w:val="none" w:sz="0" w:space="0" w:color="auto"/>
        <w:left w:val="none" w:sz="0" w:space="0" w:color="auto"/>
        <w:bottom w:val="none" w:sz="0" w:space="0" w:color="auto"/>
        <w:right w:val="none" w:sz="0" w:space="0" w:color="auto"/>
      </w:divBdr>
    </w:div>
    <w:div w:id="1805734433">
      <w:bodyDiv w:val="1"/>
      <w:marLeft w:val="0"/>
      <w:marRight w:val="0"/>
      <w:marTop w:val="0"/>
      <w:marBottom w:val="0"/>
      <w:divBdr>
        <w:top w:val="none" w:sz="0" w:space="0" w:color="auto"/>
        <w:left w:val="none" w:sz="0" w:space="0" w:color="auto"/>
        <w:bottom w:val="none" w:sz="0" w:space="0" w:color="auto"/>
        <w:right w:val="none" w:sz="0" w:space="0" w:color="auto"/>
      </w:divBdr>
    </w:div>
    <w:div w:id="1805922227">
      <w:bodyDiv w:val="1"/>
      <w:marLeft w:val="0"/>
      <w:marRight w:val="0"/>
      <w:marTop w:val="0"/>
      <w:marBottom w:val="0"/>
      <w:divBdr>
        <w:top w:val="none" w:sz="0" w:space="0" w:color="auto"/>
        <w:left w:val="none" w:sz="0" w:space="0" w:color="auto"/>
        <w:bottom w:val="none" w:sz="0" w:space="0" w:color="auto"/>
        <w:right w:val="none" w:sz="0" w:space="0" w:color="auto"/>
      </w:divBdr>
    </w:div>
    <w:div w:id="1806313590">
      <w:bodyDiv w:val="1"/>
      <w:marLeft w:val="0"/>
      <w:marRight w:val="0"/>
      <w:marTop w:val="0"/>
      <w:marBottom w:val="0"/>
      <w:divBdr>
        <w:top w:val="none" w:sz="0" w:space="0" w:color="auto"/>
        <w:left w:val="none" w:sz="0" w:space="0" w:color="auto"/>
        <w:bottom w:val="none" w:sz="0" w:space="0" w:color="auto"/>
        <w:right w:val="none" w:sz="0" w:space="0" w:color="auto"/>
      </w:divBdr>
    </w:div>
    <w:div w:id="1806509668">
      <w:bodyDiv w:val="1"/>
      <w:marLeft w:val="0"/>
      <w:marRight w:val="0"/>
      <w:marTop w:val="0"/>
      <w:marBottom w:val="0"/>
      <w:divBdr>
        <w:top w:val="none" w:sz="0" w:space="0" w:color="auto"/>
        <w:left w:val="none" w:sz="0" w:space="0" w:color="auto"/>
        <w:bottom w:val="none" w:sz="0" w:space="0" w:color="auto"/>
        <w:right w:val="none" w:sz="0" w:space="0" w:color="auto"/>
      </w:divBdr>
      <w:divsChild>
        <w:div w:id="1066222730">
          <w:marLeft w:val="0"/>
          <w:marRight w:val="0"/>
          <w:marTop w:val="0"/>
          <w:marBottom w:val="0"/>
          <w:divBdr>
            <w:top w:val="none" w:sz="0" w:space="0" w:color="auto"/>
            <w:left w:val="none" w:sz="0" w:space="0" w:color="auto"/>
            <w:bottom w:val="none" w:sz="0" w:space="0" w:color="auto"/>
            <w:right w:val="none" w:sz="0" w:space="0" w:color="auto"/>
          </w:divBdr>
          <w:divsChild>
            <w:div w:id="1491556256">
              <w:marLeft w:val="0"/>
              <w:marRight w:val="0"/>
              <w:marTop w:val="0"/>
              <w:marBottom w:val="0"/>
              <w:divBdr>
                <w:top w:val="none" w:sz="0" w:space="0" w:color="auto"/>
                <w:left w:val="none" w:sz="0" w:space="0" w:color="auto"/>
                <w:bottom w:val="none" w:sz="0" w:space="0" w:color="auto"/>
                <w:right w:val="none" w:sz="0" w:space="0" w:color="auto"/>
              </w:divBdr>
              <w:divsChild>
                <w:div w:id="1101102942">
                  <w:marLeft w:val="0"/>
                  <w:marRight w:val="0"/>
                  <w:marTop w:val="0"/>
                  <w:marBottom w:val="0"/>
                  <w:divBdr>
                    <w:top w:val="none" w:sz="0" w:space="0" w:color="auto"/>
                    <w:left w:val="none" w:sz="0" w:space="0" w:color="auto"/>
                    <w:bottom w:val="none" w:sz="0" w:space="0" w:color="auto"/>
                    <w:right w:val="none" w:sz="0" w:space="0" w:color="auto"/>
                  </w:divBdr>
                  <w:divsChild>
                    <w:div w:id="67727536">
                      <w:marLeft w:val="0"/>
                      <w:marRight w:val="0"/>
                      <w:marTop w:val="0"/>
                      <w:marBottom w:val="0"/>
                      <w:divBdr>
                        <w:top w:val="none" w:sz="0" w:space="0" w:color="auto"/>
                        <w:left w:val="none" w:sz="0" w:space="0" w:color="auto"/>
                        <w:bottom w:val="none" w:sz="0" w:space="0" w:color="auto"/>
                        <w:right w:val="none" w:sz="0" w:space="0" w:color="auto"/>
                      </w:divBdr>
                      <w:divsChild>
                        <w:div w:id="46925363">
                          <w:marLeft w:val="0"/>
                          <w:marRight w:val="0"/>
                          <w:marTop w:val="0"/>
                          <w:marBottom w:val="0"/>
                          <w:divBdr>
                            <w:top w:val="none" w:sz="0" w:space="0" w:color="auto"/>
                            <w:left w:val="none" w:sz="0" w:space="0" w:color="auto"/>
                            <w:bottom w:val="none" w:sz="0" w:space="0" w:color="auto"/>
                            <w:right w:val="none" w:sz="0" w:space="0" w:color="auto"/>
                          </w:divBdr>
                          <w:divsChild>
                            <w:div w:id="208833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8157549">
      <w:bodyDiv w:val="1"/>
      <w:marLeft w:val="0"/>
      <w:marRight w:val="0"/>
      <w:marTop w:val="0"/>
      <w:marBottom w:val="0"/>
      <w:divBdr>
        <w:top w:val="none" w:sz="0" w:space="0" w:color="auto"/>
        <w:left w:val="none" w:sz="0" w:space="0" w:color="auto"/>
        <w:bottom w:val="none" w:sz="0" w:space="0" w:color="auto"/>
        <w:right w:val="none" w:sz="0" w:space="0" w:color="auto"/>
      </w:divBdr>
    </w:div>
    <w:div w:id="1812357344">
      <w:bodyDiv w:val="1"/>
      <w:marLeft w:val="0"/>
      <w:marRight w:val="0"/>
      <w:marTop w:val="0"/>
      <w:marBottom w:val="0"/>
      <w:divBdr>
        <w:top w:val="none" w:sz="0" w:space="0" w:color="auto"/>
        <w:left w:val="none" w:sz="0" w:space="0" w:color="auto"/>
        <w:bottom w:val="none" w:sz="0" w:space="0" w:color="auto"/>
        <w:right w:val="none" w:sz="0" w:space="0" w:color="auto"/>
      </w:divBdr>
    </w:div>
    <w:div w:id="1818181948">
      <w:bodyDiv w:val="1"/>
      <w:marLeft w:val="0"/>
      <w:marRight w:val="0"/>
      <w:marTop w:val="0"/>
      <w:marBottom w:val="0"/>
      <w:divBdr>
        <w:top w:val="none" w:sz="0" w:space="0" w:color="auto"/>
        <w:left w:val="none" w:sz="0" w:space="0" w:color="auto"/>
        <w:bottom w:val="none" w:sz="0" w:space="0" w:color="auto"/>
        <w:right w:val="none" w:sz="0" w:space="0" w:color="auto"/>
      </w:divBdr>
    </w:div>
    <w:div w:id="1821573382">
      <w:bodyDiv w:val="1"/>
      <w:marLeft w:val="0"/>
      <w:marRight w:val="0"/>
      <w:marTop w:val="0"/>
      <w:marBottom w:val="0"/>
      <w:divBdr>
        <w:top w:val="none" w:sz="0" w:space="0" w:color="auto"/>
        <w:left w:val="none" w:sz="0" w:space="0" w:color="auto"/>
        <w:bottom w:val="none" w:sz="0" w:space="0" w:color="auto"/>
        <w:right w:val="none" w:sz="0" w:space="0" w:color="auto"/>
      </w:divBdr>
    </w:div>
    <w:div w:id="1824613840">
      <w:bodyDiv w:val="1"/>
      <w:marLeft w:val="0"/>
      <w:marRight w:val="0"/>
      <w:marTop w:val="0"/>
      <w:marBottom w:val="0"/>
      <w:divBdr>
        <w:top w:val="none" w:sz="0" w:space="0" w:color="auto"/>
        <w:left w:val="none" w:sz="0" w:space="0" w:color="auto"/>
        <w:bottom w:val="none" w:sz="0" w:space="0" w:color="auto"/>
        <w:right w:val="none" w:sz="0" w:space="0" w:color="auto"/>
      </w:divBdr>
    </w:div>
    <w:div w:id="1826773409">
      <w:bodyDiv w:val="1"/>
      <w:marLeft w:val="0"/>
      <w:marRight w:val="0"/>
      <w:marTop w:val="0"/>
      <w:marBottom w:val="0"/>
      <w:divBdr>
        <w:top w:val="none" w:sz="0" w:space="0" w:color="auto"/>
        <w:left w:val="none" w:sz="0" w:space="0" w:color="auto"/>
        <w:bottom w:val="none" w:sz="0" w:space="0" w:color="auto"/>
        <w:right w:val="none" w:sz="0" w:space="0" w:color="auto"/>
      </w:divBdr>
    </w:div>
    <w:div w:id="1827239274">
      <w:bodyDiv w:val="1"/>
      <w:marLeft w:val="0"/>
      <w:marRight w:val="0"/>
      <w:marTop w:val="0"/>
      <w:marBottom w:val="0"/>
      <w:divBdr>
        <w:top w:val="none" w:sz="0" w:space="0" w:color="auto"/>
        <w:left w:val="none" w:sz="0" w:space="0" w:color="auto"/>
        <w:bottom w:val="none" w:sz="0" w:space="0" w:color="auto"/>
        <w:right w:val="none" w:sz="0" w:space="0" w:color="auto"/>
      </w:divBdr>
    </w:div>
    <w:div w:id="1834174630">
      <w:bodyDiv w:val="1"/>
      <w:marLeft w:val="0"/>
      <w:marRight w:val="0"/>
      <w:marTop w:val="0"/>
      <w:marBottom w:val="0"/>
      <w:divBdr>
        <w:top w:val="none" w:sz="0" w:space="0" w:color="auto"/>
        <w:left w:val="none" w:sz="0" w:space="0" w:color="auto"/>
        <w:bottom w:val="none" w:sz="0" w:space="0" w:color="auto"/>
        <w:right w:val="none" w:sz="0" w:space="0" w:color="auto"/>
      </w:divBdr>
    </w:div>
    <w:div w:id="1836069934">
      <w:bodyDiv w:val="1"/>
      <w:marLeft w:val="0"/>
      <w:marRight w:val="0"/>
      <w:marTop w:val="0"/>
      <w:marBottom w:val="0"/>
      <w:divBdr>
        <w:top w:val="none" w:sz="0" w:space="0" w:color="auto"/>
        <w:left w:val="none" w:sz="0" w:space="0" w:color="auto"/>
        <w:bottom w:val="none" w:sz="0" w:space="0" w:color="auto"/>
        <w:right w:val="none" w:sz="0" w:space="0" w:color="auto"/>
      </w:divBdr>
    </w:div>
    <w:div w:id="1842043855">
      <w:bodyDiv w:val="1"/>
      <w:marLeft w:val="0"/>
      <w:marRight w:val="0"/>
      <w:marTop w:val="0"/>
      <w:marBottom w:val="0"/>
      <w:divBdr>
        <w:top w:val="none" w:sz="0" w:space="0" w:color="auto"/>
        <w:left w:val="none" w:sz="0" w:space="0" w:color="auto"/>
        <w:bottom w:val="none" w:sz="0" w:space="0" w:color="auto"/>
        <w:right w:val="none" w:sz="0" w:space="0" w:color="auto"/>
      </w:divBdr>
    </w:div>
    <w:div w:id="1842770092">
      <w:bodyDiv w:val="1"/>
      <w:marLeft w:val="0"/>
      <w:marRight w:val="0"/>
      <w:marTop w:val="0"/>
      <w:marBottom w:val="0"/>
      <w:divBdr>
        <w:top w:val="none" w:sz="0" w:space="0" w:color="auto"/>
        <w:left w:val="none" w:sz="0" w:space="0" w:color="auto"/>
        <w:bottom w:val="none" w:sz="0" w:space="0" w:color="auto"/>
        <w:right w:val="none" w:sz="0" w:space="0" w:color="auto"/>
      </w:divBdr>
      <w:divsChild>
        <w:div w:id="780759938">
          <w:marLeft w:val="0"/>
          <w:marRight w:val="0"/>
          <w:marTop w:val="0"/>
          <w:marBottom w:val="0"/>
          <w:divBdr>
            <w:top w:val="none" w:sz="0" w:space="0" w:color="auto"/>
            <w:left w:val="none" w:sz="0" w:space="0" w:color="auto"/>
            <w:bottom w:val="none" w:sz="0" w:space="0" w:color="auto"/>
            <w:right w:val="none" w:sz="0" w:space="0" w:color="auto"/>
          </w:divBdr>
          <w:divsChild>
            <w:div w:id="961695587">
              <w:marLeft w:val="0"/>
              <w:marRight w:val="0"/>
              <w:marTop w:val="0"/>
              <w:marBottom w:val="0"/>
              <w:divBdr>
                <w:top w:val="none" w:sz="0" w:space="0" w:color="auto"/>
                <w:left w:val="none" w:sz="0" w:space="0" w:color="auto"/>
                <w:bottom w:val="none" w:sz="0" w:space="0" w:color="auto"/>
                <w:right w:val="none" w:sz="0" w:space="0" w:color="auto"/>
              </w:divBdr>
              <w:divsChild>
                <w:div w:id="1105268034">
                  <w:marLeft w:val="0"/>
                  <w:marRight w:val="0"/>
                  <w:marTop w:val="0"/>
                  <w:marBottom w:val="0"/>
                  <w:divBdr>
                    <w:top w:val="none" w:sz="0" w:space="0" w:color="auto"/>
                    <w:left w:val="none" w:sz="0" w:space="0" w:color="auto"/>
                    <w:bottom w:val="none" w:sz="0" w:space="0" w:color="auto"/>
                    <w:right w:val="none" w:sz="0" w:space="0" w:color="auto"/>
                  </w:divBdr>
                  <w:divsChild>
                    <w:div w:id="1404374596">
                      <w:marLeft w:val="0"/>
                      <w:marRight w:val="0"/>
                      <w:marTop w:val="0"/>
                      <w:marBottom w:val="0"/>
                      <w:divBdr>
                        <w:top w:val="none" w:sz="0" w:space="0" w:color="auto"/>
                        <w:left w:val="none" w:sz="0" w:space="0" w:color="auto"/>
                        <w:bottom w:val="none" w:sz="0" w:space="0" w:color="auto"/>
                        <w:right w:val="none" w:sz="0" w:space="0" w:color="auto"/>
                      </w:divBdr>
                      <w:divsChild>
                        <w:div w:id="837960968">
                          <w:marLeft w:val="0"/>
                          <w:marRight w:val="0"/>
                          <w:marTop w:val="300"/>
                          <w:marBottom w:val="0"/>
                          <w:divBdr>
                            <w:top w:val="none" w:sz="0" w:space="0" w:color="auto"/>
                            <w:left w:val="none" w:sz="0" w:space="0" w:color="auto"/>
                            <w:bottom w:val="none" w:sz="0" w:space="0" w:color="auto"/>
                            <w:right w:val="none" w:sz="0" w:space="0" w:color="auto"/>
                          </w:divBdr>
                          <w:divsChild>
                            <w:div w:id="7112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0946669">
      <w:bodyDiv w:val="1"/>
      <w:marLeft w:val="0"/>
      <w:marRight w:val="0"/>
      <w:marTop w:val="0"/>
      <w:marBottom w:val="0"/>
      <w:divBdr>
        <w:top w:val="none" w:sz="0" w:space="0" w:color="auto"/>
        <w:left w:val="none" w:sz="0" w:space="0" w:color="auto"/>
        <w:bottom w:val="none" w:sz="0" w:space="0" w:color="auto"/>
        <w:right w:val="none" w:sz="0" w:space="0" w:color="auto"/>
      </w:divBdr>
    </w:div>
    <w:div w:id="1859079039">
      <w:bodyDiv w:val="1"/>
      <w:marLeft w:val="0"/>
      <w:marRight w:val="0"/>
      <w:marTop w:val="0"/>
      <w:marBottom w:val="0"/>
      <w:divBdr>
        <w:top w:val="none" w:sz="0" w:space="0" w:color="auto"/>
        <w:left w:val="none" w:sz="0" w:space="0" w:color="auto"/>
        <w:bottom w:val="none" w:sz="0" w:space="0" w:color="auto"/>
        <w:right w:val="none" w:sz="0" w:space="0" w:color="auto"/>
      </w:divBdr>
    </w:div>
    <w:div w:id="1859466411">
      <w:bodyDiv w:val="1"/>
      <w:marLeft w:val="0"/>
      <w:marRight w:val="0"/>
      <w:marTop w:val="0"/>
      <w:marBottom w:val="0"/>
      <w:divBdr>
        <w:top w:val="none" w:sz="0" w:space="0" w:color="auto"/>
        <w:left w:val="none" w:sz="0" w:space="0" w:color="auto"/>
        <w:bottom w:val="none" w:sz="0" w:space="0" w:color="auto"/>
        <w:right w:val="none" w:sz="0" w:space="0" w:color="auto"/>
      </w:divBdr>
    </w:div>
    <w:div w:id="1861237642">
      <w:bodyDiv w:val="1"/>
      <w:marLeft w:val="0"/>
      <w:marRight w:val="0"/>
      <w:marTop w:val="0"/>
      <w:marBottom w:val="0"/>
      <w:divBdr>
        <w:top w:val="none" w:sz="0" w:space="0" w:color="auto"/>
        <w:left w:val="none" w:sz="0" w:space="0" w:color="auto"/>
        <w:bottom w:val="none" w:sz="0" w:space="0" w:color="auto"/>
        <w:right w:val="none" w:sz="0" w:space="0" w:color="auto"/>
      </w:divBdr>
    </w:div>
    <w:div w:id="1861356548">
      <w:bodyDiv w:val="1"/>
      <w:marLeft w:val="0"/>
      <w:marRight w:val="0"/>
      <w:marTop w:val="0"/>
      <w:marBottom w:val="0"/>
      <w:divBdr>
        <w:top w:val="none" w:sz="0" w:space="0" w:color="auto"/>
        <w:left w:val="none" w:sz="0" w:space="0" w:color="auto"/>
        <w:bottom w:val="none" w:sz="0" w:space="0" w:color="auto"/>
        <w:right w:val="none" w:sz="0" w:space="0" w:color="auto"/>
      </w:divBdr>
    </w:div>
    <w:div w:id="1873686752">
      <w:bodyDiv w:val="1"/>
      <w:marLeft w:val="0"/>
      <w:marRight w:val="0"/>
      <w:marTop w:val="0"/>
      <w:marBottom w:val="0"/>
      <w:divBdr>
        <w:top w:val="none" w:sz="0" w:space="0" w:color="auto"/>
        <w:left w:val="none" w:sz="0" w:space="0" w:color="auto"/>
        <w:bottom w:val="none" w:sz="0" w:space="0" w:color="auto"/>
        <w:right w:val="none" w:sz="0" w:space="0" w:color="auto"/>
      </w:divBdr>
    </w:div>
    <w:div w:id="1885368554">
      <w:bodyDiv w:val="1"/>
      <w:marLeft w:val="0"/>
      <w:marRight w:val="0"/>
      <w:marTop w:val="0"/>
      <w:marBottom w:val="0"/>
      <w:divBdr>
        <w:top w:val="none" w:sz="0" w:space="0" w:color="auto"/>
        <w:left w:val="none" w:sz="0" w:space="0" w:color="auto"/>
        <w:bottom w:val="none" w:sz="0" w:space="0" w:color="auto"/>
        <w:right w:val="none" w:sz="0" w:space="0" w:color="auto"/>
      </w:divBdr>
    </w:div>
    <w:div w:id="1885602404">
      <w:bodyDiv w:val="1"/>
      <w:marLeft w:val="0"/>
      <w:marRight w:val="0"/>
      <w:marTop w:val="0"/>
      <w:marBottom w:val="0"/>
      <w:divBdr>
        <w:top w:val="none" w:sz="0" w:space="0" w:color="auto"/>
        <w:left w:val="none" w:sz="0" w:space="0" w:color="auto"/>
        <w:bottom w:val="none" w:sz="0" w:space="0" w:color="auto"/>
        <w:right w:val="none" w:sz="0" w:space="0" w:color="auto"/>
      </w:divBdr>
    </w:div>
    <w:div w:id="1888491103">
      <w:bodyDiv w:val="1"/>
      <w:marLeft w:val="0"/>
      <w:marRight w:val="0"/>
      <w:marTop w:val="0"/>
      <w:marBottom w:val="0"/>
      <w:divBdr>
        <w:top w:val="none" w:sz="0" w:space="0" w:color="auto"/>
        <w:left w:val="none" w:sz="0" w:space="0" w:color="auto"/>
        <w:bottom w:val="none" w:sz="0" w:space="0" w:color="auto"/>
        <w:right w:val="none" w:sz="0" w:space="0" w:color="auto"/>
      </w:divBdr>
    </w:div>
    <w:div w:id="1891452600">
      <w:bodyDiv w:val="1"/>
      <w:marLeft w:val="0"/>
      <w:marRight w:val="0"/>
      <w:marTop w:val="0"/>
      <w:marBottom w:val="0"/>
      <w:divBdr>
        <w:top w:val="none" w:sz="0" w:space="0" w:color="auto"/>
        <w:left w:val="none" w:sz="0" w:space="0" w:color="auto"/>
        <w:bottom w:val="none" w:sz="0" w:space="0" w:color="auto"/>
        <w:right w:val="none" w:sz="0" w:space="0" w:color="auto"/>
      </w:divBdr>
    </w:div>
    <w:div w:id="1894343140">
      <w:bodyDiv w:val="1"/>
      <w:marLeft w:val="0"/>
      <w:marRight w:val="0"/>
      <w:marTop w:val="0"/>
      <w:marBottom w:val="0"/>
      <w:divBdr>
        <w:top w:val="none" w:sz="0" w:space="0" w:color="auto"/>
        <w:left w:val="none" w:sz="0" w:space="0" w:color="auto"/>
        <w:bottom w:val="none" w:sz="0" w:space="0" w:color="auto"/>
        <w:right w:val="none" w:sz="0" w:space="0" w:color="auto"/>
      </w:divBdr>
    </w:div>
    <w:div w:id="1898780446">
      <w:bodyDiv w:val="1"/>
      <w:marLeft w:val="0"/>
      <w:marRight w:val="0"/>
      <w:marTop w:val="0"/>
      <w:marBottom w:val="0"/>
      <w:divBdr>
        <w:top w:val="none" w:sz="0" w:space="0" w:color="auto"/>
        <w:left w:val="none" w:sz="0" w:space="0" w:color="auto"/>
        <w:bottom w:val="none" w:sz="0" w:space="0" w:color="auto"/>
        <w:right w:val="none" w:sz="0" w:space="0" w:color="auto"/>
      </w:divBdr>
      <w:divsChild>
        <w:div w:id="1335452995">
          <w:marLeft w:val="0"/>
          <w:marRight w:val="0"/>
          <w:marTop w:val="405"/>
          <w:marBottom w:val="270"/>
          <w:divBdr>
            <w:top w:val="none" w:sz="0" w:space="0" w:color="auto"/>
            <w:left w:val="none" w:sz="0" w:space="0" w:color="auto"/>
            <w:bottom w:val="none" w:sz="0" w:space="0" w:color="auto"/>
            <w:right w:val="none" w:sz="0" w:space="0" w:color="auto"/>
          </w:divBdr>
        </w:div>
      </w:divsChild>
    </w:div>
    <w:div w:id="1899658579">
      <w:bodyDiv w:val="1"/>
      <w:marLeft w:val="0"/>
      <w:marRight w:val="0"/>
      <w:marTop w:val="0"/>
      <w:marBottom w:val="0"/>
      <w:divBdr>
        <w:top w:val="none" w:sz="0" w:space="0" w:color="auto"/>
        <w:left w:val="none" w:sz="0" w:space="0" w:color="auto"/>
        <w:bottom w:val="none" w:sz="0" w:space="0" w:color="auto"/>
        <w:right w:val="none" w:sz="0" w:space="0" w:color="auto"/>
      </w:divBdr>
    </w:div>
    <w:div w:id="1899703203">
      <w:bodyDiv w:val="1"/>
      <w:marLeft w:val="0"/>
      <w:marRight w:val="0"/>
      <w:marTop w:val="0"/>
      <w:marBottom w:val="0"/>
      <w:divBdr>
        <w:top w:val="none" w:sz="0" w:space="0" w:color="auto"/>
        <w:left w:val="none" w:sz="0" w:space="0" w:color="auto"/>
        <w:bottom w:val="none" w:sz="0" w:space="0" w:color="auto"/>
        <w:right w:val="none" w:sz="0" w:space="0" w:color="auto"/>
      </w:divBdr>
    </w:div>
    <w:div w:id="1912500901">
      <w:bodyDiv w:val="1"/>
      <w:marLeft w:val="0"/>
      <w:marRight w:val="0"/>
      <w:marTop w:val="0"/>
      <w:marBottom w:val="0"/>
      <w:divBdr>
        <w:top w:val="none" w:sz="0" w:space="0" w:color="auto"/>
        <w:left w:val="none" w:sz="0" w:space="0" w:color="auto"/>
        <w:bottom w:val="none" w:sz="0" w:space="0" w:color="auto"/>
        <w:right w:val="none" w:sz="0" w:space="0" w:color="auto"/>
      </w:divBdr>
    </w:div>
    <w:div w:id="1913731021">
      <w:bodyDiv w:val="1"/>
      <w:marLeft w:val="0"/>
      <w:marRight w:val="0"/>
      <w:marTop w:val="0"/>
      <w:marBottom w:val="0"/>
      <w:divBdr>
        <w:top w:val="none" w:sz="0" w:space="0" w:color="auto"/>
        <w:left w:val="none" w:sz="0" w:space="0" w:color="auto"/>
        <w:bottom w:val="none" w:sz="0" w:space="0" w:color="auto"/>
        <w:right w:val="none" w:sz="0" w:space="0" w:color="auto"/>
      </w:divBdr>
    </w:div>
    <w:div w:id="1914897869">
      <w:bodyDiv w:val="1"/>
      <w:marLeft w:val="0"/>
      <w:marRight w:val="0"/>
      <w:marTop w:val="0"/>
      <w:marBottom w:val="0"/>
      <w:divBdr>
        <w:top w:val="none" w:sz="0" w:space="0" w:color="auto"/>
        <w:left w:val="none" w:sz="0" w:space="0" w:color="auto"/>
        <w:bottom w:val="none" w:sz="0" w:space="0" w:color="auto"/>
        <w:right w:val="none" w:sz="0" w:space="0" w:color="auto"/>
      </w:divBdr>
    </w:div>
    <w:div w:id="1915427903">
      <w:bodyDiv w:val="1"/>
      <w:marLeft w:val="0"/>
      <w:marRight w:val="0"/>
      <w:marTop w:val="0"/>
      <w:marBottom w:val="0"/>
      <w:divBdr>
        <w:top w:val="none" w:sz="0" w:space="0" w:color="auto"/>
        <w:left w:val="none" w:sz="0" w:space="0" w:color="auto"/>
        <w:bottom w:val="none" w:sz="0" w:space="0" w:color="auto"/>
        <w:right w:val="none" w:sz="0" w:space="0" w:color="auto"/>
      </w:divBdr>
    </w:div>
    <w:div w:id="1928536068">
      <w:bodyDiv w:val="1"/>
      <w:marLeft w:val="0"/>
      <w:marRight w:val="0"/>
      <w:marTop w:val="0"/>
      <w:marBottom w:val="0"/>
      <w:divBdr>
        <w:top w:val="none" w:sz="0" w:space="0" w:color="auto"/>
        <w:left w:val="none" w:sz="0" w:space="0" w:color="auto"/>
        <w:bottom w:val="none" w:sz="0" w:space="0" w:color="auto"/>
        <w:right w:val="none" w:sz="0" w:space="0" w:color="auto"/>
      </w:divBdr>
    </w:div>
    <w:div w:id="1928997776">
      <w:bodyDiv w:val="1"/>
      <w:marLeft w:val="0"/>
      <w:marRight w:val="0"/>
      <w:marTop w:val="0"/>
      <w:marBottom w:val="0"/>
      <w:divBdr>
        <w:top w:val="none" w:sz="0" w:space="0" w:color="auto"/>
        <w:left w:val="none" w:sz="0" w:space="0" w:color="auto"/>
        <w:bottom w:val="none" w:sz="0" w:space="0" w:color="auto"/>
        <w:right w:val="none" w:sz="0" w:space="0" w:color="auto"/>
      </w:divBdr>
    </w:div>
    <w:div w:id="1930430912">
      <w:bodyDiv w:val="1"/>
      <w:marLeft w:val="0"/>
      <w:marRight w:val="0"/>
      <w:marTop w:val="0"/>
      <w:marBottom w:val="0"/>
      <w:divBdr>
        <w:top w:val="none" w:sz="0" w:space="0" w:color="auto"/>
        <w:left w:val="none" w:sz="0" w:space="0" w:color="auto"/>
        <w:bottom w:val="none" w:sz="0" w:space="0" w:color="auto"/>
        <w:right w:val="none" w:sz="0" w:space="0" w:color="auto"/>
      </w:divBdr>
    </w:div>
    <w:div w:id="1930458612">
      <w:bodyDiv w:val="1"/>
      <w:marLeft w:val="0"/>
      <w:marRight w:val="0"/>
      <w:marTop w:val="0"/>
      <w:marBottom w:val="0"/>
      <w:divBdr>
        <w:top w:val="none" w:sz="0" w:space="0" w:color="auto"/>
        <w:left w:val="none" w:sz="0" w:space="0" w:color="auto"/>
        <w:bottom w:val="none" w:sz="0" w:space="0" w:color="auto"/>
        <w:right w:val="none" w:sz="0" w:space="0" w:color="auto"/>
      </w:divBdr>
    </w:div>
    <w:div w:id="1931158977">
      <w:bodyDiv w:val="1"/>
      <w:marLeft w:val="0"/>
      <w:marRight w:val="0"/>
      <w:marTop w:val="0"/>
      <w:marBottom w:val="0"/>
      <w:divBdr>
        <w:top w:val="none" w:sz="0" w:space="0" w:color="auto"/>
        <w:left w:val="none" w:sz="0" w:space="0" w:color="auto"/>
        <w:bottom w:val="none" w:sz="0" w:space="0" w:color="auto"/>
        <w:right w:val="none" w:sz="0" w:space="0" w:color="auto"/>
      </w:divBdr>
    </w:div>
    <w:div w:id="1932733223">
      <w:bodyDiv w:val="1"/>
      <w:marLeft w:val="0"/>
      <w:marRight w:val="0"/>
      <w:marTop w:val="0"/>
      <w:marBottom w:val="0"/>
      <w:divBdr>
        <w:top w:val="none" w:sz="0" w:space="0" w:color="auto"/>
        <w:left w:val="none" w:sz="0" w:space="0" w:color="auto"/>
        <w:bottom w:val="none" w:sz="0" w:space="0" w:color="auto"/>
        <w:right w:val="none" w:sz="0" w:space="0" w:color="auto"/>
      </w:divBdr>
    </w:div>
    <w:div w:id="1933775008">
      <w:bodyDiv w:val="1"/>
      <w:marLeft w:val="0"/>
      <w:marRight w:val="0"/>
      <w:marTop w:val="0"/>
      <w:marBottom w:val="0"/>
      <w:divBdr>
        <w:top w:val="none" w:sz="0" w:space="0" w:color="auto"/>
        <w:left w:val="none" w:sz="0" w:space="0" w:color="auto"/>
        <w:bottom w:val="none" w:sz="0" w:space="0" w:color="auto"/>
        <w:right w:val="none" w:sz="0" w:space="0" w:color="auto"/>
      </w:divBdr>
    </w:div>
    <w:div w:id="1935236438">
      <w:bodyDiv w:val="1"/>
      <w:marLeft w:val="0"/>
      <w:marRight w:val="0"/>
      <w:marTop w:val="0"/>
      <w:marBottom w:val="0"/>
      <w:divBdr>
        <w:top w:val="none" w:sz="0" w:space="0" w:color="auto"/>
        <w:left w:val="none" w:sz="0" w:space="0" w:color="auto"/>
        <w:bottom w:val="none" w:sz="0" w:space="0" w:color="auto"/>
        <w:right w:val="none" w:sz="0" w:space="0" w:color="auto"/>
      </w:divBdr>
    </w:div>
    <w:div w:id="1935241591">
      <w:bodyDiv w:val="1"/>
      <w:marLeft w:val="0"/>
      <w:marRight w:val="0"/>
      <w:marTop w:val="0"/>
      <w:marBottom w:val="0"/>
      <w:divBdr>
        <w:top w:val="none" w:sz="0" w:space="0" w:color="auto"/>
        <w:left w:val="none" w:sz="0" w:space="0" w:color="auto"/>
        <w:bottom w:val="none" w:sz="0" w:space="0" w:color="auto"/>
        <w:right w:val="none" w:sz="0" w:space="0" w:color="auto"/>
      </w:divBdr>
    </w:div>
    <w:div w:id="1940214851">
      <w:bodyDiv w:val="1"/>
      <w:marLeft w:val="0"/>
      <w:marRight w:val="0"/>
      <w:marTop w:val="0"/>
      <w:marBottom w:val="0"/>
      <w:divBdr>
        <w:top w:val="none" w:sz="0" w:space="0" w:color="auto"/>
        <w:left w:val="none" w:sz="0" w:space="0" w:color="auto"/>
        <w:bottom w:val="none" w:sz="0" w:space="0" w:color="auto"/>
        <w:right w:val="none" w:sz="0" w:space="0" w:color="auto"/>
      </w:divBdr>
    </w:div>
    <w:div w:id="1941519975">
      <w:bodyDiv w:val="1"/>
      <w:marLeft w:val="0"/>
      <w:marRight w:val="0"/>
      <w:marTop w:val="0"/>
      <w:marBottom w:val="0"/>
      <w:divBdr>
        <w:top w:val="none" w:sz="0" w:space="0" w:color="auto"/>
        <w:left w:val="none" w:sz="0" w:space="0" w:color="auto"/>
        <w:bottom w:val="none" w:sz="0" w:space="0" w:color="auto"/>
        <w:right w:val="none" w:sz="0" w:space="0" w:color="auto"/>
      </w:divBdr>
    </w:div>
    <w:div w:id="1951618399">
      <w:bodyDiv w:val="1"/>
      <w:marLeft w:val="0"/>
      <w:marRight w:val="0"/>
      <w:marTop w:val="0"/>
      <w:marBottom w:val="0"/>
      <w:divBdr>
        <w:top w:val="none" w:sz="0" w:space="0" w:color="auto"/>
        <w:left w:val="none" w:sz="0" w:space="0" w:color="auto"/>
        <w:bottom w:val="none" w:sz="0" w:space="0" w:color="auto"/>
        <w:right w:val="none" w:sz="0" w:space="0" w:color="auto"/>
      </w:divBdr>
    </w:div>
    <w:div w:id="1954435324">
      <w:bodyDiv w:val="1"/>
      <w:marLeft w:val="0"/>
      <w:marRight w:val="0"/>
      <w:marTop w:val="0"/>
      <w:marBottom w:val="0"/>
      <w:divBdr>
        <w:top w:val="none" w:sz="0" w:space="0" w:color="auto"/>
        <w:left w:val="none" w:sz="0" w:space="0" w:color="auto"/>
        <w:bottom w:val="none" w:sz="0" w:space="0" w:color="auto"/>
        <w:right w:val="none" w:sz="0" w:space="0" w:color="auto"/>
      </w:divBdr>
    </w:div>
    <w:div w:id="1955557785">
      <w:bodyDiv w:val="1"/>
      <w:marLeft w:val="0"/>
      <w:marRight w:val="0"/>
      <w:marTop w:val="0"/>
      <w:marBottom w:val="0"/>
      <w:divBdr>
        <w:top w:val="none" w:sz="0" w:space="0" w:color="auto"/>
        <w:left w:val="none" w:sz="0" w:space="0" w:color="auto"/>
        <w:bottom w:val="none" w:sz="0" w:space="0" w:color="auto"/>
        <w:right w:val="none" w:sz="0" w:space="0" w:color="auto"/>
      </w:divBdr>
    </w:div>
    <w:div w:id="1960843516">
      <w:bodyDiv w:val="1"/>
      <w:marLeft w:val="0"/>
      <w:marRight w:val="0"/>
      <w:marTop w:val="0"/>
      <w:marBottom w:val="0"/>
      <w:divBdr>
        <w:top w:val="none" w:sz="0" w:space="0" w:color="auto"/>
        <w:left w:val="none" w:sz="0" w:space="0" w:color="auto"/>
        <w:bottom w:val="none" w:sz="0" w:space="0" w:color="auto"/>
        <w:right w:val="none" w:sz="0" w:space="0" w:color="auto"/>
      </w:divBdr>
    </w:div>
    <w:div w:id="1962419813">
      <w:bodyDiv w:val="1"/>
      <w:marLeft w:val="0"/>
      <w:marRight w:val="0"/>
      <w:marTop w:val="0"/>
      <w:marBottom w:val="0"/>
      <w:divBdr>
        <w:top w:val="none" w:sz="0" w:space="0" w:color="auto"/>
        <w:left w:val="none" w:sz="0" w:space="0" w:color="auto"/>
        <w:bottom w:val="none" w:sz="0" w:space="0" w:color="auto"/>
        <w:right w:val="none" w:sz="0" w:space="0" w:color="auto"/>
      </w:divBdr>
    </w:div>
    <w:div w:id="1963657819">
      <w:bodyDiv w:val="1"/>
      <w:marLeft w:val="0"/>
      <w:marRight w:val="0"/>
      <w:marTop w:val="0"/>
      <w:marBottom w:val="0"/>
      <w:divBdr>
        <w:top w:val="none" w:sz="0" w:space="0" w:color="auto"/>
        <w:left w:val="none" w:sz="0" w:space="0" w:color="auto"/>
        <w:bottom w:val="none" w:sz="0" w:space="0" w:color="auto"/>
        <w:right w:val="none" w:sz="0" w:space="0" w:color="auto"/>
      </w:divBdr>
    </w:div>
    <w:div w:id="1969972687">
      <w:bodyDiv w:val="1"/>
      <w:marLeft w:val="0"/>
      <w:marRight w:val="0"/>
      <w:marTop w:val="0"/>
      <w:marBottom w:val="0"/>
      <w:divBdr>
        <w:top w:val="none" w:sz="0" w:space="0" w:color="auto"/>
        <w:left w:val="none" w:sz="0" w:space="0" w:color="auto"/>
        <w:bottom w:val="none" w:sz="0" w:space="0" w:color="auto"/>
        <w:right w:val="none" w:sz="0" w:space="0" w:color="auto"/>
      </w:divBdr>
    </w:div>
    <w:div w:id="1970554211">
      <w:bodyDiv w:val="1"/>
      <w:marLeft w:val="0"/>
      <w:marRight w:val="0"/>
      <w:marTop w:val="0"/>
      <w:marBottom w:val="0"/>
      <w:divBdr>
        <w:top w:val="none" w:sz="0" w:space="0" w:color="auto"/>
        <w:left w:val="none" w:sz="0" w:space="0" w:color="auto"/>
        <w:bottom w:val="none" w:sz="0" w:space="0" w:color="auto"/>
        <w:right w:val="none" w:sz="0" w:space="0" w:color="auto"/>
      </w:divBdr>
    </w:div>
    <w:div w:id="1975139545">
      <w:bodyDiv w:val="1"/>
      <w:marLeft w:val="0"/>
      <w:marRight w:val="0"/>
      <w:marTop w:val="0"/>
      <w:marBottom w:val="0"/>
      <w:divBdr>
        <w:top w:val="none" w:sz="0" w:space="0" w:color="auto"/>
        <w:left w:val="none" w:sz="0" w:space="0" w:color="auto"/>
        <w:bottom w:val="none" w:sz="0" w:space="0" w:color="auto"/>
        <w:right w:val="none" w:sz="0" w:space="0" w:color="auto"/>
      </w:divBdr>
    </w:div>
    <w:div w:id="1976714932">
      <w:bodyDiv w:val="1"/>
      <w:marLeft w:val="0"/>
      <w:marRight w:val="0"/>
      <w:marTop w:val="0"/>
      <w:marBottom w:val="0"/>
      <w:divBdr>
        <w:top w:val="none" w:sz="0" w:space="0" w:color="auto"/>
        <w:left w:val="none" w:sz="0" w:space="0" w:color="auto"/>
        <w:bottom w:val="none" w:sz="0" w:space="0" w:color="auto"/>
        <w:right w:val="none" w:sz="0" w:space="0" w:color="auto"/>
      </w:divBdr>
    </w:div>
    <w:div w:id="1982034351">
      <w:bodyDiv w:val="1"/>
      <w:marLeft w:val="0"/>
      <w:marRight w:val="0"/>
      <w:marTop w:val="0"/>
      <w:marBottom w:val="0"/>
      <w:divBdr>
        <w:top w:val="none" w:sz="0" w:space="0" w:color="auto"/>
        <w:left w:val="none" w:sz="0" w:space="0" w:color="auto"/>
        <w:bottom w:val="none" w:sz="0" w:space="0" w:color="auto"/>
        <w:right w:val="none" w:sz="0" w:space="0" w:color="auto"/>
      </w:divBdr>
    </w:div>
    <w:div w:id="1985625980">
      <w:bodyDiv w:val="1"/>
      <w:marLeft w:val="0"/>
      <w:marRight w:val="0"/>
      <w:marTop w:val="0"/>
      <w:marBottom w:val="0"/>
      <w:divBdr>
        <w:top w:val="none" w:sz="0" w:space="0" w:color="auto"/>
        <w:left w:val="none" w:sz="0" w:space="0" w:color="auto"/>
        <w:bottom w:val="none" w:sz="0" w:space="0" w:color="auto"/>
        <w:right w:val="none" w:sz="0" w:space="0" w:color="auto"/>
      </w:divBdr>
    </w:div>
    <w:div w:id="1986202883">
      <w:bodyDiv w:val="1"/>
      <w:marLeft w:val="0"/>
      <w:marRight w:val="0"/>
      <w:marTop w:val="0"/>
      <w:marBottom w:val="0"/>
      <w:divBdr>
        <w:top w:val="none" w:sz="0" w:space="0" w:color="auto"/>
        <w:left w:val="none" w:sz="0" w:space="0" w:color="auto"/>
        <w:bottom w:val="none" w:sz="0" w:space="0" w:color="auto"/>
        <w:right w:val="none" w:sz="0" w:space="0" w:color="auto"/>
      </w:divBdr>
    </w:div>
    <w:div w:id="1989702014">
      <w:bodyDiv w:val="1"/>
      <w:marLeft w:val="0"/>
      <w:marRight w:val="0"/>
      <w:marTop w:val="0"/>
      <w:marBottom w:val="0"/>
      <w:divBdr>
        <w:top w:val="none" w:sz="0" w:space="0" w:color="auto"/>
        <w:left w:val="none" w:sz="0" w:space="0" w:color="auto"/>
        <w:bottom w:val="none" w:sz="0" w:space="0" w:color="auto"/>
        <w:right w:val="none" w:sz="0" w:space="0" w:color="auto"/>
      </w:divBdr>
    </w:div>
    <w:div w:id="2000038896">
      <w:bodyDiv w:val="1"/>
      <w:marLeft w:val="0"/>
      <w:marRight w:val="0"/>
      <w:marTop w:val="0"/>
      <w:marBottom w:val="0"/>
      <w:divBdr>
        <w:top w:val="none" w:sz="0" w:space="0" w:color="auto"/>
        <w:left w:val="none" w:sz="0" w:space="0" w:color="auto"/>
        <w:bottom w:val="none" w:sz="0" w:space="0" w:color="auto"/>
        <w:right w:val="none" w:sz="0" w:space="0" w:color="auto"/>
      </w:divBdr>
      <w:divsChild>
        <w:div w:id="727416740">
          <w:marLeft w:val="0"/>
          <w:marRight w:val="0"/>
          <w:marTop w:val="0"/>
          <w:marBottom w:val="0"/>
          <w:divBdr>
            <w:top w:val="none" w:sz="0" w:space="0" w:color="auto"/>
            <w:left w:val="none" w:sz="0" w:space="0" w:color="auto"/>
            <w:bottom w:val="none" w:sz="0" w:space="0" w:color="auto"/>
            <w:right w:val="none" w:sz="0" w:space="0" w:color="auto"/>
          </w:divBdr>
          <w:divsChild>
            <w:div w:id="979918389">
              <w:marLeft w:val="0"/>
              <w:marRight w:val="0"/>
              <w:marTop w:val="0"/>
              <w:marBottom w:val="0"/>
              <w:divBdr>
                <w:top w:val="none" w:sz="0" w:space="0" w:color="auto"/>
                <w:left w:val="none" w:sz="0" w:space="0" w:color="auto"/>
                <w:bottom w:val="none" w:sz="0" w:space="0" w:color="auto"/>
                <w:right w:val="none" w:sz="0" w:space="0" w:color="auto"/>
              </w:divBdr>
              <w:divsChild>
                <w:div w:id="1273126883">
                  <w:marLeft w:val="0"/>
                  <w:marRight w:val="0"/>
                  <w:marTop w:val="0"/>
                  <w:marBottom w:val="0"/>
                  <w:divBdr>
                    <w:top w:val="none" w:sz="0" w:space="0" w:color="auto"/>
                    <w:left w:val="none" w:sz="0" w:space="0" w:color="auto"/>
                    <w:bottom w:val="none" w:sz="0" w:space="0" w:color="auto"/>
                    <w:right w:val="none" w:sz="0" w:space="0" w:color="auto"/>
                  </w:divBdr>
                  <w:divsChild>
                    <w:div w:id="1712876106">
                      <w:marLeft w:val="0"/>
                      <w:marRight w:val="0"/>
                      <w:marTop w:val="0"/>
                      <w:marBottom w:val="0"/>
                      <w:divBdr>
                        <w:top w:val="none" w:sz="0" w:space="0" w:color="auto"/>
                        <w:left w:val="none" w:sz="0" w:space="0" w:color="auto"/>
                        <w:bottom w:val="none" w:sz="0" w:space="0" w:color="auto"/>
                        <w:right w:val="none" w:sz="0" w:space="0" w:color="auto"/>
                      </w:divBdr>
                      <w:divsChild>
                        <w:div w:id="68041625">
                          <w:marLeft w:val="0"/>
                          <w:marRight w:val="0"/>
                          <w:marTop w:val="300"/>
                          <w:marBottom w:val="0"/>
                          <w:divBdr>
                            <w:top w:val="none" w:sz="0" w:space="0" w:color="auto"/>
                            <w:left w:val="none" w:sz="0" w:space="0" w:color="auto"/>
                            <w:bottom w:val="none" w:sz="0" w:space="0" w:color="auto"/>
                            <w:right w:val="none" w:sz="0" w:space="0" w:color="auto"/>
                          </w:divBdr>
                          <w:divsChild>
                            <w:div w:id="914168681">
                              <w:marLeft w:val="0"/>
                              <w:marRight w:val="0"/>
                              <w:marTop w:val="0"/>
                              <w:marBottom w:val="0"/>
                              <w:divBdr>
                                <w:top w:val="none" w:sz="0" w:space="0" w:color="auto"/>
                                <w:left w:val="none" w:sz="0" w:space="0" w:color="auto"/>
                                <w:bottom w:val="none" w:sz="0" w:space="0" w:color="auto"/>
                                <w:right w:val="none" w:sz="0" w:space="0" w:color="auto"/>
                              </w:divBdr>
                              <w:divsChild>
                                <w:div w:id="1981228379">
                                  <w:marLeft w:val="0"/>
                                  <w:marRight w:val="0"/>
                                  <w:marTop w:val="0"/>
                                  <w:marBottom w:val="0"/>
                                  <w:divBdr>
                                    <w:top w:val="none" w:sz="0" w:space="0" w:color="auto"/>
                                    <w:left w:val="none" w:sz="0" w:space="0" w:color="auto"/>
                                    <w:bottom w:val="none" w:sz="0" w:space="0" w:color="auto"/>
                                    <w:right w:val="none" w:sz="0" w:space="0" w:color="auto"/>
                                  </w:divBdr>
                                </w:div>
                              </w:divsChild>
                            </w:div>
                            <w:div w:id="983777425">
                              <w:marLeft w:val="0"/>
                              <w:marRight w:val="0"/>
                              <w:marTop w:val="0"/>
                              <w:marBottom w:val="0"/>
                              <w:divBdr>
                                <w:top w:val="none" w:sz="0" w:space="0" w:color="auto"/>
                                <w:left w:val="none" w:sz="0" w:space="0" w:color="auto"/>
                                <w:bottom w:val="none" w:sz="0" w:space="0" w:color="auto"/>
                                <w:right w:val="none" w:sz="0" w:space="0" w:color="auto"/>
                              </w:divBdr>
                              <w:divsChild>
                                <w:div w:id="477186041">
                                  <w:marLeft w:val="0"/>
                                  <w:marRight w:val="0"/>
                                  <w:marTop w:val="0"/>
                                  <w:marBottom w:val="0"/>
                                  <w:divBdr>
                                    <w:top w:val="none" w:sz="0" w:space="0" w:color="auto"/>
                                    <w:left w:val="none" w:sz="0" w:space="0" w:color="auto"/>
                                    <w:bottom w:val="none" w:sz="0" w:space="0" w:color="auto"/>
                                    <w:right w:val="none" w:sz="0" w:space="0" w:color="auto"/>
                                  </w:divBdr>
                                </w:div>
                              </w:divsChild>
                            </w:div>
                            <w:div w:id="1039819646">
                              <w:marLeft w:val="0"/>
                              <w:marRight w:val="0"/>
                              <w:marTop w:val="0"/>
                              <w:marBottom w:val="0"/>
                              <w:divBdr>
                                <w:top w:val="none" w:sz="0" w:space="0" w:color="auto"/>
                                <w:left w:val="none" w:sz="0" w:space="0" w:color="auto"/>
                                <w:bottom w:val="none" w:sz="0" w:space="0" w:color="auto"/>
                                <w:right w:val="none" w:sz="0" w:space="0" w:color="auto"/>
                              </w:divBdr>
                              <w:divsChild>
                                <w:div w:id="453061850">
                                  <w:marLeft w:val="0"/>
                                  <w:marRight w:val="0"/>
                                  <w:marTop w:val="0"/>
                                  <w:marBottom w:val="0"/>
                                  <w:divBdr>
                                    <w:top w:val="none" w:sz="0" w:space="0" w:color="auto"/>
                                    <w:left w:val="none" w:sz="0" w:space="0" w:color="auto"/>
                                    <w:bottom w:val="none" w:sz="0" w:space="0" w:color="auto"/>
                                    <w:right w:val="none" w:sz="0" w:space="0" w:color="auto"/>
                                  </w:divBdr>
                                </w:div>
                              </w:divsChild>
                            </w:div>
                            <w:div w:id="1369141787">
                              <w:marLeft w:val="0"/>
                              <w:marRight w:val="0"/>
                              <w:marTop w:val="0"/>
                              <w:marBottom w:val="0"/>
                              <w:divBdr>
                                <w:top w:val="none" w:sz="0" w:space="0" w:color="auto"/>
                                <w:left w:val="none" w:sz="0" w:space="0" w:color="auto"/>
                                <w:bottom w:val="none" w:sz="0" w:space="0" w:color="auto"/>
                                <w:right w:val="none" w:sz="0" w:space="0" w:color="auto"/>
                              </w:divBdr>
                              <w:divsChild>
                                <w:div w:id="29032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544135">
      <w:bodyDiv w:val="1"/>
      <w:marLeft w:val="0"/>
      <w:marRight w:val="0"/>
      <w:marTop w:val="0"/>
      <w:marBottom w:val="0"/>
      <w:divBdr>
        <w:top w:val="none" w:sz="0" w:space="0" w:color="auto"/>
        <w:left w:val="none" w:sz="0" w:space="0" w:color="auto"/>
        <w:bottom w:val="none" w:sz="0" w:space="0" w:color="auto"/>
        <w:right w:val="none" w:sz="0" w:space="0" w:color="auto"/>
      </w:divBdr>
    </w:div>
    <w:div w:id="2005275674">
      <w:bodyDiv w:val="1"/>
      <w:marLeft w:val="0"/>
      <w:marRight w:val="0"/>
      <w:marTop w:val="0"/>
      <w:marBottom w:val="0"/>
      <w:divBdr>
        <w:top w:val="none" w:sz="0" w:space="0" w:color="auto"/>
        <w:left w:val="none" w:sz="0" w:space="0" w:color="auto"/>
        <w:bottom w:val="none" w:sz="0" w:space="0" w:color="auto"/>
        <w:right w:val="none" w:sz="0" w:space="0" w:color="auto"/>
      </w:divBdr>
    </w:div>
    <w:div w:id="2007393651">
      <w:bodyDiv w:val="1"/>
      <w:marLeft w:val="0"/>
      <w:marRight w:val="0"/>
      <w:marTop w:val="0"/>
      <w:marBottom w:val="0"/>
      <w:divBdr>
        <w:top w:val="none" w:sz="0" w:space="0" w:color="auto"/>
        <w:left w:val="none" w:sz="0" w:space="0" w:color="auto"/>
        <w:bottom w:val="none" w:sz="0" w:space="0" w:color="auto"/>
        <w:right w:val="none" w:sz="0" w:space="0" w:color="auto"/>
      </w:divBdr>
    </w:div>
    <w:div w:id="2008973146">
      <w:bodyDiv w:val="1"/>
      <w:marLeft w:val="0"/>
      <w:marRight w:val="0"/>
      <w:marTop w:val="0"/>
      <w:marBottom w:val="0"/>
      <w:divBdr>
        <w:top w:val="none" w:sz="0" w:space="0" w:color="auto"/>
        <w:left w:val="none" w:sz="0" w:space="0" w:color="auto"/>
        <w:bottom w:val="none" w:sz="0" w:space="0" w:color="auto"/>
        <w:right w:val="none" w:sz="0" w:space="0" w:color="auto"/>
      </w:divBdr>
    </w:div>
    <w:div w:id="2010596773">
      <w:bodyDiv w:val="1"/>
      <w:marLeft w:val="0"/>
      <w:marRight w:val="0"/>
      <w:marTop w:val="0"/>
      <w:marBottom w:val="0"/>
      <w:divBdr>
        <w:top w:val="none" w:sz="0" w:space="0" w:color="auto"/>
        <w:left w:val="none" w:sz="0" w:space="0" w:color="auto"/>
        <w:bottom w:val="none" w:sz="0" w:space="0" w:color="auto"/>
        <w:right w:val="none" w:sz="0" w:space="0" w:color="auto"/>
      </w:divBdr>
    </w:div>
    <w:div w:id="2021084862">
      <w:bodyDiv w:val="1"/>
      <w:marLeft w:val="0"/>
      <w:marRight w:val="0"/>
      <w:marTop w:val="0"/>
      <w:marBottom w:val="0"/>
      <w:divBdr>
        <w:top w:val="none" w:sz="0" w:space="0" w:color="auto"/>
        <w:left w:val="none" w:sz="0" w:space="0" w:color="auto"/>
        <w:bottom w:val="none" w:sz="0" w:space="0" w:color="auto"/>
        <w:right w:val="none" w:sz="0" w:space="0" w:color="auto"/>
      </w:divBdr>
    </w:div>
    <w:div w:id="2022275924">
      <w:bodyDiv w:val="1"/>
      <w:marLeft w:val="0"/>
      <w:marRight w:val="0"/>
      <w:marTop w:val="0"/>
      <w:marBottom w:val="0"/>
      <w:divBdr>
        <w:top w:val="none" w:sz="0" w:space="0" w:color="auto"/>
        <w:left w:val="none" w:sz="0" w:space="0" w:color="auto"/>
        <w:bottom w:val="none" w:sz="0" w:space="0" w:color="auto"/>
        <w:right w:val="none" w:sz="0" w:space="0" w:color="auto"/>
      </w:divBdr>
    </w:div>
    <w:div w:id="2022537994">
      <w:bodyDiv w:val="1"/>
      <w:marLeft w:val="0"/>
      <w:marRight w:val="0"/>
      <w:marTop w:val="0"/>
      <w:marBottom w:val="0"/>
      <w:divBdr>
        <w:top w:val="none" w:sz="0" w:space="0" w:color="auto"/>
        <w:left w:val="none" w:sz="0" w:space="0" w:color="auto"/>
        <w:bottom w:val="none" w:sz="0" w:space="0" w:color="auto"/>
        <w:right w:val="none" w:sz="0" w:space="0" w:color="auto"/>
      </w:divBdr>
      <w:divsChild>
        <w:div w:id="1874807286">
          <w:marLeft w:val="0"/>
          <w:marRight w:val="0"/>
          <w:marTop w:val="0"/>
          <w:marBottom w:val="0"/>
          <w:divBdr>
            <w:top w:val="none" w:sz="0" w:space="0" w:color="auto"/>
            <w:left w:val="none" w:sz="0" w:space="0" w:color="auto"/>
            <w:bottom w:val="none" w:sz="0" w:space="0" w:color="auto"/>
            <w:right w:val="none" w:sz="0" w:space="0" w:color="auto"/>
          </w:divBdr>
          <w:divsChild>
            <w:div w:id="773746015">
              <w:marLeft w:val="0"/>
              <w:marRight w:val="0"/>
              <w:marTop w:val="0"/>
              <w:marBottom w:val="0"/>
              <w:divBdr>
                <w:top w:val="none" w:sz="0" w:space="0" w:color="auto"/>
                <w:left w:val="none" w:sz="0" w:space="0" w:color="auto"/>
                <w:bottom w:val="none" w:sz="0" w:space="0" w:color="auto"/>
                <w:right w:val="none" w:sz="0" w:space="0" w:color="auto"/>
              </w:divBdr>
              <w:divsChild>
                <w:div w:id="1608149214">
                  <w:marLeft w:val="0"/>
                  <w:marRight w:val="0"/>
                  <w:marTop w:val="0"/>
                  <w:marBottom w:val="0"/>
                  <w:divBdr>
                    <w:top w:val="none" w:sz="0" w:space="0" w:color="auto"/>
                    <w:left w:val="none" w:sz="0" w:space="0" w:color="auto"/>
                    <w:bottom w:val="none" w:sz="0" w:space="0" w:color="auto"/>
                    <w:right w:val="none" w:sz="0" w:space="0" w:color="auto"/>
                  </w:divBdr>
                  <w:divsChild>
                    <w:div w:id="1893733593">
                      <w:marLeft w:val="0"/>
                      <w:marRight w:val="0"/>
                      <w:marTop w:val="0"/>
                      <w:marBottom w:val="0"/>
                      <w:divBdr>
                        <w:top w:val="none" w:sz="0" w:space="0" w:color="auto"/>
                        <w:left w:val="none" w:sz="0" w:space="0" w:color="auto"/>
                        <w:bottom w:val="none" w:sz="0" w:space="0" w:color="auto"/>
                        <w:right w:val="none" w:sz="0" w:space="0" w:color="auto"/>
                      </w:divBdr>
                      <w:divsChild>
                        <w:div w:id="1794783703">
                          <w:marLeft w:val="0"/>
                          <w:marRight w:val="0"/>
                          <w:marTop w:val="300"/>
                          <w:marBottom w:val="0"/>
                          <w:divBdr>
                            <w:top w:val="none" w:sz="0" w:space="0" w:color="auto"/>
                            <w:left w:val="none" w:sz="0" w:space="0" w:color="auto"/>
                            <w:bottom w:val="none" w:sz="0" w:space="0" w:color="auto"/>
                            <w:right w:val="none" w:sz="0" w:space="0" w:color="auto"/>
                          </w:divBdr>
                          <w:divsChild>
                            <w:div w:id="150342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359331">
      <w:bodyDiv w:val="1"/>
      <w:marLeft w:val="0"/>
      <w:marRight w:val="0"/>
      <w:marTop w:val="0"/>
      <w:marBottom w:val="0"/>
      <w:divBdr>
        <w:top w:val="none" w:sz="0" w:space="0" w:color="auto"/>
        <w:left w:val="none" w:sz="0" w:space="0" w:color="auto"/>
        <w:bottom w:val="none" w:sz="0" w:space="0" w:color="auto"/>
        <w:right w:val="none" w:sz="0" w:space="0" w:color="auto"/>
      </w:divBdr>
    </w:div>
    <w:div w:id="2034574732">
      <w:bodyDiv w:val="1"/>
      <w:marLeft w:val="0"/>
      <w:marRight w:val="0"/>
      <w:marTop w:val="0"/>
      <w:marBottom w:val="0"/>
      <w:divBdr>
        <w:top w:val="none" w:sz="0" w:space="0" w:color="auto"/>
        <w:left w:val="none" w:sz="0" w:space="0" w:color="auto"/>
        <w:bottom w:val="none" w:sz="0" w:space="0" w:color="auto"/>
        <w:right w:val="none" w:sz="0" w:space="0" w:color="auto"/>
      </w:divBdr>
    </w:div>
    <w:div w:id="2036147359">
      <w:bodyDiv w:val="1"/>
      <w:marLeft w:val="0"/>
      <w:marRight w:val="0"/>
      <w:marTop w:val="0"/>
      <w:marBottom w:val="0"/>
      <w:divBdr>
        <w:top w:val="none" w:sz="0" w:space="0" w:color="auto"/>
        <w:left w:val="none" w:sz="0" w:space="0" w:color="auto"/>
        <w:bottom w:val="none" w:sz="0" w:space="0" w:color="auto"/>
        <w:right w:val="none" w:sz="0" w:space="0" w:color="auto"/>
      </w:divBdr>
    </w:div>
    <w:div w:id="2040547375">
      <w:bodyDiv w:val="1"/>
      <w:marLeft w:val="0"/>
      <w:marRight w:val="0"/>
      <w:marTop w:val="0"/>
      <w:marBottom w:val="0"/>
      <w:divBdr>
        <w:top w:val="none" w:sz="0" w:space="0" w:color="auto"/>
        <w:left w:val="none" w:sz="0" w:space="0" w:color="auto"/>
        <w:bottom w:val="none" w:sz="0" w:space="0" w:color="auto"/>
        <w:right w:val="none" w:sz="0" w:space="0" w:color="auto"/>
      </w:divBdr>
    </w:div>
    <w:div w:id="2040662219">
      <w:bodyDiv w:val="1"/>
      <w:marLeft w:val="0"/>
      <w:marRight w:val="0"/>
      <w:marTop w:val="0"/>
      <w:marBottom w:val="0"/>
      <w:divBdr>
        <w:top w:val="none" w:sz="0" w:space="0" w:color="auto"/>
        <w:left w:val="none" w:sz="0" w:space="0" w:color="auto"/>
        <w:bottom w:val="none" w:sz="0" w:space="0" w:color="auto"/>
        <w:right w:val="none" w:sz="0" w:space="0" w:color="auto"/>
      </w:divBdr>
    </w:div>
    <w:div w:id="2050645738">
      <w:bodyDiv w:val="1"/>
      <w:marLeft w:val="0"/>
      <w:marRight w:val="0"/>
      <w:marTop w:val="0"/>
      <w:marBottom w:val="0"/>
      <w:divBdr>
        <w:top w:val="none" w:sz="0" w:space="0" w:color="auto"/>
        <w:left w:val="none" w:sz="0" w:space="0" w:color="auto"/>
        <w:bottom w:val="none" w:sz="0" w:space="0" w:color="auto"/>
        <w:right w:val="none" w:sz="0" w:space="0" w:color="auto"/>
      </w:divBdr>
    </w:div>
    <w:div w:id="2058624363">
      <w:bodyDiv w:val="1"/>
      <w:marLeft w:val="0"/>
      <w:marRight w:val="0"/>
      <w:marTop w:val="0"/>
      <w:marBottom w:val="0"/>
      <w:divBdr>
        <w:top w:val="none" w:sz="0" w:space="0" w:color="auto"/>
        <w:left w:val="none" w:sz="0" w:space="0" w:color="auto"/>
        <w:bottom w:val="none" w:sz="0" w:space="0" w:color="auto"/>
        <w:right w:val="none" w:sz="0" w:space="0" w:color="auto"/>
      </w:divBdr>
    </w:div>
    <w:div w:id="2065836863">
      <w:bodyDiv w:val="1"/>
      <w:marLeft w:val="0"/>
      <w:marRight w:val="0"/>
      <w:marTop w:val="0"/>
      <w:marBottom w:val="0"/>
      <w:divBdr>
        <w:top w:val="none" w:sz="0" w:space="0" w:color="auto"/>
        <w:left w:val="none" w:sz="0" w:space="0" w:color="auto"/>
        <w:bottom w:val="none" w:sz="0" w:space="0" w:color="auto"/>
        <w:right w:val="none" w:sz="0" w:space="0" w:color="auto"/>
      </w:divBdr>
    </w:div>
    <w:div w:id="2065983444">
      <w:bodyDiv w:val="1"/>
      <w:marLeft w:val="0"/>
      <w:marRight w:val="0"/>
      <w:marTop w:val="0"/>
      <w:marBottom w:val="0"/>
      <w:divBdr>
        <w:top w:val="none" w:sz="0" w:space="0" w:color="auto"/>
        <w:left w:val="none" w:sz="0" w:space="0" w:color="auto"/>
        <w:bottom w:val="none" w:sz="0" w:space="0" w:color="auto"/>
        <w:right w:val="none" w:sz="0" w:space="0" w:color="auto"/>
      </w:divBdr>
    </w:div>
    <w:div w:id="2070302766">
      <w:bodyDiv w:val="1"/>
      <w:marLeft w:val="0"/>
      <w:marRight w:val="0"/>
      <w:marTop w:val="0"/>
      <w:marBottom w:val="0"/>
      <w:divBdr>
        <w:top w:val="none" w:sz="0" w:space="0" w:color="auto"/>
        <w:left w:val="none" w:sz="0" w:space="0" w:color="auto"/>
        <w:bottom w:val="none" w:sz="0" w:space="0" w:color="auto"/>
        <w:right w:val="none" w:sz="0" w:space="0" w:color="auto"/>
      </w:divBdr>
    </w:div>
    <w:div w:id="2080516582">
      <w:bodyDiv w:val="1"/>
      <w:marLeft w:val="0"/>
      <w:marRight w:val="0"/>
      <w:marTop w:val="0"/>
      <w:marBottom w:val="0"/>
      <w:divBdr>
        <w:top w:val="none" w:sz="0" w:space="0" w:color="auto"/>
        <w:left w:val="none" w:sz="0" w:space="0" w:color="auto"/>
        <w:bottom w:val="none" w:sz="0" w:space="0" w:color="auto"/>
        <w:right w:val="none" w:sz="0" w:space="0" w:color="auto"/>
      </w:divBdr>
    </w:div>
    <w:div w:id="2085565703">
      <w:bodyDiv w:val="1"/>
      <w:marLeft w:val="0"/>
      <w:marRight w:val="0"/>
      <w:marTop w:val="0"/>
      <w:marBottom w:val="0"/>
      <w:divBdr>
        <w:top w:val="none" w:sz="0" w:space="0" w:color="auto"/>
        <w:left w:val="none" w:sz="0" w:space="0" w:color="auto"/>
        <w:bottom w:val="none" w:sz="0" w:space="0" w:color="auto"/>
        <w:right w:val="none" w:sz="0" w:space="0" w:color="auto"/>
      </w:divBdr>
    </w:div>
    <w:div w:id="2085952760">
      <w:bodyDiv w:val="1"/>
      <w:marLeft w:val="0"/>
      <w:marRight w:val="0"/>
      <w:marTop w:val="0"/>
      <w:marBottom w:val="0"/>
      <w:divBdr>
        <w:top w:val="none" w:sz="0" w:space="0" w:color="auto"/>
        <w:left w:val="none" w:sz="0" w:space="0" w:color="auto"/>
        <w:bottom w:val="none" w:sz="0" w:space="0" w:color="auto"/>
        <w:right w:val="none" w:sz="0" w:space="0" w:color="auto"/>
      </w:divBdr>
    </w:div>
    <w:div w:id="2087218606">
      <w:bodyDiv w:val="1"/>
      <w:marLeft w:val="0"/>
      <w:marRight w:val="0"/>
      <w:marTop w:val="0"/>
      <w:marBottom w:val="0"/>
      <w:divBdr>
        <w:top w:val="none" w:sz="0" w:space="0" w:color="auto"/>
        <w:left w:val="none" w:sz="0" w:space="0" w:color="auto"/>
        <w:bottom w:val="none" w:sz="0" w:space="0" w:color="auto"/>
        <w:right w:val="none" w:sz="0" w:space="0" w:color="auto"/>
      </w:divBdr>
    </w:div>
    <w:div w:id="2105032013">
      <w:bodyDiv w:val="1"/>
      <w:marLeft w:val="0"/>
      <w:marRight w:val="0"/>
      <w:marTop w:val="0"/>
      <w:marBottom w:val="0"/>
      <w:divBdr>
        <w:top w:val="none" w:sz="0" w:space="0" w:color="auto"/>
        <w:left w:val="none" w:sz="0" w:space="0" w:color="auto"/>
        <w:bottom w:val="none" w:sz="0" w:space="0" w:color="auto"/>
        <w:right w:val="none" w:sz="0" w:space="0" w:color="auto"/>
      </w:divBdr>
    </w:div>
    <w:div w:id="2105219576">
      <w:bodyDiv w:val="1"/>
      <w:marLeft w:val="0"/>
      <w:marRight w:val="0"/>
      <w:marTop w:val="0"/>
      <w:marBottom w:val="0"/>
      <w:divBdr>
        <w:top w:val="none" w:sz="0" w:space="0" w:color="auto"/>
        <w:left w:val="none" w:sz="0" w:space="0" w:color="auto"/>
        <w:bottom w:val="none" w:sz="0" w:space="0" w:color="auto"/>
        <w:right w:val="none" w:sz="0" w:space="0" w:color="auto"/>
      </w:divBdr>
    </w:div>
    <w:div w:id="2109619030">
      <w:bodyDiv w:val="1"/>
      <w:marLeft w:val="0"/>
      <w:marRight w:val="0"/>
      <w:marTop w:val="0"/>
      <w:marBottom w:val="0"/>
      <w:divBdr>
        <w:top w:val="none" w:sz="0" w:space="0" w:color="auto"/>
        <w:left w:val="none" w:sz="0" w:space="0" w:color="auto"/>
        <w:bottom w:val="none" w:sz="0" w:space="0" w:color="auto"/>
        <w:right w:val="none" w:sz="0" w:space="0" w:color="auto"/>
      </w:divBdr>
    </w:div>
    <w:div w:id="2111389561">
      <w:bodyDiv w:val="1"/>
      <w:marLeft w:val="0"/>
      <w:marRight w:val="0"/>
      <w:marTop w:val="0"/>
      <w:marBottom w:val="0"/>
      <w:divBdr>
        <w:top w:val="none" w:sz="0" w:space="0" w:color="auto"/>
        <w:left w:val="none" w:sz="0" w:space="0" w:color="auto"/>
        <w:bottom w:val="none" w:sz="0" w:space="0" w:color="auto"/>
        <w:right w:val="none" w:sz="0" w:space="0" w:color="auto"/>
      </w:divBdr>
    </w:div>
    <w:div w:id="2114981548">
      <w:bodyDiv w:val="1"/>
      <w:marLeft w:val="0"/>
      <w:marRight w:val="0"/>
      <w:marTop w:val="0"/>
      <w:marBottom w:val="0"/>
      <w:divBdr>
        <w:top w:val="none" w:sz="0" w:space="0" w:color="auto"/>
        <w:left w:val="none" w:sz="0" w:space="0" w:color="auto"/>
        <w:bottom w:val="none" w:sz="0" w:space="0" w:color="auto"/>
        <w:right w:val="none" w:sz="0" w:space="0" w:color="auto"/>
      </w:divBdr>
    </w:div>
    <w:div w:id="2118256870">
      <w:bodyDiv w:val="1"/>
      <w:marLeft w:val="0"/>
      <w:marRight w:val="0"/>
      <w:marTop w:val="0"/>
      <w:marBottom w:val="0"/>
      <w:divBdr>
        <w:top w:val="none" w:sz="0" w:space="0" w:color="auto"/>
        <w:left w:val="none" w:sz="0" w:space="0" w:color="auto"/>
        <w:bottom w:val="none" w:sz="0" w:space="0" w:color="auto"/>
        <w:right w:val="none" w:sz="0" w:space="0" w:color="auto"/>
      </w:divBdr>
    </w:div>
    <w:div w:id="2122335117">
      <w:bodyDiv w:val="1"/>
      <w:marLeft w:val="0"/>
      <w:marRight w:val="0"/>
      <w:marTop w:val="0"/>
      <w:marBottom w:val="0"/>
      <w:divBdr>
        <w:top w:val="none" w:sz="0" w:space="0" w:color="auto"/>
        <w:left w:val="none" w:sz="0" w:space="0" w:color="auto"/>
        <w:bottom w:val="none" w:sz="0" w:space="0" w:color="auto"/>
        <w:right w:val="none" w:sz="0" w:space="0" w:color="auto"/>
      </w:divBdr>
    </w:div>
    <w:div w:id="2126002150">
      <w:bodyDiv w:val="1"/>
      <w:marLeft w:val="0"/>
      <w:marRight w:val="0"/>
      <w:marTop w:val="0"/>
      <w:marBottom w:val="0"/>
      <w:divBdr>
        <w:top w:val="none" w:sz="0" w:space="0" w:color="auto"/>
        <w:left w:val="none" w:sz="0" w:space="0" w:color="auto"/>
        <w:bottom w:val="none" w:sz="0" w:space="0" w:color="auto"/>
        <w:right w:val="none" w:sz="0" w:space="0" w:color="auto"/>
      </w:divBdr>
    </w:div>
    <w:div w:id="2128504944">
      <w:bodyDiv w:val="1"/>
      <w:marLeft w:val="0"/>
      <w:marRight w:val="0"/>
      <w:marTop w:val="0"/>
      <w:marBottom w:val="0"/>
      <w:divBdr>
        <w:top w:val="none" w:sz="0" w:space="0" w:color="auto"/>
        <w:left w:val="none" w:sz="0" w:space="0" w:color="auto"/>
        <w:bottom w:val="none" w:sz="0" w:space="0" w:color="auto"/>
        <w:right w:val="none" w:sz="0" w:space="0" w:color="auto"/>
      </w:divBdr>
    </w:div>
    <w:div w:id="2132698975">
      <w:bodyDiv w:val="1"/>
      <w:marLeft w:val="0"/>
      <w:marRight w:val="0"/>
      <w:marTop w:val="0"/>
      <w:marBottom w:val="0"/>
      <w:divBdr>
        <w:top w:val="none" w:sz="0" w:space="0" w:color="auto"/>
        <w:left w:val="none" w:sz="0" w:space="0" w:color="auto"/>
        <w:bottom w:val="none" w:sz="0" w:space="0" w:color="auto"/>
        <w:right w:val="none" w:sz="0" w:space="0" w:color="auto"/>
      </w:divBdr>
      <w:divsChild>
        <w:div w:id="821704174">
          <w:marLeft w:val="0"/>
          <w:marRight w:val="0"/>
          <w:marTop w:val="0"/>
          <w:marBottom w:val="0"/>
          <w:divBdr>
            <w:top w:val="none" w:sz="0" w:space="0" w:color="auto"/>
            <w:left w:val="none" w:sz="0" w:space="0" w:color="auto"/>
            <w:bottom w:val="none" w:sz="0" w:space="0" w:color="auto"/>
            <w:right w:val="none" w:sz="0" w:space="0" w:color="auto"/>
          </w:divBdr>
          <w:divsChild>
            <w:div w:id="549272251">
              <w:marLeft w:val="0"/>
              <w:marRight w:val="0"/>
              <w:marTop w:val="0"/>
              <w:marBottom w:val="0"/>
              <w:divBdr>
                <w:top w:val="none" w:sz="0" w:space="0" w:color="auto"/>
                <w:left w:val="none" w:sz="0" w:space="0" w:color="auto"/>
                <w:bottom w:val="none" w:sz="0" w:space="0" w:color="auto"/>
                <w:right w:val="none" w:sz="0" w:space="0" w:color="auto"/>
              </w:divBdr>
              <w:divsChild>
                <w:div w:id="200439383">
                  <w:marLeft w:val="0"/>
                  <w:marRight w:val="0"/>
                  <w:marTop w:val="0"/>
                  <w:marBottom w:val="0"/>
                  <w:divBdr>
                    <w:top w:val="none" w:sz="0" w:space="0" w:color="auto"/>
                    <w:left w:val="none" w:sz="0" w:space="0" w:color="auto"/>
                    <w:bottom w:val="none" w:sz="0" w:space="0" w:color="auto"/>
                    <w:right w:val="none" w:sz="0" w:space="0" w:color="auto"/>
                  </w:divBdr>
                  <w:divsChild>
                    <w:div w:id="2068530658">
                      <w:marLeft w:val="0"/>
                      <w:marRight w:val="0"/>
                      <w:marTop w:val="0"/>
                      <w:marBottom w:val="0"/>
                      <w:divBdr>
                        <w:top w:val="none" w:sz="0" w:space="0" w:color="auto"/>
                        <w:left w:val="none" w:sz="0" w:space="0" w:color="auto"/>
                        <w:bottom w:val="none" w:sz="0" w:space="0" w:color="auto"/>
                        <w:right w:val="none" w:sz="0" w:space="0" w:color="auto"/>
                      </w:divBdr>
                      <w:divsChild>
                        <w:div w:id="2101171021">
                          <w:marLeft w:val="0"/>
                          <w:marRight w:val="0"/>
                          <w:marTop w:val="300"/>
                          <w:marBottom w:val="0"/>
                          <w:divBdr>
                            <w:top w:val="none" w:sz="0" w:space="0" w:color="auto"/>
                            <w:left w:val="none" w:sz="0" w:space="0" w:color="auto"/>
                            <w:bottom w:val="none" w:sz="0" w:space="0" w:color="auto"/>
                            <w:right w:val="none" w:sz="0" w:space="0" w:color="auto"/>
                          </w:divBdr>
                          <w:divsChild>
                            <w:div w:id="172453400">
                              <w:marLeft w:val="0"/>
                              <w:marRight w:val="0"/>
                              <w:marTop w:val="0"/>
                              <w:marBottom w:val="0"/>
                              <w:divBdr>
                                <w:top w:val="none" w:sz="0" w:space="0" w:color="auto"/>
                                <w:left w:val="none" w:sz="0" w:space="0" w:color="auto"/>
                                <w:bottom w:val="none" w:sz="0" w:space="0" w:color="auto"/>
                                <w:right w:val="none" w:sz="0" w:space="0" w:color="auto"/>
                              </w:divBdr>
                              <w:divsChild>
                                <w:div w:id="467481113">
                                  <w:marLeft w:val="0"/>
                                  <w:marRight w:val="0"/>
                                  <w:marTop w:val="0"/>
                                  <w:marBottom w:val="0"/>
                                  <w:divBdr>
                                    <w:top w:val="none" w:sz="0" w:space="0" w:color="auto"/>
                                    <w:left w:val="none" w:sz="0" w:space="0" w:color="auto"/>
                                    <w:bottom w:val="none" w:sz="0" w:space="0" w:color="auto"/>
                                    <w:right w:val="none" w:sz="0" w:space="0" w:color="auto"/>
                                  </w:divBdr>
                                </w:div>
                              </w:divsChild>
                            </w:div>
                            <w:div w:id="1200166646">
                              <w:marLeft w:val="0"/>
                              <w:marRight w:val="0"/>
                              <w:marTop w:val="0"/>
                              <w:marBottom w:val="0"/>
                              <w:divBdr>
                                <w:top w:val="none" w:sz="0" w:space="0" w:color="auto"/>
                                <w:left w:val="none" w:sz="0" w:space="0" w:color="auto"/>
                                <w:bottom w:val="none" w:sz="0" w:space="0" w:color="auto"/>
                                <w:right w:val="none" w:sz="0" w:space="0" w:color="auto"/>
                              </w:divBdr>
                            </w:div>
                            <w:div w:id="1263106072">
                              <w:marLeft w:val="0"/>
                              <w:marRight w:val="0"/>
                              <w:marTop w:val="0"/>
                              <w:marBottom w:val="0"/>
                              <w:divBdr>
                                <w:top w:val="none" w:sz="0" w:space="0" w:color="auto"/>
                                <w:left w:val="none" w:sz="0" w:space="0" w:color="auto"/>
                                <w:bottom w:val="none" w:sz="0" w:space="0" w:color="auto"/>
                                <w:right w:val="none" w:sz="0" w:space="0" w:color="auto"/>
                              </w:divBdr>
                              <w:divsChild>
                                <w:div w:id="1097020765">
                                  <w:marLeft w:val="0"/>
                                  <w:marRight w:val="0"/>
                                  <w:marTop w:val="0"/>
                                  <w:marBottom w:val="0"/>
                                  <w:divBdr>
                                    <w:top w:val="none" w:sz="0" w:space="0" w:color="auto"/>
                                    <w:left w:val="none" w:sz="0" w:space="0" w:color="auto"/>
                                    <w:bottom w:val="none" w:sz="0" w:space="0" w:color="auto"/>
                                    <w:right w:val="none" w:sz="0" w:space="0" w:color="auto"/>
                                  </w:divBdr>
                                </w:div>
                              </w:divsChild>
                            </w:div>
                            <w:div w:id="1898785045">
                              <w:marLeft w:val="0"/>
                              <w:marRight w:val="0"/>
                              <w:marTop w:val="0"/>
                              <w:marBottom w:val="0"/>
                              <w:divBdr>
                                <w:top w:val="none" w:sz="0" w:space="0" w:color="auto"/>
                                <w:left w:val="none" w:sz="0" w:space="0" w:color="auto"/>
                                <w:bottom w:val="none" w:sz="0" w:space="0" w:color="auto"/>
                                <w:right w:val="none" w:sz="0" w:space="0" w:color="auto"/>
                              </w:divBdr>
                              <w:divsChild>
                                <w:div w:id="1306620635">
                                  <w:marLeft w:val="0"/>
                                  <w:marRight w:val="0"/>
                                  <w:marTop w:val="0"/>
                                  <w:marBottom w:val="0"/>
                                  <w:divBdr>
                                    <w:top w:val="none" w:sz="0" w:space="0" w:color="auto"/>
                                    <w:left w:val="none" w:sz="0" w:space="0" w:color="auto"/>
                                    <w:bottom w:val="none" w:sz="0" w:space="0" w:color="auto"/>
                                    <w:right w:val="none" w:sz="0" w:space="0" w:color="auto"/>
                                  </w:divBdr>
                                </w:div>
                              </w:divsChild>
                            </w:div>
                            <w:div w:id="2143187120">
                              <w:marLeft w:val="0"/>
                              <w:marRight w:val="0"/>
                              <w:marTop w:val="0"/>
                              <w:marBottom w:val="0"/>
                              <w:divBdr>
                                <w:top w:val="none" w:sz="0" w:space="0" w:color="auto"/>
                                <w:left w:val="none" w:sz="0" w:space="0" w:color="auto"/>
                                <w:bottom w:val="none" w:sz="0" w:space="0" w:color="auto"/>
                                <w:right w:val="none" w:sz="0" w:space="0" w:color="auto"/>
                              </w:divBdr>
                              <w:divsChild>
                                <w:div w:id="11437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639870">
      <w:bodyDiv w:val="1"/>
      <w:marLeft w:val="0"/>
      <w:marRight w:val="0"/>
      <w:marTop w:val="0"/>
      <w:marBottom w:val="0"/>
      <w:divBdr>
        <w:top w:val="none" w:sz="0" w:space="0" w:color="auto"/>
        <w:left w:val="none" w:sz="0" w:space="0" w:color="auto"/>
        <w:bottom w:val="none" w:sz="0" w:space="0" w:color="auto"/>
        <w:right w:val="none" w:sz="0" w:space="0" w:color="auto"/>
      </w:divBdr>
    </w:div>
    <w:div w:id="2136215640">
      <w:bodyDiv w:val="1"/>
      <w:marLeft w:val="0"/>
      <w:marRight w:val="0"/>
      <w:marTop w:val="0"/>
      <w:marBottom w:val="0"/>
      <w:divBdr>
        <w:top w:val="none" w:sz="0" w:space="0" w:color="auto"/>
        <w:left w:val="none" w:sz="0" w:space="0" w:color="auto"/>
        <w:bottom w:val="none" w:sz="0" w:space="0" w:color="auto"/>
        <w:right w:val="none" w:sz="0" w:space="0" w:color="auto"/>
      </w:divBdr>
      <w:divsChild>
        <w:div w:id="1032192991">
          <w:marLeft w:val="0"/>
          <w:marRight w:val="0"/>
          <w:marTop w:val="0"/>
          <w:marBottom w:val="0"/>
          <w:divBdr>
            <w:top w:val="none" w:sz="0" w:space="0" w:color="auto"/>
            <w:left w:val="none" w:sz="0" w:space="0" w:color="auto"/>
            <w:bottom w:val="none" w:sz="0" w:space="0" w:color="auto"/>
            <w:right w:val="none" w:sz="0" w:space="0" w:color="auto"/>
          </w:divBdr>
          <w:divsChild>
            <w:div w:id="1733459455">
              <w:marLeft w:val="0"/>
              <w:marRight w:val="0"/>
              <w:marTop w:val="0"/>
              <w:marBottom w:val="0"/>
              <w:divBdr>
                <w:top w:val="none" w:sz="0" w:space="0" w:color="auto"/>
                <w:left w:val="none" w:sz="0" w:space="0" w:color="auto"/>
                <w:bottom w:val="none" w:sz="0" w:space="0" w:color="auto"/>
                <w:right w:val="none" w:sz="0" w:space="0" w:color="auto"/>
              </w:divBdr>
              <w:divsChild>
                <w:div w:id="1580746539">
                  <w:marLeft w:val="0"/>
                  <w:marRight w:val="0"/>
                  <w:marTop w:val="0"/>
                  <w:marBottom w:val="0"/>
                  <w:divBdr>
                    <w:top w:val="none" w:sz="0" w:space="0" w:color="auto"/>
                    <w:left w:val="none" w:sz="0" w:space="0" w:color="auto"/>
                    <w:bottom w:val="none" w:sz="0" w:space="0" w:color="auto"/>
                    <w:right w:val="none" w:sz="0" w:space="0" w:color="auto"/>
                  </w:divBdr>
                  <w:divsChild>
                    <w:div w:id="492524302">
                      <w:marLeft w:val="0"/>
                      <w:marRight w:val="0"/>
                      <w:marTop w:val="0"/>
                      <w:marBottom w:val="0"/>
                      <w:divBdr>
                        <w:top w:val="none" w:sz="0" w:space="0" w:color="auto"/>
                        <w:left w:val="none" w:sz="0" w:space="0" w:color="auto"/>
                        <w:bottom w:val="none" w:sz="0" w:space="0" w:color="auto"/>
                        <w:right w:val="none" w:sz="0" w:space="0" w:color="auto"/>
                      </w:divBdr>
                      <w:divsChild>
                        <w:div w:id="1478452986">
                          <w:marLeft w:val="0"/>
                          <w:marRight w:val="0"/>
                          <w:marTop w:val="300"/>
                          <w:marBottom w:val="0"/>
                          <w:divBdr>
                            <w:top w:val="none" w:sz="0" w:space="0" w:color="auto"/>
                            <w:left w:val="none" w:sz="0" w:space="0" w:color="auto"/>
                            <w:bottom w:val="none" w:sz="0" w:space="0" w:color="auto"/>
                            <w:right w:val="none" w:sz="0" w:space="0" w:color="auto"/>
                          </w:divBdr>
                          <w:divsChild>
                            <w:div w:id="200608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6289482">
      <w:bodyDiv w:val="1"/>
      <w:marLeft w:val="0"/>
      <w:marRight w:val="0"/>
      <w:marTop w:val="0"/>
      <w:marBottom w:val="0"/>
      <w:divBdr>
        <w:top w:val="none" w:sz="0" w:space="0" w:color="auto"/>
        <w:left w:val="none" w:sz="0" w:space="0" w:color="auto"/>
        <w:bottom w:val="none" w:sz="0" w:space="0" w:color="auto"/>
        <w:right w:val="none" w:sz="0" w:space="0" w:color="auto"/>
      </w:divBdr>
    </w:div>
    <w:div w:id="2136410537">
      <w:bodyDiv w:val="1"/>
      <w:marLeft w:val="0"/>
      <w:marRight w:val="0"/>
      <w:marTop w:val="0"/>
      <w:marBottom w:val="0"/>
      <w:divBdr>
        <w:top w:val="none" w:sz="0" w:space="0" w:color="auto"/>
        <w:left w:val="none" w:sz="0" w:space="0" w:color="auto"/>
        <w:bottom w:val="none" w:sz="0" w:space="0" w:color="auto"/>
        <w:right w:val="none" w:sz="0" w:space="0" w:color="auto"/>
      </w:divBdr>
    </w:div>
    <w:div w:id="2137024269">
      <w:bodyDiv w:val="1"/>
      <w:marLeft w:val="0"/>
      <w:marRight w:val="0"/>
      <w:marTop w:val="0"/>
      <w:marBottom w:val="0"/>
      <w:divBdr>
        <w:top w:val="none" w:sz="0" w:space="0" w:color="auto"/>
        <w:left w:val="none" w:sz="0" w:space="0" w:color="auto"/>
        <w:bottom w:val="none" w:sz="0" w:space="0" w:color="auto"/>
        <w:right w:val="none" w:sz="0" w:space="0" w:color="auto"/>
      </w:divBdr>
    </w:div>
    <w:div w:id="2142192586">
      <w:bodyDiv w:val="1"/>
      <w:marLeft w:val="0"/>
      <w:marRight w:val="0"/>
      <w:marTop w:val="0"/>
      <w:marBottom w:val="0"/>
      <w:divBdr>
        <w:top w:val="none" w:sz="0" w:space="0" w:color="auto"/>
        <w:left w:val="none" w:sz="0" w:space="0" w:color="auto"/>
        <w:bottom w:val="none" w:sz="0" w:space="0" w:color="auto"/>
        <w:right w:val="none" w:sz="0" w:space="0" w:color="auto"/>
      </w:divBdr>
      <w:divsChild>
        <w:div w:id="1245139580">
          <w:marLeft w:val="0"/>
          <w:marRight w:val="0"/>
          <w:marTop w:val="0"/>
          <w:marBottom w:val="0"/>
          <w:divBdr>
            <w:top w:val="none" w:sz="0" w:space="0" w:color="auto"/>
            <w:left w:val="none" w:sz="0" w:space="0" w:color="auto"/>
            <w:bottom w:val="none" w:sz="0" w:space="0" w:color="auto"/>
            <w:right w:val="none" w:sz="0" w:space="0" w:color="auto"/>
          </w:divBdr>
          <w:divsChild>
            <w:div w:id="976030572">
              <w:marLeft w:val="0"/>
              <w:marRight w:val="0"/>
              <w:marTop w:val="0"/>
              <w:marBottom w:val="0"/>
              <w:divBdr>
                <w:top w:val="none" w:sz="0" w:space="0" w:color="auto"/>
                <w:left w:val="none" w:sz="0" w:space="0" w:color="auto"/>
                <w:bottom w:val="none" w:sz="0" w:space="0" w:color="auto"/>
                <w:right w:val="none" w:sz="0" w:space="0" w:color="auto"/>
              </w:divBdr>
              <w:divsChild>
                <w:div w:id="878668415">
                  <w:marLeft w:val="0"/>
                  <w:marRight w:val="0"/>
                  <w:marTop w:val="0"/>
                  <w:marBottom w:val="0"/>
                  <w:divBdr>
                    <w:top w:val="none" w:sz="0" w:space="0" w:color="auto"/>
                    <w:left w:val="none" w:sz="0" w:space="0" w:color="auto"/>
                    <w:bottom w:val="none" w:sz="0" w:space="0" w:color="auto"/>
                    <w:right w:val="none" w:sz="0" w:space="0" w:color="auto"/>
                  </w:divBdr>
                  <w:divsChild>
                    <w:div w:id="1572304078">
                      <w:marLeft w:val="0"/>
                      <w:marRight w:val="0"/>
                      <w:marTop w:val="0"/>
                      <w:marBottom w:val="0"/>
                      <w:divBdr>
                        <w:top w:val="none" w:sz="0" w:space="0" w:color="auto"/>
                        <w:left w:val="none" w:sz="0" w:space="0" w:color="auto"/>
                        <w:bottom w:val="none" w:sz="0" w:space="0" w:color="auto"/>
                        <w:right w:val="none" w:sz="0" w:space="0" w:color="auto"/>
                      </w:divBdr>
                      <w:divsChild>
                        <w:div w:id="691302004">
                          <w:marLeft w:val="0"/>
                          <w:marRight w:val="0"/>
                          <w:marTop w:val="300"/>
                          <w:marBottom w:val="0"/>
                          <w:divBdr>
                            <w:top w:val="none" w:sz="0" w:space="0" w:color="auto"/>
                            <w:left w:val="none" w:sz="0" w:space="0" w:color="auto"/>
                            <w:bottom w:val="none" w:sz="0" w:space="0" w:color="auto"/>
                            <w:right w:val="none" w:sz="0" w:space="0" w:color="auto"/>
                          </w:divBdr>
                          <w:divsChild>
                            <w:div w:id="124133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495244">
      <w:bodyDiv w:val="1"/>
      <w:marLeft w:val="0"/>
      <w:marRight w:val="0"/>
      <w:marTop w:val="0"/>
      <w:marBottom w:val="0"/>
      <w:divBdr>
        <w:top w:val="none" w:sz="0" w:space="0" w:color="auto"/>
        <w:left w:val="none" w:sz="0" w:space="0" w:color="auto"/>
        <w:bottom w:val="none" w:sz="0" w:space="0" w:color="auto"/>
        <w:right w:val="none" w:sz="0" w:space="0" w:color="auto"/>
      </w:divBdr>
    </w:div>
    <w:div w:id="214480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ase.gov.lv/parskati-un-tames/latvijas-republikas-gada-parskats"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se.gov.lv/metodika/butiskum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kase.gov.lv/sites/default/files/public/PVNLVS_2024.pdf" TargetMode="External"/></Relationships>
</file>

<file path=word/theme/theme1.xml><?xml version="1.0" encoding="utf-8"?>
<a:theme xmlns:a="http://schemas.openxmlformats.org/drawingml/2006/main" name="Office Theme">
  <a:themeElements>
    <a:clrScheme name="Custom 1">
      <a:dk1>
        <a:srgbClr val="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83329C144DA9A846BB0CECFDE58D00F3" ma:contentTypeVersion="0" ma:contentTypeDescription="Izveidot jaunu dokumentu." ma:contentTypeScope="" ma:versionID="592fe25209eb061037e482297b83987c">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C0384-56EF-48E9-8CE9-ED7DCEA3B5A9}">
  <ds:schemaRefs>
    <ds:schemaRef ds:uri="http://schemas.microsoft.com/office/2006/documentManagement/types"/>
    <ds:schemaRef ds:uri="http://purl.org/dc/dcmityp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1BD45E9A-BD52-49DF-AC80-2FEF01B2EC1E}">
  <ds:schemaRefs>
    <ds:schemaRef ds:uri="http://schemas.microsoft.com/sharepoint/v3/contenttype/forms"/>
  </ds:schemaRefs>
</ds:datastoreItem>
</file>

<file path=customXml/itemProps3.xml><?xml version="1.0" encoding="utf-8"?>
<ds:datastoreItem xmlns:ds="http://schemas.openxmlformats.org/officeDocument/2006/customXml" ds:itemID="{DE9C42EA-1EB6-41D2-8083-E729A445CB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03DC5B1-CB4F-4456-8633-59B195779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9163</TotalTime>
  <Pages>76</Pages>
  <Words>133114</Words>
  <Characters>75875</Characters>
  <Application>Microsoft Office Word</Application>
  <DocSecurity>0</DocSecurity>
  <Lines>632</Lines>
  <Paragraphs>417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Latvijas Republikas konsolidētais 2024.gada pārskats</vt:lpstr>
      <vt:lpstr>Latvijas Republikas konsolidētais 2024.gada pārskats</vt:lpstr>
    </vt:vector>
  </TitlesOfParts>
  <Company>Valsts kase</Company>
  <LinksUpToDate>false</LinksUpToDate>
  <CharactersWithSpaces>208572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konsolidētais 2024.gada pārskats</dc:title>
  <dc:subject>Skaidrojums</dc:subject>
  <dc:creator>Atbildīgā amatpersona: Vineta Parfenkova;67094248;Vineta.Parfenkova@kase.gov.lv</dc:creator>
  <cp:lastModifiedBy>Sandija Krūmiņa</cp:lastModifiedBy>
  <cp:revision>829</cp:revision>
  <cp:lastPrinted>2025-05-16T05:51:00Z</cp:lastPrinted>
  <dcterms:created xsi:type="dcterms:W3CDTF">2024-01-11T14:43:00Z</dcterms:created>
  <dcterms:modified xsi:type="dcterms:W3CDTF">2025-05-21T12:54:00Z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0x01010083329C144DA9A846BB0CECFDE58D00F3</vt:lpwstr>
  </property>
</Properties>
</file>