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B4D1F" w14:textId="77777777" w:rsidR="00BB3E4C" w:rsidRPr="000734BE" w:rsidRDefault="00BB3E4C">
      <w:pPr>
        <w:pStyle w:val="BodyText"/>
        <w:rPr>
          <w:color w:val="17365D"/>
        </w:rPr>
      </w:pPr>
      <w:r w:rsidRPr="000734BE">
        <w:rPr>
          <w:color w:val="17365D"/>
        </w:rPr>
        <w:t>Latvijas Republikas</w:t>
      </w:r>
      <w:r w:rsidR="0064088E">
        <w:rPr>
          <w:color w:val="17365D"/>
        </w:rPr>
        <w:t xml:space="preserve"> konsolidētais</w:t>
      </w:r>
      <w:r w:rsidRPr="000734BE">
        <w:rPr>
          <w:color w:val="17365D"/>
        </w:rPr>
        <w:t xml:space="preserve"> </w:t>
      </w:r>
      <w:r w:rsidR="00C520CA" w:rsidRPr="000734BE">
        <w:rPr>
          <w:color w:val="17365D"/>
        </w:rPr>
        <w:t>20</w:t>
      </w:r>
      <w:r w:rsidR="008514CB">
        <w:rPr>
          <w:color w:val="17365D"/>
        </w:rPr>
        <w:t>2</w:t>
      </w:r>
      <w:r w:rsidR="0088631A">
        <w:rPr>
          <w:color w:val="17365D"/>
        </w:rPr>
        <w:t>4</w:t>
      </w:r>
      <w:r w:rsidRPr="000734BE">
        <w:rPr>
          <w:color w:val="17365D"/>
        </w:rPr>
        <w:t>.</w:t>
      </w:r>
      <w:r w:rsidR="001E47E0" w:rsidRPr="000734BE">
        <w:rPr>
          <w:color w:val="17365D"/>
        </w:rPr>
        <w:t xml:space="preserve"> </w:t>
      </w:r>
      <w:r w:rsidR="0064088E">
        <w:rPr>
          <w:color w:val="17365D"/>
        </w:rPr>
        <w:t>gada pārskats</w:t>
      </w:r>
    </w:p>
    <w:p w14:paraId="13EA8597" w14:textId="77777777" w:rsidR="00BB3E4C" w:rsidRPr="000734BE" w:rsidRDefault="00BB3E4C">
      <w:pPr>
        <w:pStyle w:val="Heading4"/>
        <w:rPr>
          <w:color w:val="17365D"/>
        </w:rPr>
      </w:pPr>
    </w:p>
    <w:p w14:paraId="2713B7D7" w14:textId="77777777" w:rsidR="00BB3E4C" w:rsidRPr="000734BE" w:rsidRDefault="00BB3E4C">
      <w:pPr>
        <w:pStyle w:val="Heading4"/>
        <w:rPr>
          <w:color w:val="17365D"/>
          <w:sz w:val="24"/>
          <w:u w:val="single"/>
        </w:rPr>
      </w:pPr>
      <w:r w:rsidRPr="000734BE">
        <w:rPr>
          <w:color w:val="17365D"/>
          <w:sz w:val="24"/>
          <w:u w:val="single"/>
        </w:rPr>
        <w:t>Satura rādītājs</w:t>
      </w:r>
    </w:p>
    <w:p w14:paraId="3A807F9C" w14:textId="77777777" w:rsidR="00BB3E4C" w:rsidRPr="000734BE" w:rsidRDefault="00BB3E4C">
      <w:pPr>
        <w:jc w:val="center"/>
        <w:rPr>
          <w:color w:val="17365D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1177"/>
        <w:gridCol w:w="7470"/>
        <w:gridCol w:w="713"/>
      </w:tblGrid>
      <w:tr w:rsidR="000734BE" w:rsidRPr="000734BE" w14:paraId="4769DE75" w14:textId="77777777" w:rsidTr="00AD48F9">
        <w:trPr>
          <w:tblHeader/>
        </w:trPr>
        <w:tc>
          <w:tcPr>
            <w:tcW w:w="1177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EAC489A" w14:textId="77777777" w:rsidR="00BB3E4C" w:rsidRPr="000734BE" w:rsidRDefault="00BB3E4C">
            <w:pPr>
              <w:pStyle w:val="Heading1"/>
              <w:rPr>
                <w:i w:val="0"/>
                <w:color w:val="17365D"/>
              </w:rPr>
            </w:pPr>
            <w:r w:rsidRPr="000734BE">
              <w:rPr>
                <w:i w:val="0"/>
                <w:color w:val="17365D"/>
              </w:rPr>
              <w:t>Nr.</w:t>
            </w:r>
          </w:p>
        </w:tc>
        <w:tc>
          <w:tcPr>
            <w:tcW w:w="747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626A4058" w14:textId="77777777" w:rsidR="00BB3E4C" w:rsidRPr="000734BE" w:rsidRDefault="00BB3E4C" w:rsidP="006A3C75">
            <w:pPr>
              <w:ind w:right="466"/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71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14:paraId="21334850" w14:textId="77777777" w:rsidR="00BB3E4C" w:rsidRPr="000734BE" w:rsidRDefault="00BB3E4C">
            <w:pPr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0734BE" w:rsidRPr="000734BE" w14:paraId="55C01383" w14:textId="77777777" w:rsidTr="00AD48F9">
        <w:trPr>
          <w:trHeight w:val="337"/>
          <w:tblHeader/>
        </w:trPr>
        <w:tc>
          <w:tcPr>
            <w:tcW w:w="1177" w:type="dxa"/>
            <w:tcBorders>
              <w:top w:val="single" w:sz="4" w:space="0" w:color="17365D"/>
            </w:tcBorders>
          </w:tcPr>
          <w:p w14:paraId="43880D97" w14:textId="77777777" w:rsidR="00BB3E4C" w:rsidRPr="000734BE" w:rsidRDefault="00BB3E4C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470" w:type="dxa"/>
            <w:tcBorders>
              <w:top w:val="single" w:sz="4" w:space="0" w:color="17365D"/>
            </w:tcBorders>
          </w:tcPr>
          <w:p w14:paraId="557E2096" w14:textId="77777777" w:rsidR="00BB3E4C" w:rsidRPr="000734BE" w:rsidRDefault="00BB3E4C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17365D"/>
            </w:tcBorders>
          </w:tcPr>
          <w:p w14:paraId="62B50650" w14:textId="77777777" w:rsidR="00BB3E4C" w:rsidRPr="000734BE" w:rsidRDefault="00BB3E4C">
            <w:pPr>
              <w:rPr>
                <w:color w:val="17365D"/>
                <w:sz w:val="16"/>
                <w:szCs w:val="16"/>
              </w:rPr>
            </w:pPr>
          </w:p>
        </w:tc>
      </w:tr>
      <w:tr w:rsidR="000734BE" w:rsidRPr="000734BE" w14:paraId="28F54D3E" w14:textId="77777777" w:rsidTr="00AD48F9">
        <w:trPr>
          <w:trHeight w:val="225"/>
        </w:trPr>
        <w:tc>
          <w:tcPr>
            <w:tcW w:w="1177" w:type="dxa"/>
          </w:tcPr>
          <w:p w14:paraId="44B96A5F" w14:textId="77777777" w:rsidR="00B473F2" w:rsidRPr="000734BE" w:rsidRDefault="00B473F2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183299ED" w14:textId="77777777" w:rsidR="00B473F2" w:rsidRPr="000734BE" w:rsidRDefault="00B473F2" w:rsidP="006A3C75">
            <w:pPr>
              <w:ind w:right="466"/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</w:t>
            </w:r>
            <w:r w:rsidR="000C6C80" w:rsidRPr="000734BE">
              <w:rPr>
                <w:b/>
                <w:color w:val="17365D"/>
              </w:rPr>
              <w:t> </w:t>
            </w:r>
            <w:r w:rsidRPr="000734BE">
              <w:rPr>
                <w:b/>
                <w:color w:val="17365D"/>
              </w:rPr>
              <w:t>sējums</w:t>
            </w:r>
          </w:p>
        </w:tc>
        <w:tc>
          <w:tcPr>
            <w:tcW w:w="713" w:type="dxa"/>
          </w:tcPr>
          <w:p w14:paraId="6847E3A6" w14:textId="77777777" w:rsidR="00B473F2" w:rsidRPr="000734BE" w:rsidRDefault="00B473F2" w:rsidP="008D0841">
            <w:pPr>
              <w:jc w:val="center"/>
              <w:rPr>
                <w:color w:val="17365D"/>
              </w:rPr>
            </w:pPr>
          </w:p>
        </w:tc>
      </w:tr>
      <w:tr w:rsidR="000734BE" w:rsidRPr="000734BE" w14:paraId="1C02CC5B" w14:textId="77777777" w:rsidTr="00AD48F9">
        <w:trPr>
          <w:trHeight w:val="225"/>
        </w:trPr>
        <w:tc>
          <w:tcPr>
            <w:tcW w:w="1177" w:type="dxa"/>
          </w:tcPr>
          <w:p w14:paraId="65A1199D" w14:textId="77777777" w:rsidR="008612A9" w:rsidRPr="000734BE" w:rsidRDefault="008612A9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706090EC" w14:textId="77777777" w:rsidR="008612A9" w:rsidRPr="000734BE" w:rsidRDefault="008612A9" w:rsidP="004F694C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713" w:type="dxa"/>
          </w:tcPr>
          <w:p w14:paraId="43A4955C" w14:textId="77777777" w:rsidR="008612A9" w:rsidRPr="000734BE" w:rsidRDefault="008612A9" w:rsidP="008D0841">
            <w:pPr>
              <w:jc w:val="center"/>
              <w:rPr>
                <w:color w:val="17365D"/>
              </w:rPr>
            </w:pPr>
          </w:p>
        </w:tc>
      </w:tr>
      <w:tr w:rsidR="00222690" w:rsidRPr="00505F86" w14:paraId="59485A3F" w14:textId="77777777" w:rsidTr="00AD48F9">
        <w:trPr>
          <w:trHeight w:val="225"/>
        </w:trPr>
        <w:tc>
          <w:tcPr>
            <w:tcW w:w="1177" w:type="dxa"/>
          </w:tcPr>
          <w:p w14:paraId="3266820C" w14:textId="77777777" w:rsidR="00222690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197C8AC" w14:textId="77777777" w:rsidR="00222690" w:rsidRPr="00DD7123" w:rsidRDefault="00222690" w:rsidP="00222690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713" w:type="dxa"/>
            <w:vAlign w:val="center"/>
          </w:tcPr>
          <w:p w14:paraId="56FA3ECE" w14:textId="77777777" w:rsidR="00222690" w:rsidRPr="00DD7123" w:rsidRDefault="00222690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64088E" w:rsidRPr="00505F86" w14:paraId="00DCACBB" w14:textId="77777777" w:rsidTr="00AD48F9">
        <w:trPr>
          <w:trHeight w:val="225"/>
        </w:trPr>
        <w:tc>
          <w:tcPr>
            <w:tcW w:w="1177" w:type="dxa"/>
          </w:tcPr>
          <w:p w14:paraId="47BB14ED" w14:textId="77777777" w:rsidR="0064088E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6F1EB378" w14:textId="77777777" w:rsidR="0064088E" w:rsidRPr="00DD7123" w:rsidRDefault="0064088E" w:rsidP="00222690">
            <w:pPr>
              <w:pStyle w:val="Pamatteksts"/>
              <w:spacing w:after="0"/>
              <w:ind w:right="100" w:firstLine="0"/>
              <w:rPr>
                <w:color w:val="17365D"/>
              </w:rPr>
            </w:pPr>
          </w:p>
        </w:tc>
        <w:tc>
          <w:tcPr>
            <w:tcW w:w="713" w:type="dxa"/>
            <w:vAlign w:val="center"/>
          </w:tcPr>
          <w:p w14:paraId="07D7E79A" w14:textId="77777777" w:rsidR="0064088E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</w:p>
        </w:tc>
      </w:tr>
      <w:tr w:rsidR="00222690" w:rsidRPr="00505F86" w14:paraId="4DC4B903" w14:textId="77777777" w:rsidTr="00AD48F9">
        <w:trPr>
          <w:trHeight w:val="225"/>
        </w:trPr>
        <w:tc>
          <w:tcPr>
            <w:tcW w:w="1177" w:type="dxa"/>
          </w:tcPr>
          <w:p w14:paraId="2CDB34BD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7082EFFB" w14:textId="77777777" w:rsidR="00222690" w:rsidRPr="00DD7123" w:rsidRDefault="00222690" w:rsidP="00222690">
            <w:pPr>
              <w:ind w:right="100"/>
              <w:jc w:val="both"/>
              <w:rPr>
                <w:i/>
                <w:color w:val="17365D"/>
              </w:rPr>
            </w:pPr>
            <w:r w:rsidRPr="00DD7123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713" w:type="dxa"/>
          </w:tcPr>
          <w:p w14:paraId="6A3D53CC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222690" w:rsidRPr="00505F86" w14:paraId="7BFB6B88" w14:textId="77777777" w:rsidTr="00AD48F9">
        <w:trPr>
          <w:trHeight w:val="225"/>
        </w:trPr>
        <w:tc>
          <w:tcPr>
            <w:tcW w:w="1177" w:type="dxa"/>
          </w:tcPr>
          <w:p w14:paraId="0EFA8441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3BB07520" w14:textId="77777777"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7B8A1959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14:paraId="0010D284" w14:textId="77777777" w:rsidTr="00AD48F9">
        <w:trPr>
          <w:trHeight w:val="225"/>
        </w:trPr>
        <w:tc>
          <w:tcPr>
            <w:tcW w:w="1177" w:type="dxa"/>
          </w:tcPr>
          <w:p w14:paraId="77593883" w14:textId="77777777" w:rsidR="00222690" w:rsidRPr="00DD7123" w:rsidRDefault="0064088E" w:rsidP="00222690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color w:val="17365D"/>
              </w:rPr>
              <w:t>6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bottom"/>
          </w:tcPr>
          <w:p w14:paraId="34DA0063" w14:textId="77777777" w:rsidR="00222690" w:rsidRPr="00DD7123" w:rsidRDefault="00222690" w:rsidP="00222690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Konsolidētais valsts budžeta izpildes pārskats</w:t>
            </w:r>
          </w:p>
        </w:tc>
        <w:tc>
          <w:tcPr>
            <w:tcW w:w="713" w:type="dxa"/>
          </w:tcPr>
          <w:p w14:paraId="2A4DA71D" w14:textId="77777777" w:rsidR="00222690" w:rsidRPr="00166832" w:rsidRDefault="00222690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2</w:t>
            </w:r>
          </w:p>
        </w:tc>
      </w:tr>
      <w:tr w:rsidR="00166832" w:rsidRPr="00505F86" w14:paraId="141BD61C" w14:textId="77777777" w:rsidTr="00AD48F9">
        <w:trPr>
          <w:trHeight w:val="225"/>
        </w:trPr>
        <w:tc>
          <w:tcPr>
            <w:tcW w:w="1177" w:type="dxa"/>
          </w:tcPr>
          <w:p w14:paraId="2068B04D" w14:textId="77777777"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14:paraId="6B40431A" w14:textId="77777777" w:rsidR="00166832" w:rsidRPr="00DD7123" w:rsidRDefault="00166832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B5B2EB7" w14:textId="77777777" w:rsidR="00166832" w:rsidRPr="00166832" w:rsidRDefault="00166832" w:rsidP="00222690">
            <w:pPr>
              <w:jc w:val="center"/>
              <w:rPr>
                <w:color w:val="17365D"/>
              </w:rPr>
            </w:pPr>
          </w:p>
        </w:tc>
      </w:tr>
      <w:tr w:rsidR="00166832" w:rsidRPr="00166832" w14:paraId="1E993A61" w14:textId="77777777" w:rsidTr="00AD48F9">
        <w:trPr>
          <w:trHeight w:val="225"/>
        </w:trPr>
        <w:tc>
          <w:tcPr>
            <w:tcW w:w="1177" w:type="dxa"/>
          </w:tcPr>
          <w:p w14:paraId="0AF1A96C" w14:textId="77777777"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14:paraId="73FD3F04" w14:textId="77777777" w:rsidR="00166832" w:rsidRPr="00DD7123" w:rsidRDefault="00166832" w:rsidP="00166832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</w:t>
            </w:r>
            <w:r w:rsidRPr="00DD7123">
              <w:rPr>
                <w:i/>
                <w:color w:val="17365D"/>
              </w:rPr>
              <w:t xml:space="preserve"> par  </w:t>
            </w:r>
            <w:r w:rsidRPr="00DD7123">
              <w:rPr>
                <w:i/>
                <w:iCs/>
                <w:color w:val="17365D"/>
              </w:rPr>
              <w:t>konsolidēto valsts budžeta izpildi</w:t>
            </w:r>
          </w:p>
          <w:p w14:paraId="556771CA" w14:textId="77777777" w:rsidR="00166832" w:rsidRPr="00DD7123" w:rsidRDefault="00166832" w:rsidP="00166832">
            <w:pPr>
              <w:jc w:val="center"/>
              <w:rPr>
                <w:color w:val="17365D"/>
              </w:rPr>
            </w:pPr>
          </w:p>
        </w:tc>
        <w:tc>
          <w:tcPr>
            <w:tcW w:w="713" w:type="dxa"/>
          </w:tcPr>
          <w:p w14:paraId="7C853D9A" w14:textId="77777777" w:rsidR="00166832" w:rsidRPr="00166832" w:rsidRDefault="00166832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3</w:t>
            </w:r>
          </w:p>
        </w:tc>
      </w:tr>
      <w:tr w:rsidR="00222690" w:rsidRPr="000734BE" w14:paraId="1C28C44B" w14:textId="77777777" w:rsidTr="00AD48F9">
        <w:trPr>
          <w:trHeight w:val="225"/>
        </w:trPr>
        <w:tc>
          <w:tcPr>
            <w:tcW w:w="1177" w:type="dxa"/>
          </w:tcPr>
          <w:p w14:paraId="77615169" w14:textId="77777777" w:rsidR="00222690" w:rsidRPr="00DD7123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7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B7D0F7F" w14:textId="77777777" w:rsidR="00222690" w:rsidRPr="00DD7123" w:rsidRDefault="00222690" w:rsidP="00E12BAE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Likuma par valsts budžetu 1.</w:t>
            </w:r>
            <w:r w:rsidR="0064088E">
              <w:rPr>
                <w:color w:val="17365D"/>
              </w:rPr>
              <w:t xml:space="preserve"> </w:t>
            </w:r>
            <w:r w:rsidRPr="00DD7123">
              <w:rPr>
                <w:color w:val="17365D"/>
              </w:rPr>
              <w:t xml:space="preserve">pielikuma “Valsts konsolidētais budžets” izpilde </w:t>
            </w:r>
          </w:p>
        </w:tc>
        <w:tc>
          <w:tcPr>
            <w:tcW w:w="713" w:type="dxa"/>
            <w:shd w:val="clear" w:color="auto" w:fill="auto"/>
          </w:tcPr>
          <w:p w14:paraId="37C859C6" w14:textId="77777777" w:rsidR="00222690" w:rsidRPr="00166832" w:rsidRDefault="00166832" w:rsidP="00663260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663260">
              <w:rPr>
                <w:color w:val="17365D"/>
              </w:rPr>
              <w:t>5</w:t>
            </w:r>
          </w:p>
        </w:tc>
      </w:tr>
      <w:tr w:rsidR="00222690" w:rsidRPr="000734BE" w14:paraId="7C57C9D4" w14:textId="77777777" w:rsidTr="00AD48F9">
        <w:trPr>
          <w:trHeight w:val="225"/>
        </w:trPr>
        <w:tc>
          <w:tcPr>
            <w:tcW w:w="1177" w:type="dxa"/>
          </w:tcPr>
          <w:p w14:paraId="62FF3009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2E2AB5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7CD46C9D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A850110" w14:textId="77777777" w:rsidTr="00AD48F9">
        <w:trPr>
          <w:trHeight w:val="225"/>
        </w:trPr>
        <w:tc>
          <w:tcPr>
            <w:tcW w:w="1177" w:type="dxa"/>
          </w:tcPr>
          <w:p w14:paraId="4EE6C187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059B271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ieņēmumi” izpilde</w:t>
            </w:r>
          </w:p>
        </w:tc>
        <w:tc>
          <w:tcPr>
            <w:tcW w:w="713" w:type="dxa"/>
          </w:tcPr>
          <w:p w14:paraId="2C378F66" w14:textId="77777777" w:rsidR="00222690" w:rsidRPr="000734BE" w:rsidRDefault="00DE606E" w:rsidP="0066326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663260">
              <w:rPr>
                <w:color w:val="17365D"/>
              </w:rPr>
              <w:t>7</w:t>
            </w:r>
          </w:p>
        </w:tc>
      </w:tr>
      <w:tr w:rsidR="00222690" w:rsidRPr="000734BE" w14:paraId="17407114" w14:textId="77777777" w:rsidTr="00AD48F9">
        <w:trPr>
          <w:trHeight w:val="225"/>
        </w:trPr>
        <w:tc>
          <w:tcPr>
            <w:tcW w:w="1177" w:type="dxa"/>
          </w:tcPr>
          <w:p w14:paraId="0B86A7D2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7E0D112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6C178B5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1F00F155" w14:textId="77777777" w:rsidTr="00AD48F9">
        <w:trPr>
          <w:trHeight w:val="225"/>
        </w:trPr>
        <w:tc>
          <w:tcPr>
            <w:tcW w:w="1177" w:type="dxa"/>
          </w:tcPr>
          <w:p w14:paraId="1E3EBE05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80C90AB" w14:textId="77777777" w:rsidR="00222690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3.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 xml:space="preserve">pielikuma “Valsts pamatbudžeta un valsts speciālā budžeta kopsavilkums” izpilde </w:t>
            </w:r>
          </w:p>
          <w:p w14:paraId="4516DB91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8F235A6" w14:textId="77777777" w:rsidR="00222690" w:rsidRPr="000734BE" w:rsidRDefault="00222690" w:rsidP="00663260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663260">
              <w:rPr>
                <w:color w:val="17365D"/>
              </w:rPr>
              <w:t>3</w:t>
            </w:r>
          </w:p>
        </w:tc>
      </w:tr>
      <w:tr w:rsidR="00222690" w:rsidRPr="000734BE" w14:paraId="5FFF1C91" w14:textId="77777777" w:rsidTr="00AD48F9">
        <w:trPr>
          <w:trHeight w:val="225"/>
        </w:trPr>
        <w:tc>
          <w:tcPr>
            <w:tcW w:w="1177" w:type="dxa"/>
          </w:tcPr>
          <w:p w14:paraId="0236FD0F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10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296DE40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pamatbudžeta ieņēmumi un izdevumi pa programmām un apakšprogrammām” izpilde</w:t>
            </w:r>
          </w:p>
        </w:tc>
        <w:tc>
          <w:tcPr>
            <w:tcW w:w="713" w:type="dxa"/>
          </w:tcPr>
          <w:p w14:paraId="40D900C3" w14:textId="77777777" w:rsidR="00222690" w:rsidRPr="000734BE" w:rsidRDefault="00F12DAC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D65757">
              <w:rPr>
                <w:color w:val="17365D"/>
              </w:rPr>
              <w:t>21</w:t>
            </w:r>
          </w:p>
        </w:tc>
      </w:tr>
      <w:tr w:rsidR="00222690" w:rsidRPr="000734BE" w14:paraId="07C59D77" w14:textId="77777777" w:rsidTr="00AD48F9">
        <w:trPr>
          <w:trHeight w:val="225"/>
        </w:trPr>
        <w:tc>
          <w:tcPr>
            <w:tcW w:w="1177" w:type="dxa"/>
          </w:tcPr>
          <w:p w14:paraId="58F7DDD0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3805470F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3D83E3C4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259CD12B" w14:textId="77777777" w:rsidTr="00AD48F9">
        <w:trPr>
          <w:trHeight w:val="225"/>
        </w:trPr>
        <w:tc>
          <w:tcPr>
            <w:tcW w:w="1177" w:type="dxa"/>
          </w:tcPr>
          <w:p w14:paraId="433687BE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11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E024FA1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speciālā budžeta ieņēmumi un izdevumi pa programmām un apakšprogrammām” izpilde</w:t>
            </w:r>
          </w:p>
        </w:tc>
        <w:tc>
          <w:tcPr>
            <w:tcW w:w="713" w:type="dxa"/>
          </w:tcPr>
          <w:p w14:paraId="59B59187" w14:textId="77777777" w:rsidR="00222690" w:rsidRPr="000734BE" w:rsidRDefault="00B32967" w:rsidP="0066326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663260">
              <w:rPr>
                <w:color w:val="17365D"/>
              </w:rPr>
              <w:t>92</w:t>
            </w:r>
          </w:p>
        </w:tc>
      </w:tr>
      <w:tr w:rsidR="00222690" w:rsidRPr="000734BE" w14:paraId="0CBC257C" w14:textId="77777777" w:rsidTr="00AD48F9">
        <w:trPr>
          <w:trHeight w:val="225"/>
        </w:trPr>
        <w:tc>
          <w:tcPr>
            <w:tcW w:w="1177" w:type="dxa"/>
          </w:tcPr>
          <w:p w14:paraId="0C113265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AC70305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FCB7E62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8D08251" w14:textId="77777777" w:rsidTr="00AD48F9">
        <w:trPr>
          <w:trHeight w:val="225"/>
        </w:trPr>
        <w:tc>
          <w:tcPr>
            <w:tcW w:w="1177" w:type="dxa"/>
          </w:tcPr>
          <w:p w14:paraId="28F6BC26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12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1C9CB6D4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="005E2310"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</w:t>
            </w:r>
            <w:r w:rsidRPr="005E2310">
              <w:rPr>
                <w:color w:val="17365D"/>
              </w:rPr>
              <w:t>” izpilde</w:t>
            </w:r>
          </w:p>
        </w:tc>
        <w:tc>
          <w:tcPr>
            <w:tcW w:w="713" w:type="dxa"/>
          </w:tcPr>
          <w:p w14:paraId="431E9F42" w14:textId="77777777" w:rsidR="00222690" w:rsidRPr="000734BE" w:rsidRDefault="0066326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400</w:t>
            </w:r>
          </w:p>
        </w:tc>
      </w:tr>
      <w:tr w:rsidR="00222690" w:rsidRPr="000734BE" w14:paraId="559263B5" w14:textId="77777777" w:rsidTr="00AD48F9">
        <w:trPr>
          <w:trHeight w:val="225"/>
        </w:trPr>
        <w:tc>
          <w:tcPr>
            <w:tcW w:w="1177" w:type="dxa"/>
          </w:tcPr>
          <w:p w14:paraId="42242103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F1343C8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211C4BBD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4C9F3B1" w14:textId="77777777" w:rsidTr="00AD48F9">
        <w:trPr>
          <w:trHeight w:val="225"/>
        </w:trPr>
        <w:tc>
          <w:tcPr>
            <w:tcW w:w="1177" w:type="dxa"/>
          </w:tcPr>
          <w:p w14:paraId="6C07EC9F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13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070D6FC0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713" w:type="dxa"/>
          </w:tcPr>
          <w:p w14:paraId="2984C017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401</w:t>
            </w:r>
          </w:p>
        </w:tc>
      </w:tr>
      <w:tr w:rsidR="00222690" w:rsidRPr="000734BE" w14:paraId="0BFD47DC" w14:textId="77777777" w:rsidTr="00AD48F9">
        <w:trPr>
          <w:trHeight w:val="225"/>
        </w:trPr>
        <w:tc>
          <w:tcPr>
            <w:tcW w:w="1177" w:type="dxa"/>
          </w:tcPr>
          <w:p w14:paraId="3296B620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5AD5C7E2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6621645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81F17FA" w14:textId="77777777" w:rsidTr="00AD48F9">
        <w:trPr>
          <w:trHeight w:val="225"/>
        </w:trPr>
        <w:tc>
          <w:tcPr>
            <w:tcW w:w="1177" w:type="dxa"/>
          </w:tcPr>
          <w:p w14:paraId="0EBA80E4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14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3EF669F" w14:textId="77777777" w:rsidR="00222690" w:rsidRPr="008348C9" w:rsidRDefault="0093190A" w:rsidP="00E12BAE">
            <w:pPr>
              <w:jc w:val="both"/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</w:t>
            </w:r>
            <w:r w:rsidR="0064088E">
              <w:rPr>
                <w:color w:val="17365D"/>
              </w:rPr>
              <w:t xml:space="preserve"> </w:t>
            </w:r>
            <w:r w:rsidRPr="0093190A">
              <w:rPr>
                <w:color w:val="17365D"/>
              </w:rPr>
              <w:t>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713" w:type="dxa"/>
          </w:tcPr>
          <w:p w14:paraId="3240B9A7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402</w:t>
            </w:r>
          </w:p>
        </w:tc>
      </w:tr>
      <w:tr w:rsidR="00222690" w:rsidRPr="000734BE" w14:paraId="1D9E58E7" w14:textId="77777777" w:rsidTr="00AD48F9">
        <w:trPr>
          <w:trHeight w:val="225"/>
        </w:trPr>
        <w:tc>
          <w:tcPr>
            <w:tcW w:w="1177" w:type="dxa"/>
          </w:tcPr>
          <w:p w14:paraId="5BE7C9A1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662F1069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36956DB4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AFD5AAB" w14:textId="77777777" w:rsidTr="00AD48F9">
        <w:trPr>
          <w:trHeight w:val="225"/>
        </w:trPr>
        <w:tc>
          <w:tcPr>
            <w:tcW w:w="1177" w:type="dxa"/>
          </w:tcPr>
          <w:p w14:paraId="5EC54678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15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512D5E68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713" w:type="dxa"/>
          </w:tcPr>
          <w:p w14:paraId="548B9C70" w14:textId="77777777" w:rsidR="00222690" w:rsidRPr="000734BE" w:rsidRDefault="00017106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403</w:t>
            </w:r>
          </w:p>
        </w:tc>
      </w:tr>
      <w:tr w:rsidR="00222690" w:rsidRPr="000734BE" w14:paraId="71E205D6" w14:textId="77777777" w:rsidTr="00AD48F9">
        <w:trPr>
          <w:trHeight w:val="225"/>
        </w:trPr>
        <w:tc>
          <w:tcPr>
            <w:tcW w:w="1177" w:type="dxa"/>
          </w:tcPr>
          <w:p w14:paraId="348C0DC4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7BF8E227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608FD17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0C21FD19" w14:textId="77777777" w:rsidTr="00AD48F9">
        <w:trPr>
          <w:trHeight w:val="225"/>
        </w:trPr>
        <w:tc>
          <w:tcPr>
            <w:tcW w:w="1177" w:type="dxa"/>
          </w:tcPr>
          <w:p w14:paraId="0706E293" w14:textId="77777777"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lastRenderedPageBreak/>
              <w:t>16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E2ED062" w14:textId="77777777" w:rsidR="00222690" w:rsidRPr="008348C9" w:rsidRDefault="00222690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713" w:type="dxa"/>
          </w:tcPr>
          <w:p w14:paraId="54FD152B" w14:textId="77777777" w:rsidR="00222690" w:rsidRPr="000734BE" w:rsidRDefault="00017106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404</w:t>
            </w:r>
          </w:p>
        </w:tc>
      </w:tr>
      <w:tr w:rsidR="00222690" w:rsidRPr="000734BE" w14:paraId="476498F3" w14:textId="77777777" w:rsidTr="00AD48F9">
        <w:trPr>
          <w:trHeight w:val="225"/>
        </w:trPr>
        <w:tc>
          <w:tcPr>
            <w:tcW w:w="1177" w:type="dxa"/>
          </w:tcPr>
          <w:p w14:paraId="0EF75FD5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3242740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D0296EB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4BE4C8CD" w14:textId="77777777" w:rsidTr="00AD48F9">
        <w:trPr>
          <w:trHeight w:val="227"/>
        </w:trPr>
        <w:tc>
          <w:tcPr>
            <w:tcW w:w="1177" w:type="dxa"/>
          </w:tcPr>
          <w:p w14:paraId="794C8B79" w14:textId="77777777" w:rsidR="00222690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17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  <w:p w14:paraId="088FA210" w14:textId="77777777" w:rsidR="00552FF0" w:rsidRPr="008348C9" w:rsidRDefault="00552FF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948F218" w14:textId="77777777" w:rsidR="00552FF0" w:rsidRPr="008348C9" w:rsidRDefault="00222690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</w:t>
            </w:r>
            <w:r w:rsidR="004658A3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ilgtermiņa saistību maksimāli pieļaujamais apjoms” izpilde</w:t>
            </w:r>
          </w:p>
        </w:tc>
        <w:tc>
          <w:tcPr>
            <w:tcW w:w="713" w:type="dxa"/>
          </w:tcPr>
          <w:p w14:paraId="4E7C31A0" w14:textId="77777777" w:rsidR="00552FF0" w:rsidRDefault="00017106" w:rsidP="003B6D8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405</w:t>
            </w:r>
          </w:p>
          <w:p w14:paraId="0D8895BA" w14:textId="77777777" w:rsidR="00552FF0" w:rsidRPr="000734BE" w:rsidRDefault="00552FF0" w:rsidP="003B6D8A">
            <w:pPr>
              <w:jc w:val="center"/>
              <w:rPr>
                <w:color w:val="17365D"/>
              </w:rPr>
            </w:pPr>
          </w:p>
        </w:tc>
      </w:tr>
      <w:tr w:rsidR="00222690" w:rsidRPr="000734BE" w14:paraId="6E0529B4" w14:textId="77777777" w:rsidTr="00AD48F9">
        <w:trPr>
          <w:trHeight w:val="225"/>
        </w:trPr>
        <w:tc>
          <w:tcPr>
            <w:tcW w:w="1177" w:type="dxa"/>
          </w:tcPr>
          <w:p w14:paraId="22F83E36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28775A03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5C4E801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7C12FDB" w14:textId="77777777" w:rsidTr="00AD48F9">
        <w:trPr>
          <w:trHeight w:val="225"/>
        </w:trPr>
        <w:tc>
          <w:tcPr>
            <w:tcW w:w="1177" w:type="dxa"/>
          </w:tcPr>
          <w:p w14:paraId="571DD932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2F224847" w14:textId="77777777" w:rsidR="00222690" w:rsidRPr="008348C9" w:rsidRDefault="00B16FF5" w:rsidP="00E12BAE">
            <w:pPr>
              <w:jc w:val="both"/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713" w:type="dxa"/>
          </w:tcPr>
          <w:p w14:paraId="513BA1F6" w14:textId="77777777" w:rsidR="00222690" w:rsidRPr="000734BE" w:rsidRDefault="00017106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460</w:t>
            </w:r>
          </w:p>
        </w:tc>
      </w:tr>
      <w:tr w:rsidR="00222690" w:rsidRPr="000734BE" w14:paraId="39C07591" w14:textId="77777777" w:rsidTr="00AD48F9">
        <w:trPr>
          <w:trHeight w:val="225"/>
        </w:trPr>
        <w:tc>
          <w:tcPr>
            <w:tcW w:w="1177" w:type="dxa"/>
          </w:tcPr>
          <w:p w14:paraId="4955EE6D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00A8ADD5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62217CE0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47963081" w14:textId="77777777" w:rsidTr="00AD48F9">
        <w:trPr>
          <w:trHeight w:val="225"/>
        </w:trPr>
        <w:tc>
          <w:tcPr>
            <w:tcW w:w="1177" w:type="dxa"/>
          </w:tcPr>
          <w:p w14:paraId="276B18F7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52A974AD" w14:textId="77777777" w:rsidR="00222690" w:rsidRPr="008348C9" w:rsidRDefault="00B16FF5" w:rsidP="00E12BAE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713" w:type="dxa"/>
          </w:tcPr>
          <w:p w14:paraId="49EDEC7C" w14:textId="77777777" w:rsidR="00222690" w:rsidRPr="000734BE" w:rsidRDefault="003B6D8A" w:rsidP="00017106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017106">
              <w:rPr>
                <w:color w:val="17365D"/>
              </w:rPr>
              <w:t>62</w:t>
            </w:r>
          </w:p>
        </w:tc>
      </w:tr>
      <w:tr w:rsidR="00222690" w:rsidRPr="000734BE" w14:paraId="042DBFB3" w14:textId="77777777" w:rsidTr="00AD48F9">
        <w:trPr>
          <w:trHeight w:val="225"/>
        </w:trPr>
        <w:tc>
          <w:tcPr>
            <w:tcW w:w="1177" w:type="dxa"/>
          </w:tcPr>
          <w:p w14:paraId="67CFAE6F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2563D5E8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0211E93F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14:paraId="6174B344" w14:textId="77777777" w:rsidTr="00AD48F9">
        <w:trPr>
          <w:trHeight w:val="225"/>
        </w:trPr>
        <w:tc>
          <w:tcPr>
            <w:tcW w:w="1177" w:type="dxa"/>
          </w:tcPr>
          <w:p w14:paraId="6A1FF724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2</w:t>
            </w:r>
            <w:r w:rsidR="006A3C75">
              <w:rPr>
                <w:color w:val="17365D"/>
              </w:rPr>
              <w:t>0</w:t>
            </w:r>
            <w:r w:rsidRPr="00DD7123">
              <w:rPr>
                <w:color w:val="17365D"/>
              </w:rPr>
              <w:t>.</w:t>
            </w:r>
            <w:r w:rsidR="006A3C75"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67590AFD" w14:textId="77777777" w:rsidR="00222690" w:rsidRPr="00DD7123" w:rsidRDefault="00222690" w:rsidP="00E12BAE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713" w:type="dxa"/>
          </w:tcPr>
          <w:p w14:paraId="5E07848B" w14:textId="77777777" w:rsidR="00222690" w:rsidRPr="00DD7123" w:rsidRDefault="00017106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465</w:t>
            </w:r>
          </w:p>
        </w:tc>
      </w:tr>
      <w:tr w:rsidR="00222690" w:rsidRPr="00505F86" w14:paraId="7D9B924C" w14:textId="77777777" w:rsidTr="00AD48F9">
        <w:trPr>
          <w:trHeight w:val="225"/>
        </w:trPr>
        <w:tc>
          <w:tcPr>
            <w:tcW w:w="1177" w:type="dxa"/>
          </w:tcPr>
          <w:p w14:paraId="550E31AF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1C94FBB1" w14:textId="77777777" w:rsidR="00222690" w:rsidRPr="00DD7123" w:rsidRDefault="00222690" w:rsidP="00E12BAE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A88651C" w14:textId="77777777"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7D464AF7" w14:textId="77777777" w:rsidTr="00AD48F9">
        <w:trPr>
          <w:trHeight w:val="225"/>
        </w:trPr>
        <w:tc>
          <w:tcPr>
            <w:tcW w:w="1177" w:type="dxa"/>
          </w:tcPr>
          <w:p w14:paraId="5448777A" w14:textId="77777777" w:rsidR="00222690" w:rsidRPr="00DD7123" w:rsidRDefault="00222690" w:rsidP="00222690">
            <w:pPr>
              <w:rPr>
                <w:color w:val="17365D"/>
              </w:rPr>
            </w:pPr>
          </w:p>
        </w:tc>
        <w:tc>
          <w:tcPr>
            <w:tcW w:w="7470" w:type="dxa"/>
          </w:tcPr>
          <w:p w14:paraId="7B1C658C" w14:textId="77777777" w:rsidR="00222690" w:rsidRPr="00DD7123" w:rsidRDefault="00222690" w:rsidP="00E12BAE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 par</w:t>
            </w:r>
            <w:r w:rsidR="00486382">
              <w:rPr>
                <w:i/>
                <w:iCs/>
                <w:color w:val="17365D"/>
              </w:rPr>
              <w:t xml:space="preserve"> konsolidēto pašvaldību</w:t>
            </w:r>
            <w:r w:rsidRPr="00DD7123">
              <w:rPr>
                <w:i/>
                <w:iCs/>
                <w:color w:val="17365D"/>
              </w:rPr>
              <w:t xml:space="preserve"> budžeta izpildi</w:t>
            </w:r>
          </w:p>
        </w:tc>
        <w:tc>
          <w:tcPr>
            <w:tcW w:w="713" w:type="dxa"/>
          </w:tcPr>
          <w:p w14:paraId="0B70B116" w14:textId="77777777" w:rsidR="00222690" w:rsidRPr="00DD7123" w:rsidRDefault="00222690" w:rsidP="00017106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017106">
              <w:rPr>
                <w:color w:val="17365D"/>
              </w:rPr>
              <w:t>66</w:t>
            </w:r>
          </w:p>
        </w:tc>
      </w:tr>
      <w:tr w:rsidR="00222690" w:rsidRPr="000734BE" w14:paraId="12790512" w14:textId="77777777" w:rsidTr="00AD48F9">
        <w:trPr>
          <w:trHeight w:val="225"/>
        </w:trPr>
        <w:tc>
          <w:tcPr>
            <w:tcW w:w="1177" w:type="dxa"/>
          </w:tcPr>
          <w:p w14:paraId="0CB6EBDB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14:paraId="6082E96D" w14:textId="77777777" w:rsidR="00222690" w:rsidRPr="008348C9" w:rsidRDefault="00222690" w:rsidP="00E12BAE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1941F5A2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3465A83F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47C44660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1.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4FCCAB9D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14:paraId="79E07E99" w14:textId="77777777" w:rsidR="00222690" w:rsidRPr="000734BE" w:rsidRDefault="007C36AA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481</w:t>
            </w:r>
          </w:p>
        </w:tc>
      </w:tr>
      <w:tr w:rsidR="00222690" w:rsidRPr="000734BE" w14:paraId="0EDCB62D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3AF44BAF" w14:textId="77777777"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14:paraId="49084766" w14:textId="77777777" w:rsidR="00222690" w:rsidRPr="008348C9" w:rsidRDefault="00222690" w:rsidP="00E12BAE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14:paraId="5DA7F130" w14:textId="77777777"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14:paraId="2CC0DDE5" w14:textId="77777777" w:rsidTr="00AD48F9">
        <w:trPr>
          <w:trHeight w:val="225"/>
        </w:trPr>
        <w:tc>
          <w:tcPr>
            <w:tcW w:w="1177" w:type="dxa"/>
            <w:vAlign w:val="center"/>
          </w:tcPr>
          <w:p w14:paraId="444599DD" w14:textId="77777777"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2.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14:paraId="3D2C91FF" w14:textId="77777777" w:rsidR="00222690" w:rsidRPr="008348C9" w:rsidRDefault="00B16FF5" w:rsidP="00E12BAE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14:paraId="71E9ADE3" w14:textId="77777777" w:rsidR="00222690" w:rsidRPr="000734BE" w:rsidRDefault="00E76AC7" w:rsidP="007C36A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C36AA">
              <w:rPr>
                <w:color w:val="17365D"/>
              </w:rPr>
              <w:t>83</w:t>
            </w:r>
          </w:p>
        </w:tc>
      </w:tr>
    </w:tbl>
    <w:p w14:paraId="7E0D5A8D" w14:textId="77777777" w:rsidR="001D4B6E" w:rsidRPr="000734BE" w:rsidRDefault="001D4B6E" w:rsidP="00B16FF5">
      <w:pPr>
        <w:rPr>
          <w:color w:val="17365D"/>
        </w:rPr>
      </w:pPr>
    </w:p>
    <w:sectPr w:rsidR="001D4B6E" w:rsidRPr="000734BE" w:rsidSect="00182D4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1E335" w14:textId="77777777" w:rsidR="009D51D6" w:rsidRDefault="009D51D6">
      <w:r>
        <w:separator/>
      </w:r>
    </w:p>
  </w:endnote>
  <w:endnote w:type="continuationSeparator" w:id="0">
    <w:p w14:paraId="772C59EE" w14:textId="77777777"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9232" w14:textId="77777777"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5E8179" w14:textId="77777777"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EF6BD" w14:textId="77777777" w:rsidR="001E75D4" w:rsidRPr="00F145A0" w:rsidRDefault="001E75D4" w:rsidP="00F6278A">
    <w:pPr>
      <w:pStyle w:val="Footer"/>
      <w:framePr w:wrap="around" w:vAnchor="text" w:hAnchor="page" w:x="10945" w:y="144"/>
      <w:rPr>
        <w:rStyle w:val="PageNumber"/>
        <w:color w:val="17365D"/>
        <w:sz w:val="20"/>
      </w:rPr>
    </w:pPr>
    <w:r w:rsidRPr="00F145A0">
      <w:rPr>
        <w:rStyle w:val="PageNumber"/>
        <w:color w:val="17365D"/>
        <w:sz w:val="20"/>
      </w:rPr>
      <w:fldChar w:fldCharType="begin"/>
    </w:r>
    <w:r w:rsidRPr="00F145A0">
      <w:rPr>
        <w:rStyle w:val="PageNumber"/>
        <w:color w:val="17365D"/>
        <w:sz w:val="20"/>
      </w:rPr>
      <w:instrText xml:space="preserve">PAGE  </w:instrText>
    </w:r>
    <w:r w:rsidRPr="00F145A0">
      <w:rPr>
        <w:rStyle w:val="PageNumber"/>
        <w:color w:val="17365D"/>
        <w:sz w:val="20"/>
      </w:rPr>
      <w:fldChar w:fldCharType="separate"/>
    </w:r>
    <w:r w:rsidR="007C36AA">
      <w:rPr>
        <w:rStyle w:val="PageNumber"/>
        <w:noProof/>
        <w:color w:val="17365D"/>
        <w:sz w:val="20"/>
      </w:rPr>
      <w:t>3</w:t>
    </w:r>
    <w:r w:rsidRPr="00F145A0">
      <w:rPr>
        <w:rStyle w:val="PageNumber"/>
        <w:color w:val="17365D"/>
        <w:sz w:val="20"/>
      </w:rPr>
      <w:fldChar w:fldCharType="end"/>
    </w:r>
  </w:p>
  <w:p w14:paraId="549C82C8" w14:textId="77777777" w:rsidR="001E75D4" w:rsidRDefault="000734BE" w:rsidP="00B74A24">
    <w:pPr>
      <w:pStyle w:val="Footer"/>
      <w:ind w:right="-2"/>
      <w:jc w:val="both"/>
      <w:rPr>
        <w:sz w:val="20"/>
      </w:rPr>
    </w:pP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D3BAB38" wp14:editId="15243A32">
              <wp:simplePos x="0" y="0"/>
              <wp:positionH relativeFrom="column">
                <wp:posOffset>5655945</wp:posOffset>
              </wp:positionH>
              <wp:positionV relativeFrom="paragraph">
                <wp:posOffset>17780</wp:posOffset>
              </wp:positionV>
              <wp:extent cx="457200" cy="280800"/>
              <wp:effectExtent l="0" t="0" r="0" b="508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808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225EF9" id="Rounded Rectangle 8" o:spid="_x0000_s1026" style="position:absolute;margin-left:445.35pt;margin-top:1.4pt;width:36pt;height:2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" fillcolor="#dbe5f1 [660]" stroked="f" strokeweight="1pt">
              <v:stroke dashstyle="dash"/>
            </v:roundrect>
          </w:pict>
        </mc:Fallback>
      </mc:AlternateContent>
    </w: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D94225" wp14:editId="0ECB3ED7">
              <wp:simplePos x="0" y="0"/>
              <wp:positionH relativeFrom="column">
                <wp:posOffset>-147955</wp:posOffset>
              </wp:positionH>
              <wp:positionV relativeFrom="paragraph">
                <wp:posOffset>-71755</wp:posOffset>
              </wp:positionV>
              <wp:extent cx="5684400" cy="44640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4400" cy="44640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14:paraId="263676D4" w14:textId="77777777" w:rsidR="000734BE" w:rsidRPr="000734BE" w:rsidRDefault="00C470E3" w:rsidP="006A3C75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17365D"/>
                              <w:sz w:val="20"/>
                            </w:rPr>
                            <w:t>2_01_FMInf_</w:t>
                          </w:r>
                          <w:r w:rsidR="006A3C75">
                            <w:rPr>
                              <w:noProof/>
                              <w:color w:val="17365D"/>
                              <w:sz w:val="20"/>
                            </w:rPr>
                            <w:t>Sat_</w:t>
                          </w:r>
                          <w:r w:rsidR="00E52FA7">
                            <w:rPr>
                              <w:noProof/>
                              <w:color w:val="17365D"/>
                              <w:sz w:val="20"/>
                            </w:rPr>
                            <w:t>1</w:t>
                          </w:r>
                          <w:r w:rsidR="0088631A">
                            <w:rPr>
                              <w:noProof/>
                              <w:color w:val="17365D"/>
                              <w:sz w:val="20"/>
                            </w:rPr>
                            <w:t>60525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>; Latvijas Republikas</w:t>
                          </w:r>
                          <w:r w:rsidR="006A3C75">
                            <w:rPr>
                              <w:color w:val="17365D"/>
                              <w:sz w:val="20"/>
                            </w:rPr>
                            <w:t xml:space="preserve"> konsolidētais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 xml:space="preserve"> 20</w:t>
                          </w:r>
                          <w:r w:rsidR="00920ED2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="0088631A">
                            <w:rPr>
                              <w:color w:val="17365D"/>
                              <w:sz w:val="20"/>
                            </w:rPr>
                            <w:t>4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. gada</w:t>
                          </w:r>
                          <w:r w:rsidR="00E5401F">
                            <w:rPr>
                              <w:color w:val="17365D"/>
                              <w:sz w:val="20"/>
                            </w:rPr>
                            <w:t xml:space="preserve"> pārskats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; 2. sējums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9D94225" id="Rounded Rectangle 1" o:spid="_x0000_s1026" style="position:absolute;left:0;text-align:left;margin-left:-11.65pt;margin-top:-5.65pt;width:447.6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" fillcolor="#dce6f2" stroked="f" strokeweight="1pt">
              <v:stroke dashstyle="dash"/>
              <v:textbox>
                <w:txbxContent>
                  <w:p w14:paraId="263676D4" w14:textId="77777777" w:rsidR="000734BE" w:rsidRPr="000734BE" w:rsidRDefault="00C470E3" w:rsidP="006A3C75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noProof/>
                        <w:color w:val="17365D"/>
                        <w:sz w:val="20"/>
                      </w:rPr>
                      <w:t>2_01_FMInf_</w:t>
                    </w:r>
                    <w:r w:rsidR="006A3C75">
                      <w:rPr>
                        <w:noProof/>
                        <w:color w:val="17365D"/>
                        <w:sz w:val="20"/>
                      </w:rPr>
                      <w:t>Sat_</w:t>
                    </w:r>
                    <w:r w:rsidR="00E52FA7">
                      <w:rPr>
                        <w:noProof/>
                        <w:color w:val="17365D"/>
                        <w:sz w:val="20"/>
                      </w:rPr>
                      <w:t>1</w:t>
                    </w:r>
                    <w:r w:rsidR="0088631A">
                      <w:rPr>
                        <w:noProof/>
                        <w:color w:val="17365D"/>
                        <w:sz w:val="20"/>
                      </w:rPr>
                      <w:t>60525</w:t>
                    </w:r>
                    <w:r>
                      <w:rPr>
                        <w:color w:val="17365D"/>
                        <w:sz w:val="20"/>
                      </w:rPr>
                      <w:t>; Latvijas Republikas</w:t>
                    </w:r>
                    <w:r w:rsidR="006A3C75">
                      <w:rPr>
                        <w:color w:val="17365D"/>
                        <w:sz w:val="20"/>
                      </w:rPr>
                      <w:t xml:space="preserve"> konsolidētais</w:t>
                    </w:r>
                    <w:r>
                      <w:rPr>
                        <w:color w:val="17365D"/>
                        <w:sz w:val="20"/>
                      </w:rPr>
                      <w:t xml:space="preserve"> 20</w:t>
                    </w:r>
                    <w:r w:rsidR="00920ED2">
                      <w:rPr>
                        <w:color w:val="17365D"/>
                        <w:sz w:val="20"/>
                      </w:rPr>
                      <w:t>2</w:t>
                    </w:r>
                    <w:r w:rsidR="0088631A">
                      <w:rPr>
                        <w:color w:val="17365D"/>
                        <w:sz w:val="20"/>
                      </w:rPr>
                      <w:t>4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. gada</w:t>
                    </w:r>
                    <w:r w:rsidR="00E5401F">
                      <w:rPr>
                        <w:color w:val="17365D"/>
                        <w:sz w:val="20"/>
                      </w:rPr>
                      <w:t xml:space="preserve"> pārskats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; 2. sējums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1EC7C" w14:textId="77777777" w:rsidR="009D51D6" w:rsidRDefault="009D51D6">
      <w:r>
        <w:separator/>
      </w:r>
    </w:p>
  </w:footnote>
  <w:footnote w:type="continuationSeparator" w:id="0">
    <w:p w14:paraId="46EE0B8E" w14:textId="77777777" w:rsidR="009D51D6" w:rsidRDefault="009D5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997"/>
    <w:rsid w:val="000111CB"/>
    <w:rsid w:val="000149A4"/>
    <w:rsid w:val="0001577D"/>
    <w:rsid w:val="0001685B"/>
    <w:rsid w:val="00017106"/>
    <w:rsid w:val="0002453B"/>
    <w:rsid w:val="0003317F"/>
    <w:rsid w:val="00033250"/>
    <w:rsid w:val="00041823"/>
    <w:rsid w:val="0004417A"/>
    <w:rsid w:val="00044D08"/>
    <w:rsid w:val="000566E0"/>
    <w:rsid w:val="0007226C"/>
    <w:rsid w:val="000734BE"/>
    <w:rsid w:val="00075BE9"/>
    <w:rsid w:val="00085D05"/>
    <w:rsid w:val="00086865"/>
    <w:rsid w:val="00094B2B"/>
    <w:rsid w:val="000A6997"/>
    <w:rsid w:val="000C601B"/>
    <w:rsid w:val="000C6C80"/>
    <w:rsid w:val="000D69B7"/>
    <w:rsid w:val="000F2099"/>
    <w:rsid w:val="000F5A5F"/>
    <w:rsid w:val="00102123"/>
    <w:rsid w:val="00105F06"/>
    <w:rsid w:val="0010614C"/>
    <w:rsid w:val="00114337"/>
    <w:rsid w:val="001271DD"/>
    <w:rsid w:val="00132AF4"/>
    <w:rsid w:val="0013676D"/>
    <w:rsid w:val="00142500"/>
    <w:rsid w:val="0015174C"/>
    <w:rsid w:val="001550FD"/>
    <w:rsid w:val="001617CE"/>
    <w:rsid w:val="00166832"/>
    <w:rsid w:val="001678D1"/>
    <w:rsid w:val="00167B23"/>
    <w:rsid w:val="00174264"/>
    <w:rsid w:val="00175124"/>
    <w:rsid w:val="001768C6"/>
    <w:rsid w:val="00182D45"/>
    <w:rsid w:val="0018523A"/>
    <w:rsid w:val="00191073"/>
    <w:rsid w:val="001A5B79"/>
    <w:rsid w:val="001B2EE7"/>
    <w:rsid w:val="001B765B"/>
    <w:rsid w:val="001C0C4F"/>
    <w:rsid w:val="001D4B6E"/>
    <w:rsid w:val="001E47E0"/>
    <w:rsid w:val="001E6E55"/>
    <w:rsid w:val="001E7547"/>
    <w:rsid w:val="001E75D4"/>
    <w:rsid w:val="002015C8"/>
    <w:rsid w:val="002043D6"/>
    <w:rsid w:val="00207980"/>
    <w:rsid w:val="00207EA2"/>
    <w:rsid w:val="002113C9"/>
    <w:rsid w:val="002203E9"/>
    <w:rsid w:val="00222690"/>
    <w:rsid w:val="00223798"/>
    <w:rsid w:val="00231C71"/>
    <w:rsid w:val="00255D73"/>
    <w:rsid w:val="00262C41"/>
    <w:rsid w:val="002648BF"/>
    <w:rsid w:val="002736FA"/>
    <w:rsid w:val="002757AD"/>
    <w:rsid w:val="0029653C"/>
    <w:rsid w:val="002A2D75"/>
    <w:rsid w:val="002B01A0"/>
    <w:rsid w:val="002B6B65"/>
    <w:rsid w:val="002B6E9E"/>
    <w:rsid w:val="002C2CF7"/>
    <w:rsid w:val="002C4238"/>
    <w:rsid w:val="002E4744"/>
    <w:rsid w:val="002F0CB5"/>
    <w:rsid w:val="002F44B7"/>
    <w:rsid w:val="002F76E0"/>
    <w:rsid w:val="0031415F"/>
    <w:rsid w:val="00320861"/>
    <w:rsid w:val="00322076"/>
    <w:rsid w:val="00326B7F"/>
    <w:rsid w:val="00332694"/>
    <w:rsid w:val="00342283"/>
    <w:rsid w:val="00354D50"/>
    <w:rsid w:val="0035754D"/>
    <w:rsid w:val="003601EB"/>
    <w:rsid w:val="0036275A"/>
    <w:rsid w:val="003834AA"/>
    <w:rsid w:val="0038656E"/>
    <w:rsid w:val="003904B5"/>
    <w:rsid w:val="0039768F"/>
    <w:rsid w:val="003B48DD"/>
    <w:rsid w:val="003B57CD"/>
    <w:rsid w:val="003B6D8A"/>
    <w:rsid w:val="003D6F62"/>
    <w:rsid w:val="003F52CF"/>
    <w:rsid w:val="004045AF"/>
    <w:rsid w:val="004162CB"/>
    <w:rsid w:val="00422A35"/>
    <w:rsid w:val="00443C65"/>
    <w:rsid w:val="00446CCA"/>
    <w:rsid w:val="00447E8A"/>
    <w:rsid w:val="00453828"/>
    <w:rsid w:val="00460135"/>
    <w:rsid w:val="00463C7E"/>
    <w:rsid w:val="004658A3"/>
    <w:rsid w:val="00467E0A"/>
    <w:rsid w:val="004811E6"/>
    <w:rsid w:val="00486382"/>
    <w:rsid w:val="004910FC"/>
    <w:rsid w:val="00491656"/>
    <w:rsid w:val="004A027F"/>
    <w:rsid w:val="004A1458"/>
    <w:rsid w:val="004B201F"/>
    <w:rsid w:val="004C7184"/>
    <w:rsid w:val="004E435B"/>
    <w:rsid w:val="004F178C"/>
    <w:rsid w:val="004F1B42"/>
    <w:rsid w:val="004F664C"/>
    <w:rsid w:val="004F694C"/>
    <w:rsid w:val="00505F86"/>
    <w:rsid w:val="00514286"/>
    <w:rsid w:val="005332ED"/>
    <w:rsid w:val="005457EE"/>
    <w:rsid w:val="00552FF0"/>
    <w:rsid w:val="00553401"/>
    <w:rsid w:val="005550A3"/>
    <w:rsid w:val="005629F8"/>
    <w:rsid w:val="005634E5"/>
    <w:rsid w:val="005654C8"/>
    <w:rsid w:val="00567431"/>
    <w:rsid w:val="005738D9"/>
    <w:rsid w:val="0057488A"/>
    <w:rsid w:val="00590F6B"/>
    <w:rsid w:val="005A256B"/>
    <w:rsid w:val="005C5634"/>
    <w:rsid w:val="005D1E22"/>
    <w:rsid w:val="005D48CC"/>
    <w:rsid w:val="005E2310"/>
    <w:rsid w:val="005F1A2C"/>
    <w:rsid w:val="0060067E"/>
    <w:rsid w:val="00603BBF"/>
    <w:rsid w:val="0064088E"/>
    <w:rsid w:val="00655697"/>
    <w:rsid w:val="00663260"/>
    <w:rsid w:val="006805EC"/>
    <w:rsid w:val="00683D2A"/>
    <w:rsid w:val="00685A1E"/>
    <w:rsid w:val="0069089E"/>
    <w:rsid w:val="00694521"/>
    <w:rsid w:val="006A3C75"/>
    <w:rsid w:val="006B0C06"/>
    <w:rsid w:val="006B56E0"/>
    <w:rsid w:val="006B5ECB"/>
    <w:rsid w:val="006C04EF"/>
    <w:rsid w:val="006C6475"/>
    <w:rsid w:val="006C66AA"/>
    <w:rsid w:val="006C7618"/>
    <w:rsid w:val="006E245A"/>
    <w:rsid w:val="006E6E19"/>
    <w:rsid w:val="006F00B9"/>
    <w:rsid w:val="007023F3"/>
    <w:rsid w:val="00702884"/>
    <w:rsid w:val="007043BB"/>
    <w:rsid w:val="00722025"/>
    <w:rsid w:val="00724CC3"/>
    <w:rsid w:val="00732C08"/>
    <w:rsid w:val="00736A8B"/>
    <w:rsid w:val="00745DAE"/>
    <w:rsid w:val="00762651"/>
    <w:rsid w:val="007635A2"/>
    <w:rsid w:val="007673D0"/>
    <w:rsid w:val="00773062"/>
    <w:rsid w:val="00782494"/>
    <w:rsid w:val="00784A17"/>
    <w:rsid w:val="00790F34"/>
    <w:rsid w:val="00791DAF"/>
    <w:rsid w:val="007A2CFD"/>
    <w:rsid w:val="007B7DA7"/>
    <w:rsid w:val="007C1E2D"/>
    <w:rsid w:val="007C36AA"/>
    <w:rsid w:val="007D04E0"/>
    <w:rsid w:val="007E6046"/>
    <w:rsid w:val="008114BF"/>
    <w:rsid w:val="00816343"/>
    <w:rsid w:val="00833D80"/>
    <w:rsid w:val="00846250"/>
    <w:rsid w:val="00846F1F"/>
    <w:rsid w:val="008514CB"/>
    <w:rsid w:val="008514FB"/>
    <w:rsid w:val="00856540"/>
    <w:rsid w:val="00856CF4"/>
    <w:rsid w:val="008612A9"/>
    <w:rsid w:val="00863E73"/>
    <w:rsid w:val="0088631A"/>
    <w:rsid w:val="008875BF"/>
    <w:rsid w:val="00891F6B"/>
    <w:rsid w:val="008943DF"/>
    <w:rsid w:val="008A0928"/>
    <w:rsid w:val="008A1361"/>
    <w:rsid w:val="008B6B74"/>
    <w:rsid w:val="008C01B2"/>
    <w:rsid w:val="008C08B0"/>
    <w:rsid w:val="008C29CD"/>
    <w:rsid w:val="008D0841"/>
    <w:rsid w:val="008D21E5"/>
    <w:rsid w:val="008D3770"/>
    <w:rsid w:val="008D4790"/>
    <w:rsid w:val="008F019A"/>
    <w:rsid w:val="00906CC3"/>
    <w:rsid w:val="0091161C"/>
    <w:rsid w:val="00913065"/>
    <w:rsid w:val="00920ED2"/>
    <w:rsid w:val="009224A7"/>
    <w:rsid w:val="00922FFF"/>
    <w:rsid w:val="00925664"/>
    <w:rsid w:val="009309B6"/>
    <w:rsid w:val="0093190A"/>
    <w:rsid w:val="009823BD"/>
    <w:rsid w:val="00996470"/>
    <w:rsid w:val="00997FB5"/>
    <w:rsid w:val="009A0356"/>
    <w:rsid w:val="009A2862"/>
    <w:rsid w:val="009A4087"/>
    <w:rsid w:val="009D51D6"/>
    <w:rsid w:val="009E1B10"/>
    <w:rsid w:val="009E39A1"/>
    <w:rsid w:val="009F3475"/>
    <w:rsid w:val="00A0314A"/>
    <w:rsid w:val="00A05EC0"/>
    <w:rsid w:val="00A07CAE"/>
    <w:rsid w:val="00A13EC6"/>
    <w:rsid w:val="00A37E77"/>
    <w:rsid w:val="00A42499"/>
    <w:rsid w:val="00A50217"/>
    <w:rsid w:val="00A62BDE"/>
    <w:rsid w:val="00A62BEA"/>
    <w:rsid w:val="00A93201"/>
    <w:rsid w:val="00A942A0"/>
    <w:rsid w:val="00A946FB"/>
    <w:rsid w:val="00A96292"/>
    <w:rsid w:val="00AA0A96"/>
    <w:rsid w:val="00AA4642"/>
    <w:rsid w:val="00AA5D4F"/>
    <w:rsid w:val="00AC413D"/>
    <w:rsid w:val="00AC5DCA"/>
    <w:rsid w:val="00AC7BD5"/>
    <w:rsid w:val="00AD48F9"/>
    <w:rsid w:val="00AE457C"/>
    <w:rsid w:val="00AF41EC"/>
    <w:rsid w:val="00B01324"/>
    <w:rsid w:val="00B148A1"/>
    <w:rsid w:val="00B15D15"/>
    <w:rsid w:val="00B16BE2"/>
    <w:rsid w:val="00B16FF5"/>
    <w:rsid w:val="00B20D65"/>
    <w:rsid w:val="00B23C58"/>
    <w:rsid w:val="00B2792A"/>
    <w:rsid w:val="00B32967"/>
    <w:rsid w:val="00B33F24"/>
    <w:rsid w:val="00B376A2"/>
    <w:rsid w:val="00B473F2"/>
    <w:rsid w:val="00B51429"/>
    <w:rsid w:val="00B51A80"/>
    <w:rsid w:val="00B55B4B"/>
    <w:rsid w:val="00B55EB7"/>
    <w:rsid w:val="00B66A9A"/>
    <w:rsid w:val="00B74A24"/>
    <w:rsid w:val="00B755CE"/>
    <w:rsid w:val="00B767CD"/>
    <w:rsid w:val="00B8352D"/>
    <w:rsid w:val="00B91851"/>
    <w:rsid w:val="00B94093"/>
    <w:rsid w:val="00B943CA"/>
    <w:rsid w:val="00BB3E4C"/>
    <w:rsid w:val="00BB5315"/>
    <w:rsid w:val="00BC2E09"/>
    <w:rsid w:val="00BC6ECE"/>
    <w:rsid w:val="00BD5E77"/>
    <w:rsid w:val="00BE073F"/>
    <w:rsid w:val="00BE4C0D"/>
    <w:rsid w:val="00BF3A4D"/>
    <w:rsid w:val="00BF601B"/>
    <w:rsid w:val="00C005F4"/>
    <w:rsid w:val="00C138F6"/>
    <w:rsid w:val="00C166C7"/>
    <w:rsid w:val="00C16A85"/>
    <w:rsid w:val="00C1779C"/>
    <w:rsid w:val="00C27FB4"/>
    <w:rsid w:val="00C470E3"/>
    <w:rsid w:val="00C50415"/>
    <w:rsid w:val="00C513C7"/>
    <w:rsid w:val="00C520CA"/>
    <w:rsid w:val="00C8201B"/>
    <w:rsid w:val="00CA2CB1"/>
    <w:rsid w:val="00CA46D8"/>
    <w:rsid w:val="00CB2D55"/>
    <w:rsid w:val="00CB30A0"/>
    <w:rsid w:val="00CD184E"/>
    <w:rsid w:val="00CD3435"/>
    <w:rsid w:val="00CD39CF"/>
    <w:rsid w:val="00CD779F"/>
    <w:rsid w:val="00CE415F"/>
    <w:rsid w:val="00CE4CB3"/>
    <w:rsid w:val="00CE7B22"/>
    <w:rsid w:val="00CF3158"/>
    <w:rsid w:val="00D028C2"/>
    <w:rsid w:val="00D04294"/>
    <w:rsid w:val="00D245DE"/>
    <w:rsid w:val="00D25BC1"/>
    <w:rsid w:val="00D30AF0"/>
    <w:rsid w:val="00D30C91"/>
    <w:rsid w:val="00D43E5F"/>
    <w:rsid w:val="00D50AA2"/>
    <w:rsid w:val="00D50C01"/>
    <w:rsid w:val="00D553BE"/>
    <w:rsid w:val="00D56EB2"/>
    <w:rsid w:val="00D65757"/>
    <w:rsid w:val="00D70969"/>
    <w:rsid w:val="00D726C5"/>
    <w:rsid w:val="00D7270D"/>
    <w:rsid w:val="00D836B7"/>
    <w:rsid w:val="00D855C4"/>
    <w:rsid w:val="00D855F3"/>
    <w:rsid w:val="00D86003"/>
    <w:rsid w:val="00D93961"/>
    <w:rsid w:val="00DA2D4A"/>
    <w:rsid w:val="00DC3380"/>
    <w:rsid w:val="00DC5CB4"/>
    <w:rsid w:val="00DD7123"/>
    <w:rsid w:val="00DE32E1"/>
    <w:rsid w:val="00DE606E"/>
    <w:rsid w:val="00E12BAE"/>
    <w:rsid w:val="00E16CF6"/>
    <w:rsid w:val="00E17DA4"/>
    <w:rsid w:val="00E3440C"/>
    <w:rsid w:val="00E450AB"/>
    <w:rsid w:val="00E453FD"/>
    <w:rsid w:val="00E46CB5"/>
    <w:rsid w:val="00E52FA7"/>
    <w:rsid w:val="00E5401F"/>
    <w:rsid w:val="00E622E7"/>
    <w:rsid w:val="00E635FB"/>
    <w:rsid w:val="00E760B6"/>
    <w:rsid w:val="00E76AC7"/>
    <w:rsid w:val="00E83BD4"/>
    <w:rsid w:val="00E84335"/>
    <w:rsid w:val="00E860AA"/>
    <w:rsid w:val="00E90EC9"/>
    <w:rsid w:val="00E917AC"/>
    <w:rsid w:val="00E9493F"/>
    <w:rsid w:val="00E97410"/>
    <w:rsid w:val="00EA1096"/>
    <w:rsid w:val="00EA27E4"/>
    <w:rsid w:val="00EA4786"/>
    <w:rsid w:val="00EB15A7"/>
    <w:rsid w:val="00EC2AE3"/>
    <w:rsid w:val="00EE084A"/>
    <w:rsid w:val="00EE5C7C"/>
    <w:rsid w:val="00EE7DA3"/>
    <w:rsid w:val="00EF530F"/>
    <w:rsid w:val="00EF5A31"/>
    <w:rsid w:val="00F01FD3"/>
    <w:rsid w:val="00F12DAC"/>
    <w:rsid w:val="00F145A0"/>
    <w:rsid w:val="00F15856"/>
    <w:rsid w:val="00F17082"/>
    <w:rsid w:val="00F42227"/>
    <w:rsid w:val="00F47C58"/>
    <w:rsid w:val="00F501A4"/>
    <w:rsid w:val="00F55C1E"/>
    <w:rsid w:val="00F55E8C"/>
    <w:rsid w:val="00F62183"/>
    <w:rsid w:val="00F6278A"/>
    <w:rsid w:val="00F64C58"/>
    <w:rsid w:val="00F6647A"/>
    <w:rsid w:val="00F71BE1"/>
    <w:rsid w:val="00F7510F"/>
    <w:rsid w:val="00F82275"/>
    <w:rsid w:val="00F84BE4"/>
    <w:rsid w:val="00FB154F"/>
    <w:rsid w:val="00FB1588"/>
    <w:rsid w:val="00FB1BDD"/>
    <w:rsid w:val="00FB36E9"/>
    <w:rsid w:val="00FB4C1C"/>
    <w:rsid w:val="00FD4249"/>
    <w:rsid w:val="00FD5251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;"/>
  <w14:docId w14:val="7F94E02B"/>
  <w15:docId w15:val="{4384BC66-27BB-41F9-85E6-686DF353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1111-5376-47E4-A09B-8411E8A7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350</Words>
  <Characters>2547</Characters>
  <Application>Microsoft Office Word</Application>
  <DocSecurity>2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2024. gada pārskats</vt:lpstr>
    </vt:vector>
  </TitlesOfParts>
  <Company>Valsts kase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2024. gada pārskats</dc:title>
  <dc:subject>Satura rādītājs</dc:subject>
  <dc:creator>Atbildīgā amatpersona: Rūdolfs Vikmanis, 67094376, Rudolfs.Vikmanis@kase.gov.lv</dc:creator>
  <cp:lastModifiedBy>Sandija Krūmiņa</cp:lastModifiedBy>
  <cp:revision>6</cp:revision>
  <cp:lastPrinted>2017-06-22T08:16:00Z</cp:lastPrinted>
  <dcterms:created xsi:type="dcterms:W3CDTF">2025-04-28T08:40:00Z</dcterms:created>
  <dcterms:modified xsi:type="dcterms:W3CDTF">2025-05-15T12:30:00Z</dcterms:modified>
</cp:coreProperties>
</file>